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3CA29" w14:textId="77777777" w:rsidR="00BA4CA2" w:rsidRPr="00313C44" w:rsidRDefault="00BA4CA2" w:rsidP="00BA4CA2">
      <w:pPr>
        <w:pStyle w:val="Title"/>
        <w:rPr>
          <w:rFonts w:ascii="Times New Roman" w:hAnsi="Times New Roman" w:cs="Times New Roman"/>
          <w:b/>
          <w:color w:val="auto"/>
        </w:rPr>
      </w:pPr>
    </w:p>
    <w:p w14:paraId="133F86E0" w14:textId="77777777" w:rsidR="00BA4CA2" w:rsidRPr="00313C44" w:rsidRDefault="00BA4CA2" w:rsidP="00BA4CA2">
      <w:pPr>
        <w:pStyle w:val="Title"/>
        <w:rPr>
          <w:rFonts w:ascii="Times New Roman" w:hAnsi="Times New Roman" w:cs="Times New Roman"/>
          <w:b/>
          <w:color w:val="auto"/>
        </w:rPr>
      </w:pPr>
    </w:p>
    <w:p w14:paraId="0725FC25" w14:textId="77777777" w:rsidR="00BA4CA2" w:rsidRPr="00313C44" w:rsidRDefault="00BA4CA2" w:rsidP="00BA4CA2">
      <w:pPr>
        <w:pStyle w:val="Title"/>
        <w:rPr>
          <w:rFonts w:ascii="Times New Roman" w:hAnsi="Times New Roman" w:cs="Times New Roman"/>
          <w:b/>
          <w:color w:val="auto"/>
        </w:rPr>
      </w:pPr>
    </w:p>
    <w:p w14:paraId="5746D6D4" w14:textId="77777777" w:rsidR="00BA4CA2" w:rsidRPr="00313C44" w:rsidRDefault="00BA4CA2" w:rsidP="00BA4CA2">
      <w:pPr>
        <w:pStyle w:val="Title"/>
        <w:rPr>
          <w:rFonts w:ascii="Times New Roman" w:hAnsi="Times New Roman" w:cs="Times New Roman"/>
          <w:b/>
          <w:color w:val="auto"/>
        </w:rPr>
      </w:pPr>
    </w:p>
    <w:p w14:paraId="53AC767B" w14:textId="77777777" w:rsidR="00BA4CA2" w:rsidRPr="00313C44" w:rsidRDefault="00BA4CA2" w:rsidP="00BA4CA2">
      <w:pPr>
        <w:pStyle w:val="Title"/>
        <w:rPr>
          <w:rFonts w:ascii="Times New Roman" w:hAnsi="Times New Roman" w:cs="Times New Roman"/>
          <w:b/>
          <w:color w:val="auto"/>
        </w:rPr>
      </w:pPr>
    </w:p>
    <w:p w14:paraId="1A4A2301" w14:textId="77777777" w:rsidR="00BA4CA2" w:rsidRPr="00313C44" w:rsidRDefault="00BA4CA2" w:rsidP="00BA4CA2">
      <w:pPr>
        <w:pStyle w:val="Title"/>
        <w:rPr>
          <w:rFonts w:ascii="Times New Roman" w:hAnsi="Times New Roman" w:cs="Times New Roman"/>
          <w:b/>
          <w:color w:val="auto"/>
        </w:rPr>
      </w:pPr>
    </w:p>
    <w:p w14:paraId="292D9A6E" w14:textId="74FCED8E" w:rsidR="00BA4CA2" w:rsidRPr="00313C44" w:rsidRDefault="009C689A" w:rsidP="00956C8F">
      <w:pPr>
        <w:pStyle w:val="Title"/>
        <w:jc w:val="center"/>
        <w:rPr>
          <w:rFonts w:ascii="Times New Roman" w:hAnsi="Times New Roman" w:cs="Times New Roman"/>
          <w:b/>
          <w:color w:val="auto"/>
        </w:rPr>
      </w:pPr>
      <w:r w:rsidRPr="009C689A">
        <w:rPr>
          <w:rFonts w:ascii="Times New Roman" w:hAnsi="Times New Roman" w:cs="Times New Roman"/>
          <w:b/>
          <w:color w:val="auto"/>
        </w:rPr>
        <w:t>Preparing for Professional Police Practice</w:t>
      </w:r>
    </w:p>
    <w:p w14:paraId="564FE1EC" w14:textId="5C7EB8AB" w:rsidR="009C689A" w:rsidRDefault="00BA4CA2" w:rsidP="009C689A">
      <w:pPr>
        <w:pStyle w:val="NormalWeb"/>
        <w:spacing w:before="0" w:beforeAutospacing="0" w:after="0" w:afterAutospacing="0" w:line="360" w:lineRule="auto"/>
        <w:jc w:val="both"/>
        <w:rPr>
          <w:color w:val="000000"/>
        </w:rPr>
      </w:pPr>
      <w:r w:rsidRPr="00313C44">
        <w:br w:type="page"/>
      </w:r>
      <w:r w:rsidR="009C689A" w:rsidRPr="009C689A">
        <w:rPr>
          <w:color w:val="000000"/>
        </w:rPr>
        <w:t>The present research will try to understand the theory named Policing by consent. This is one of the most popular as well as most important theories for the new age police system. The present essay will try to understand the theory in a proper manner. In addition to that same, the essay will explore the impacts of policing by consent on the contemporary police service.</w:t>
      </w:r>
      <w:r w:rsidR="00A944EA">
        <w:rPr>
          <w:color w:val="000000"/>
        </w:rPr>
        <w:t xml:space="preserve"> Policing by consent is the theory mainly based on various formats of police services such as </w:t>
      </w:r>
      <w:r w:rsidR="00830165">
        <w:rPr>
          <w:color w:val="000000"/>
        </w:rPr>
        <w:t xml:space="preserve">moral policing and society advocacy. The policemen </w:t>
      </w:r>
      <w:r w:rsidR="00DB25EA">
        <w:rPr>
          <w:color w:val="000000"/>
        </w:rPr>
        <w:t xml:space="preserve">are mainly take consents from the people of the </w:t>
      </w:r>
      <w:r w:rsidR="007E0B94">
        <w:rPr>
          <w:color w:val="000000"/>
        </w:rPr>
        <w:t>society in order to do advocacy to the crimes.</w:t>
      </w:r>
    </w:p>
    <w:p w14:paraId="047F6513" w14:textId="2289F1F6" w:rsidR="00DB034D" w:rsidRPr="009C689A" w:rsidRDefault="00DB034D" w:rsidP="009C689A">
      <w:pPr>
        <w:pStyle w:val="NormalWeb"/>
        <w:spacing w:before="0" w:beforeAutospacing="0" w:after="0" w:afterAutospacing="0" w:line="360" w:lineRule="auto"/>
        <w:jc w:val="both"/>
      </w:pPr>
      <w:r>
        <w:rPr>
          <w:color w:val="000000"/>
        </w:rPr>
        <w:t xml:space="preserve">The present essay will try to understand the reasons and the advantages of </w:t>
      </w:r>
      <w:r w:rsidR="00B6377F">
        <w:rPr>
          <w:color w:val="000000"/>
        </w:rPr>
        <w:t xml:space="preserve">policing by consent theory. This will make a clear overview about the law and order of the </w:t>
      </w:r>
      <w:r w:rsidR="000A262E">
        <w:rPr>
          <w:color w:val="000000"/>
        </w:rPr>
        <w:t>UK criminal maintenance system.</w:t>
      </w:r>
    </w:p>
    <w:p w14:paraId="519AFF83" w14:textId="77777777" w:rsidR="009C689A" w:rsidRPr="009C689A" w:rsidRDefault="009C689A" w:rsidP="009C689A">
      <w:pPr>
        <w:pStyle w:val="NormalWeb"/>
        <w:spacing w:before="0" w:beforeAutospacing="0" w:after="0" w:afterAutospacing="0" w:line="360" w:lineRule="auto"/>
        <w:jc w:val="both"/>
      </w:pPr>
      <w:r w:rsidRPr="009C689A">
        <w:rPr>
          <w:color w:val="000000"/>
        </w:rPr>
        <w:t>Since the dawn of the modern era, the British police force has been structured on the idea of "policing by agreement," which dates back more than two centuries. To keep order, the police force does not depend just on the use of physical force; rather, they seek the support and esteem of the general population (Clark-Darby, 2020). People who are accustomed to seeing police violence and who are used to being under the control of the police may not put a high value on providing their agreement, especially if they are used to being subjected to police observation. After incidents of police brutality that make headlines, whether as a result of the egregious treatment of individuals, the suppression of protests and public disorder, or the release of damning new statistics, the police are frequently criticised for ignoring public consent and confronted with demands to restore it. This is the case whether the criticism stems from the egregious treatment of individuals, the suppression of protests and public disorder, or the release of damning new statistics. This is the case regardless of whether the criticism is a consequence of the appalling treatment of people (Wong and Christmann, 2020), the repression of demonstrations and public disruption, or the publishing of new data that are devastating. On the other hand, anarchists and libertarians often claim that law enforcement officers have the ability to employ force and punishment even when they do not have the authorization to do so in the situation at hand.</w:t>
      </w:r>
    </w:p>
    <w:p w14:paraId="42492A31" w14:textId="77777777" w:rsidR="009C689A" w:rsidRPr="009C689A" w:rsidRDefault="009C689A" w:rsidP="009C689A">
      <w:pPr>
        <w:pStyle w:val="NormalWeb"/>
        <w:spacing w:before="0" w:beforeAutospacing="0" w:after="0" w:afterAutospacing="0" w:line="360" w:lineRule="auto"/>
        <w:jc w:val="both"/>
      </w:pPr>
      <w:r w:rsidRPr="009C689A">
        <w:rPr>
          <w:color w:val="000000"/>
        </w:rPr>
        <w:t>According to this point of view, the idea of "consent" is nothing more than a euphemism that is used to disguise the real acts of cruelty that take place. This perspective is supported by the fact that the term "consent" has been in use for quite some time. At the very least, there is some truth to the notion that the only way state authority could be preserved in the event that the populace refused to acknowledge its legitimacy is by the use of force (Cummins, 2022). However, if one were to focus on this supposedly catastrophic possibility, one would be disregarding the fact that this is not the circumstance at the present. This would be the case if they ignored the fact that this is not the case at the moment (Lamb, 2021). Others are of the opinion that permission-based policing should not be the norm that law enforcement aspires to reach, while others are of the opinion that it should be the standard. Some people are utterly against the idea that permission-based police should be the norm. Both of these counterarguments may be refuted without a shadow of a doubt. In order for a state to be considered legitimate, it is required that the people endorse the state's ability to uphold law and order and approve of the state's ability to do so. It is of the utmost significance to have a solid understanding of both the definition of the term "consent" and the context in which it was first used (Stott et al., 2020).</w:t>
      </w:r>
    </w:p>
    <w:p w14:paraId="0BE47F55" w14:textId="77777777" w:rsidR="009C689A" w:rsidRPr="009C689A" w:rsidRDefault="009C689A" w:rsidP="009C689A">
      <w:pPr>
        <w:pStyle w:val="NormalWeb"/>
        <w:spacing w:before="0" w:beforeAutospacing="0" w:after="0" w:afterAutospacing="0" w:line="360" w:lineRule="auto"/>
        <w:jc w:val="both"/>
      </w:pPr>
      <w:r w:rsidRPr="009C689A">
        <w:rPr>
          <w:color w:val="000000"/>
        </w:rPr>
        <w:t>Those who are or have been classified as police have engaged in a wide range of activities across time, space, and institutional boundaries. The role of the police has evolved greatly throughout the years. The need for formalised law enforcement increased with the expansion of urban areas and the decline in the efficiency of traditional mechanisms of socialisation and control, such as the family, schools, and the church. However, no unified international police system ever materialised. The wide range of policing methods and practices may be attributed to a number of causes. A police force's actions are heavily influenced by the prevalent forms of crime and the common strategies used by criminals in a given culture (Sukarman and Wastika, 2022). For instance, if criminals in a certain area often use weapons, the police in that area will likely also be armed, and if criminals in that area frequently use computers to commit crimes, the police would likely form a specialised unit to investigate cybercrimes. This variety might be partially attributed to different historical experiences; for instance, former colonies often retain the same police system as their conquerors. There is also the factor of the population; police in urban centres are quite different from that in rural regions and small towns (den Boer et al., 2022). However, a country's political culture is the most important component in determining that country's police system (Coster, 2022).</w:t>
      </w:r>
    </w:p>
    <w:p w14:paraId="57F59813" w14:textId="77777777" w:rsidR="009C689A" w:rsidRPr="009C689A" w:rsidRDefault="009C689A" w:rsidP="009C689A">
      <w:pPr>
        <w:pStyle w:val="NormalWeb"/>
        <w:spacing w:before="0" w:beforeAutospacing="0" w:after="0" w:afterAutospacing="0" w:line="360" w:lineRule="auto"/>
        <w:jc w:val="both"/>
      </w:pPr>
      <w:r w:rsidRPr="009C689A">
        <w:rPr>
          <w:color w:val="000000"/>
        </w:rPr>
        <w:t>The philosophy of policing by consent has had a significant number of repercussions that may be seen in the police force of the contemporary day. When a law enforcement officer is present, the vast majority of people will comply with whatever demands the officer makes. People obey the law because they believe it to be right and because they believe that doing so will ultimately benefit them more than breaking it would. Those who live in a small town or neighbourhood where the majority of the inhabitants know each other are regarded in high esteem because they make an effort to respect the values of the community (Hill, 2019). People's lives become more difficult when they break the law or fall short of the expectations of other people because it makes it less likely for them to get support from the community. This makes it more difficult for them to go forward in life. This system of informal rewards and sanctions is strong support to law enforcement in every country, despite the fact that it is most successful when applied to very small groups of people. As a consequence of this, the function of law enforcement is made a great deal easier by the forces that dominate life inside a small group. After these less authoritarian forms of conflict resolution have been exhausted, only then, should the police be called in (Pickard, 2019).</w:t>
      </w:r>
    </w:p>
    <w:p w14:paraId="03D7F396" w14:textId="77777777" w:rsidR="009C689A" w:rsidRPr="009C689A" w:rsidRDefault="009C689A" w:rsidP="009C689A">
      <w:pPr>
        <w:pStyle w:val="NormalWeb"/>
        <w:spacing w:before="0" w:beforeAutospacing="0" w:after="0" w:afterAutospacing="0" w:line="360" w:lineRule="auto"/>
        <w:jc w:val="both"/>
      </w:pPr>
      <w:r w:rsidRPr="009C689A">
        <w:rPr>
          <w:color w:val="000000"/>
        </w:rPr>
        <w:t>As a consequence of this, even in countries that have a decentralised system of policing, rural and sparsely populated areas are typically policed by a single, centralised police force that is frequently militarised. A single police agency that operates under a unified command may save money and enhance efficiency in comparison to a collection of decentralised municipal police units. Because the region that has to be patrolled may be fairly large and comprised of rough terrain, the police in these places need the long-range mobility and agility that are characteristic of military troops. Additionally, since the first police departments were founded in cities, the military has usually been in charge of maintaining order in rural regions (Farrow, 2020).</w:t>
      </w:r>
    </w:p>
    <w:p w14:paraId="0EA87D70" w14:textId="77777777" w:rsidR="009C689A" w:rsidRPr="009C689A" w:rsidRDefault="009C689A" w:rsidP="009C689A">
      <w:pPr>
        <w:pStyle w:val="NormalWeb"/>
        <w:spacing w:before="0" w:beforeAutospacing="0" w:after="0" w:afterAutospacing="0" w:line="360" w:lineRule="auto"/>
        <w:jc w:val="both"/>
      </w:pPr>
      <w:r w:rsidRPr="009C689A">
        <w:rPr>
          <w:color w:val="000000"/>
        </w:rPr>
        <w:t>On the other hand, in societies that are larger and more complex, informal institutions of social control have a tendency to be less successful, while formal institutions have a tendency to be more effective. There are a few factors that contribute to the relatively poor efficacy of informal controls. Because people in large societies often engage in conversation with strangers they will never see again, it is possible that there are fewer informal rewards for being honest and fewer informal penalties for being dishonest. New legal frameworks, such as those that regulate the registration and usage of motor vehicles as well as the transaction of commerce through the World Wide Web, may be attributed in part to the development of more advanced technology in these sectors (Long, 2018). It is possible that some people will not feel as much of a duty to observe these new standards since they may not have the same moral resonance as older laws that criminalised things like stealing or fraud. In addition, anytime new laws are established, it is practically inevitable that there will be an increase in criminal activity. Consequently, those who are found guilty of breaking a new rule may harbour resentment and be less likely to assist with law enforcement or to follow the law in the future, even when they are not being watched. This makes it less likely that they will follow the law even when they are not being watched (Dennehy, 2020). Last but not least, as civilizations advance, it becomes more difficult for people to prioritise the interests of the public above their own when there is a conflict between the two sets of priorities (Movement, 2018). If a company owner sees an employee committing a crime while they are on the job but chooses not to report it to the police, it might be because the owner is worried about how the news would affect the firm's output, earnings, or reputation (Watson et al., 2021).</w:t>
      </w:r>
    </w:p>
    <w:p w14:paraId="70E0F126" w14:textId="77777777" w:rsidR="009C689A" w:rsidRPr="009C689A" w:rsidRDefault="009C689A" w:rsidP="009C689A">
      <w:pPr>
        <w:pStyle w:val="NormalWeb"/>
        <w:spacing w:before="0" w:beforeAutospacing="0" w:after="0" w:afterAutospacing="0" w:line="360" w:lineRule="auto"/>
        <w:jc w:val="both"/>
      </w:pPr>
      <w:r w:rsidRPr="009C689A">
        <w:rPr>
          <w:color w:val="000000"/>
        </w:rPr>
        <w:t>From the above discussions, it is clear that the theory of policing by consent is an important aspect of law enforcement. It can be understood that the police service of the present day is highly influenced by this theory as well as it has some great importance in the law and order even for contemporary society.</w:t>
      </w:r>
    </w:p>
    <w:p w14:paraId="1299BE76" w14:textId="2132B572" w:rsidR="00BA4CA2" w:rsidRPr="009C689A" w:rsidRDefault="00BA4CA2" w:rsidP="009C689A">
      <w:pPr>
        <w:spacing w:line="360" w:lineRule="auto"/>
        <w:jc w:val="both"/>
        <w:rPr>
          <w:rFonts w:eastAsiaTheme="majorEastAsia" w:cs="Times New Roman"/>
          <w:spacing w:val="5"/>
          <w:kern w:val="28"/>
          <w:szCs w:val="24"/>
        </w:rPr>
      </w:pPr>
    </w:p>
    <w:p w14:paraId="03109527" w14:textId="7CD68F47" w:rsidR="009C689A" w:rsidRPr="009C689A" w:rsidRDefault="009C689A" w:rsidP="009C689A">
      <w:pPr>
        <w:spacing w:line="360" w:lineRule="auto"/>
        <w:jc w:val="both"/>
        <w:rPr>
          <w:rFonts w:eastAsiaTheme="majorEastAsia" w:cs="Times New Roman"/>
          <w:spacing w:val="5"/>
          <w:kern w:val="28"/>
          <w:szCs w:val="24"/>
        </w:rPr>
      </w:pPr>
      <w:r w:rsidRPr="009C689A">
        <w:rPr>
          <w:rFonts w:eastAsiaTheme="majorEastAsia" w:cs="Times New Roman"/>
          <w:spacing w:val="5"/>
          <w:kern w:val="28"/>
          <w:szCs w:val="24"/>
        </w:rPr>
        <w:br w:type="page"/>
      </w:r>
    </w:p>
    <w:p w14:paraId="4E4380BE" w14:textId="65186BBB" w:rsidR="009C689A" w:rsidRPr="009C689A" w:rsidRDefault="009C689A" w:rsidP="009C689A">
      <w:pPr>
        <w:pStyle w:val="Heading1"/>
        <w:spacing w:line="360" w:lineRule="auto"/>
        <w:jc w:val="both"/>
        <w:rPr>
          <w:rFonts w:cs="Times New Roman"/>
          <w:sz w:val="24"/>
          <w:szCs w:val="24"/>
        </w:rPr>
      </w:pPr>
      <w:r w:rsidRPr="009C689A">
        <w:rPr>
          <w:rFonts w:cs="Times New Roman"/>
          <w:sz w:val="24"/>
          <w:szCs w:val="24"/>
        </w:rPr>
        <w:t>References</w:t>
      </w:r>
    </w:p>
    <w:p w14:paraId="3E444BCB"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Clark-Darby, O., 2020. </w:t>
      </w:r>
      <w:r w:rsidRPr="009C689A">
        <w:rPr>
          <w:rFonts w:cs="Times New Roman"/>
          <w:i/>
          <w:iCs/>
          <w:color w:val="222222"/>
          <w:szCs w:val="24"/>
          <w:shd w:val="clear" w:color="auto" w:fill="FFFFFF"/>
        </w:rPr>
        <w:t>Armed Policing in England</w:t>
      </w:r>
      <w:r w:rsidRPr="009C689A">
        <w:rPr>
          <w:rFonts w:cs="Times New Roman"/>
          <w:color w:val="222222"/>
          <w:szCs w:val="24"/>
          <w:shd w:val="clear" w:color="auto" w:fill="FFFFFF"/>
        </w:rPr>
        <w:t> (Doctoral dissertation, University of Southampton).</w:t>
      </w:r>
    </w:p>
    <w:p w14:paraId="5D1C76DF"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Coster, A., 2022. Policing in challenging times. </w:t>
      </w:r>
      <w:r w:rsidRPr="009C689A">
        <w:rPr>
          <w:rFonts w:cs="Times New Roman"/>
          <w:i/>
          <w:iCs/>
          <w:color w:val="222222"/>
          <w:szCs w:val="24"/>
          <w:shd w:val="clear" w:color="auto" w:fill="FFFFFF"/>
        </w:rPr>
        <w:t>Public Sector</w:t>
      </w:r>
      <w:r w:rsidRPr="009C689A">
        <w:rPr>
          <w:rFonts w:cs="Times New Roman"/>
          <w:color w:val="222222"/>
          <w:szCs w:val="24"/>
          <w:shd w:val="clear" w:color="auto" w:fill="FFFFFF"/>
        </w:rPr>
        <w:t>, </w:t>
      </w:r>
      <w:r w:rsidRPr="009C689A">
        <w:rPr>
          <w:rFonts w:cs="Times New Roman"/>
          <w:i/>
          <w:iCs/>
          <w:color w:val="222222"/>
          <w:szCs w:val="24"/>
          <w:shd w:val="clear" w:color="auto" w:fill="FFFFFF"/>
        </w:rPr>
        <w:t>45</w:t>
      </w:r>
      <w:r w:rsidRPr="009C689A">
        <w:rPr>
          <w:rFonts w:cs="Times New Roman"/>
          <w:color w:val="222222"/>
          <w:szCs w:val="24"/>
          <w:shd w:val="clear" w:color="auto" w:fill="FFFFFF"/>
        </w:rPr>
        <w:t>(2), pp.17-18.</w:t>
      </w:r>
    </w:p>
    <w:p w14:paraId="280937D5"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Cummins, I., 2022. Policing and society. In </w:t>
      </w:r>
      <w:r w:rsidRPr="009C689A">
        <w:rPr>
          <w:rFonts w:cs="Times New Roman"/>
          <w:i/>
          <w:iCs/>
          <w:color w:val="222222"/>
          <w:szCs w:val="24"/>
          <w:shd w:val="clear" w:color="auto" w:fill="FFFFFF"/>
        </w:rPr>
        <w:t>Challenges in Mental Health and Policing</w:t>
      </w:r>
      <w:r w:rsidRPr="009C689A">
        <w:rPr>
          <w:rFonts w:cs="Times New Roman"/>
          <w:color w:val="222222"/>
          <w:szCs w:val="24"/>
          <w:shd w:val="clear" w:color="auto" w:fill="FFFFFF"/>
        </w:rPr>
        <w:t> (pp. 6-18). Policy Press.</w:t>
      </w:r>
    </w:p>
    <w:p w14:paraId="04AFB2A9"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den Boer, M., Bervoets, E. and Hak, L., 2022. Preparing for Future Pandemic Policing: First Lessons Learnt on Policing and Surveillance during the COVID-19 Pandemic. </w:t>
      </w:r>
      <w:r w:rsidRPr="009C689A">
        <w:rPr>
          <w:rFonts w:cs="Times New Roman"/>
          <w:i/>
          <w:iCs/>
          <w:color w:val="222222"/>
          <w:szCs w:val="24"/>
          <w:shd w:val="clear" w:color="auto" w:fill="FFFFFF"/>
        </w:rPr>
        <w:t>Special Issue 5 Eur. Police Sci. &amp; Res. Bull.</w:t>
      </w:r>
      <w:r w:rsidRPr="009C689A">
        <w:rPr>
          <w:rFonts w:cs="Times New Roman"/>
          <w:color w:val="222222"/>
          <w:szCs w:val="24"/>
          <w:shd w:val="clear" w:color="auto" w:fill="FFFFFF"/>
        </w:rPr>
        <w:t>, p.261.</w:t>
      </w:r>
    </w:p>
    <w:p w14:paraId="6365AD6C"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Dennehy, C.A., 2020. Popular protest and policing in ascendancy Ireland, 1691–1761. By Timothy D. Watt. Pp xiv+ 260. Woodbridge: The Boydell Press. 2018.£ 65. </w:t>
      </w:r>
      <w:r w:rsidRPr="009C689A">
        <w:rPr>
          <w:rFonts w:cs="Times New Roman"/>
          <w:i/>
          <w:iCs/>
          <w:color w:val="222222"/>
          <w:szCs w:val="24"/>
          <w:shd w:val="clear" w:color="auto" w:fill="FFFFFF"/>
        </w:rPr>
        <w:t>Irish Historical Studies</w:t>
      </w:r>
      <w:r w:rsidRPr="009C689A">
        <w:rPr>
          <w:rFonts w:cs="Times New Roman"/>
          <w:color w:val="222222"/>
          <w:szCs w:val="24"/>
          <w:shd w:val="clear" w:color="auto" w:fill="FFFFFF"/>
        </w:rPr>
        <w:t>, </w:t>
      </w:r>
      <w:r w:rsidRPr="009C689A">
        <w:rPr>
          <w:rFonts w:cs="Times New Roman"/>
          <w:i/>
          <w:iCs/>
          <w:color w:val="222222"/>
          <w:szCs w:val="24"/>
          <w:shd w:val="clear" w:color="auto" w:fill="FFFFFF"/>
        </w:rPr>
        <w:t>44</w:t>
      </w:r>
      <w:r w:rsidRPr="009C689A">
        <w:rPr>
          <w:rFonts w:cs="Times New Roman"/>
          <w:color w:val="222222"/>
          <w:szCs w:val="24"/>
          <w:shd w:val="clear" w:color="auto" w:fill="FFFFFF"/>
        </w:rPr>
        <w:t>(166), pp.383-384.</w:t>
      </w:r>
    </w:p>
    <w:p w14:paraId="4EBAF2A2"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Farrow, K., 2020. Policing the pandemic in the UK using the principles of procedural justice. </w:t>
      </w:r>
      <w:r w:rsidRPr="009C689A">
        <w:rPr>
          <w:rFonts w:cs="Times New Roman"/>
          <w:i/>
          <w:iCs/>
          <w:color w:val="222222"/>
          <w:szCs w:val="24"/>
          <w:shd w:val="clear" w:color="auto" w:fill="FFFFFF"/>
        </w:rPr>
        <w:t>Policing: a journal of policy and practice</w:t>
      </w:r>
      <w:r w:rsidRPr="009C689A">
        <w:rPr>
          <w:rFonts w:cs="Times New Roman"/>
          <w:color w:val="222222"/>
          <w:szCs w:val="24"/>
          <w:shd w:val="clear" w:color="auto" w:fill="FFFFFF"/>
        </w:rPr>
        <w:t>, </w:t>
      </w:r>
      <w:r w:rsidRPr="009C689A">
        <w:rPr>
          <w:rFonts w:cs="Times New Roman"/>
          <w:i/>
          <w:iCs/>
          <w:color w:val="222222"/>
          <w:szCs w:val="24"/>
          <w:shd w:val="clear" w:color="auto" w:fill="FFFFFF"/>
        </w:rPr>
        <w:t>14</w:t>
      </w:r>
      <w:r w:rsidRPr="009C689A">
        <w:rPr>
          <w:rFonts w:cs="Times New Roman"/>
          <w:color w:val="222222"/>
          <w:szCs w:val="24"/>
          <w:shd w:val="clear" w:color="auto" w:fill="FFFFFF"/>
        </w:rPr>
        <w:t>(3), pp.587-592.</w:t>
      </w:r>
    </w:p>
    <w:p w14:paraId="74FB07FE"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Hill, R.S., 2019. Coercion, Consent and Surveillance: Policing New Zealand. In </w:t>
      </w:r>
      <w:r w:rsidRPr="009C689A">
        <w:rPr>
          <w:rFonts w:cs="Times New Roman"/>
          <w:i/>
          <w:iCs/>
          <w:color w:val="222222"/>
          <w:szCs w:val="24"/>
          <w:shd w:val="clear" w:color="auto" w:fill="FFFFFF"/>
        </w:rPr>
        <w:t>European Police Forces and Law Enforcement in the First World War</w:t>
      </w:r>
      <w:r w:rsidRPr="009C689A">
        <w:rPr>
          <w:rFonts w:cs="Times New Roman"/>
          <w:color w:val="222222"/>
          <w:szCs w:val="24"/>
          <w:shd w:val="clear" w:color="auto" w:fill="FFFFFF"/>
        </w:rPr>
        <w:t> (pp. 227-241). Palgrave Macmillan, Cham.</w:t>
      </w:r>
    </w:p>
    <w:p w14:paraId="5D6E7EA0"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Lamb, G., 2021. Safeguarding the republic? The South African police service, legitimacy and the tribulations of policing a violent democracy. </w:t>
      </w:r>
      <w:r w:rsidRPr="009C689A">
        <w:rPr>
          <w:rFonts w:cs="Times New Roman"/>
          <w:i/>
          <w:iCs/>
          <w:color w:val="222222"/>
          <w:szCs w:val="24"/>
          <w:shd w:val="clear" w:color="auto" w:fill="FFFFFF"/>
        </w:rPr>
        <w:t>Journal of Asian and African Studies</w:t>
      </w:r>
      <w:r w:rsidRPr="009C689A">
        <w:rPr>
          <w:rFonts w:cs="Times New Roman"/>
          <w:color w:val="222222"/>
          <w:szCs w:val="24"/>
          <w:shd w:val="clear" w:color="auto" w:fill="FFFFFF"/>
        </w:rPr>
        <w:t>, </w:t>
      </w:r>
      <w:r w:rsidRPr="009C689A">
        <w:rPr>
          <w:rFonts w:cs="Times New Roman"/>
          <w:i/>
          <w:iCs/>
          <w:color w:val="222222"/>
          <w:szCs w:val="24"/>
          <w:shd w:val="clear" w:color="auto" w:fill="FFFFFF"/>
        </w:rPr>
        <w:t>56</w:t>
      </w:r>
      <w:r w:rsidRPr="009C689A">
        <w:rPr>
          <w:rFonts w:cs="Times New Roman"/>
          <w:color w:val="222222"/>
          <w:szCs w:val="24"/>
          <w:shd w:val="clear" w:color="auto" w:fill="FFFFFF"/>
        </w:rPr>
        <w:t>(1), pp.92-108.</w:t>
      </w:r>
    </w:p>
    <w:p w14:paraId="72FCBAEE"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Long, L.J., 2018. Policing the Racialised Other. In </w:t>
      </w:r>
      <w:r w:rsidRPr="009C689A">
        <w:rPr>
          <w:rFonts w:cs="Times New Roman"/>
          <w:i/>
          <w:iCs/>
          <w:color w:val="222222"/>
          <w:szCs w:val="24"/>
          <w:shd w:val="clear" w:color="auto" w:fill="FFFFFF"/>
        </w:rPr>
        <w:t>Perpetual Suspects</w:t>
      </w:r>
      <w:r w:rsidRPr="009C689A">
        <w:rPr>
          <w:rFonts w:cs="Times New Roman"/>
          <w:color w:val="222222"/>
          <w:szCs w:val="24"/>
          <w:shd w:val="clear" w:color="auto" w:fill="FFFFFF"/>
        </w:rPr>
        <w:t> (pp. 43-69). Palgrave Macmillan, Cham.</w:t>
      </w:r>
    </w:p>
    <w:p w14:paraId="649C317F"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Movement, T., 2018. Policing by consent: Understanding and improving relations between Gypsies, Roma and Irish Travellers. </w:t>
      </w:r>
      <w:r w:rsidRPr="009C689A">
        <w:rPr>
          <w:rFonts w:cs="Times New Roman"/>
          <w:i/>
          <w:iCs/>
          <w:color w:val="222222"/>
          <w:szCs w:val="24"/>
          <w:shd w:val="clear" w:color="auto" w:fill="FFFFFF"/>
        </w:rPr>
        <w:t>London: Traveller Movement</w:t>
      </w:r>
      <w:r w:rsidRPr="009C689A">
        <w:rPr>
          <w:rFonts w:cs="Times New Roman"/>
          <w:color w:val="222222"/>
          <w:szCs w:val="24"/>
          <w:shd w:val="clear" w:color="auto" w:fill="FFFFFF"/>
        </w:rPr>
        <w:t>.</w:t>
      </w:r>
    </w:p>
    <w:p w14:paraId="5723CAD9"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Pickard, S., 2019. Excessive force, coercive policing and criminalisation of dissent: repressing young people’s protest in twenty-first century Britain. </w:t>
      </w:r>
      <w:r w:rsidRPr="009C689A">
        <w:rPr>
          <w:rFonts w:cs="Times New Roman"/>
          <w:i/>
          <w:iCs/>
          <w:color w:val="222222"/>
          <w:szCs w:val="24"/>
          <w:shd w:val="clear" w:color="auto" w:fill="FFFFFF"/>
        </w:rPr>
        <w:t>Revista Internacional de Sociología</w:t>
      </w:r>
      <w:r w:rsidRPr="009C689A">
        <w:rPr>
          <w:rFonts w:cs="Times New Roman"/>
          <w:color w:val="222222"/>
          <w:szCs w:val="24"/>
          <w:shd w:val="clear" w:color="auto" w:fill="FFFFFF"/>
        </w:rPr>
        <w:t>, </w:t>
      </w:r>
      <w:r w:rsidRPr="009C689A">
        <w:rPr>
          <w:rFonts w:cs="Times New Roman"/>
          <w:i/>
          <w:iCs/>
          <w:color w:val="222222"/>
          <w:szCs w:val="24"/>
          <w:shd w:val="clear" w:color="auto" w:fill="FFFFFF"/>
        </w:rPr>
        <w:t>77</w:t>
      </w:r>
      <w:r w:rsidRPr="009C689A">
        <w:rPr>
          <w:rFonts w:cs="Times New Roman"/>
          <w:color w:val="222222"/>
          <w:szCs w:val="24"/>
          <w:shd w:val="clear" w:color="auto" w:fill="FFFFFF"/>
        </w:rPr>
        <w:t>(4), p.e139.</w:t>
      </w:r>
    </w:p>
    <w:p w14:paraId="1329CE63"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 xml:space="preserve"> Stott, C., West, O. and Harrison, M., 2020. A turning point, securitization, and policing in the context of Covid-19: building a new social contract between state and nation?. </w:t>
      </w:r>
      <w:r w:rsidRPr="009C689A">
        <w:rPr>
          <w:rFonts w:cs="Times New Roman"/>
          <w:i/>
          <w:iCs/>
          <w:color w:val="222222"/>
          <w:szCs w:val="24"/>
          <w:shd w:val="clear" w:color="auto" w:fill="FFFFFF"/>
        </w:rPr>
        <w:t>Policing: A Journal of Policy and Practice</w:t>
      </w:r>
      <w:r w:rsidRPr="009C689A">
        <w:rPr>
          <w:rFonts w:cs="Times New Roman"/>
          <w:color w:val="222222"/>
          <w:szCs w:val="24"/>
          <w:shd w:val="clear" w:color="auto" w:fill="FFFFFF"/>
        </w:rPr>
        <w:t>, </w:t>
      </w:r>
      <w:r w:rsidRPr="009C689A">
        <w:rPr>
          <w:rFonts w:cs="Times New Roman"/>
          <w:i/>
          <w:iCs/>
          <w:color w:val="222222"/>
          <w:szCs w:val="24"/>
          <w:shd w:val="clear" w:color="auto" w:fill="FFFFFF"/>
        </w:rPr>
        <w:t>14</w:t>
      </w:r>
      <w:r w:rsidRPr="009C689A">
        <w:rPr>
          <w:rFonts w:cs="Times New Roman"/>
          <w:color w:val="222222"/>
          <w:szCs w:val="24"/>
          <w:shd w:val="clear" w:color="auto" w:fill="FFFFFF"/>
        </w:rPr>
        <w:t>(3), pp.574-578.</w:t>
      </w:r>
    </w:p>
    <w:p w14:paraId="45DF607D"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Sukarman, S. and Wastika, E.T., 2022. Policing Models of Indonesian National Police, Royal Thai Force, and Philippine National Police: A Comparative Study. </w:t>
      </w:r>
      <w:r w:rsidRPr="009C689A">
        <w:rPr>
          <w:rFonts w:cs="Times New Roman"/>
          <w:i/>
          <w:iCs/>
          <w:color w:val="222222"/>
          <w:szCs w:val="24"/>
          <w:shd w:val="clear" w:color="auto" w:fill="FFFFFF"/>
        </w:rPr>
        <w:t>Budapest International Research and Critics Institute (BIRCI-Journal): Humanities and Social Sciences</w:t>
      </w:r>
      <w:r w:rsidRPr="009C689A">
        <w:rPr>
          <w:rFonts w:cs="Times New Roman"/>
          <w:color w:val="222222"/>
          <w:szCs w:val="24"/>
          <w:shd w:val="clear" w:color="auto" w:fill="FFFFFF"/>
        </w:rPr>
        <w:t>, </w:t>
      </w:r>
      <w:r w:rsidRPr="009C689A">
        <w:rPr>
          <w:rFonts w:cs="Times New Roman"/>
          <w:i/>
          <w:iCs/>
          <w:color w:val="222222"/>
          <w:szCs w:val="24"/>
          <w:shd w:val="clear" w:color="auto" w:fill="FFFFFF"/>
        </w:rPr>
        <w:t>5</w:t>
      </w:r>
      <w:r w:rsidRPr="009C689A">
        <w:rPr>
          <w:rFonts w:cs="Times New Roman"/>
          <w:color w:val="222222"/>
          <w:szCs w:val="24"/>
          <w:shd w:val="clear" w:color="auto" w:fill="FFFFFF"/>
        </w:rPr>
        <w:t>(2), pp.13328-13340.</w:t>
      </w:r>
    </w:p>
    <w:p w14:paraId="258581EA"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Watson, D., Boateng, F.D. and Miles-Johnson, T., 2021. Legitimizing policing practices: a study of stakeholder perceptions of police trustworthiness, effectiveness and relationship with the community. </w:t>
      </w:r>
      <w:r w:rsidRPr="009C689A">
        <w:rPr>
          <w:rFonts w:cs="Times New Roman"/>
          <w:i/>
          <w:iCs/>
          <w:color w:val="222222"/>
          <w:szCs w:val="24"/>
          <w:shd w:val="clear" w:color="auto" w:fill="FFFFFF"/>
        </w:rPr>
        <w:t>Police practice and research</w:t>
      </w:r>
      <w:r w:rsidRPr="009C689A">
        <w:rPr>
          <w:rFonts w:cs="Times New Roman"/>
          <w:color w:val="222222"/>
          <w:szCs w:val="24"/>
          <w:shd w:val="clear" w:color="auto" w:fill="FFFFFF"/>
        </w:rPr>
        <w:t>, </w:t>
      </w:r>
      <w:r w:rsidRPr="009C689A">
        <w:rPr>
          <w:rFonts w:cs="Times New Roman"/>
          <w:i/>
          <w:iCs/>
          <w:color w:val="222222"/>
          <w:szCs w:val="24"/>
          <w:shd w:val="clear" w:color="auto" w:fill="FFFFFF"/>
        </w:rPr>
        <w:t>22</w:t>
      </w:r>
      <w:r w:rsidRPr="009C689A">
        <w:rPr>
          <w:rFonts w:cs="Times New Roman"/>
          <w:color w:val="222222"/>
          <w:szCs w:val="24"/>
          <w:shd w:val="clear" w:color="auto" w:fill="FFFFFF"/>
        </w:rPr>
        <w:t>(1), pp.623-639.</w:t>
      </w:r>
    </w:p>
    <w:p w14:paraId="0DD5B412" w14:textId="77777777" w:rsidR="009C689A" w:rsidRPr="009C689A" w:rsidRDefault="009C689A" w:rsidP="009C689A">
      <w:pPr>
        <w:spacing w:line="360" w:lineRule="auto"/>
        <w:jc w:val="both"/>
        <w:rPr>
          <w:rFonts w:cs="Times New Roman"/>
          <w:szCs w:val="24"/>
        </w:rPr>
      </w:pPr>
      <w:r w:rsidRPr="009C689A">
        <w:rPr>
          <w:rFonts w:cs="Times New Roman"/>
          <w:color w:val="222222"/>
          <w:szCs w:val="24"/>
          <w:shd w:val="clear" w:color="auto" w:fill="FFFFFF"/>
        </w:rPr>
        <w:t>Wong, K. and Christmann, K., 2020. Policing and Consent. </w:t>
      </w:r>
      <w:r w:rsidRPr="009C689A">
        <w:rPr>
          <w:rFonts w:cs="Times New Roman"/>
          <w:i/>
          <w:iCs/>
          <w:color w:val="222222"/>
          <w:szCs w:val="24"/>
          <w:shd w:val="clear" w:color="auto" w:fill="FFFFFF"/>
        </w:rPr>
        <w:t>Metropolis</w:t>
      </w:r>
      <w:r w:rsidRPr="009C689A">
        <w:rPr>
          <w:rFonts w:cs="Times New Roman"/>
          <w:color w:val="222222"/>
          <w:szCs w:val="24"/>
          <w:shd w:val="clear" w:color="auto" w:fill="FFFFFF"/>
        </w:rPr>
        <w:t>.</w:t>
      </w:r>
    </w:p>
    <w:p w14:paraId="74E9C55D" w14:textId="77777777" w:rsidR="009C689A" w:rsidRPr="009C689A" w:rsidRDefault="009C689A" w:rsidP="009C689A"/>
    <w:p w14:paraId="0090393E" w14:textId="77777777" w:rsidR="009C689A" w:rsidRPr="009C689A" w:rsidRDefault="009C689A" w:rsidP="00BA4CA2">
      <w:pPr>
        <w:rPr>
          <w:rFonts w:eastAsiaTheme="majorEastAsia"/>
          <w:spacing w:val="5"/>
          <w:kern w:val="28"/>
          <w:szCs w:val="24"/>
        </w:rPr>
      </w:pPr>
    </w:p>
    <w:sectPr w:rsidR="009C689A" w:rsidRPr="009C689A" w:rsidSect="00BA4CA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38193" w14:textId="77777777" w:rsidR="00B83DEE" w:rsidRDefault="00B83DEE" w:rsidP="00BA4CA2">
      <w:pPr>
        <w:spacing w:after="0" w:line="240" w:lineRule="auto"/>
      </w:pPr>
      <w:r>
        <w:separator/>
      </w:r>
    </w:p>
  </w:endnote>
  <w:endnote w:type="continuationSeparator" w:id="0">
    <w:p w14:paraId="344050CF" w14:textId="77777777" w:rsidR="00B83DEE" w:rsidRDefault="00B83DEE" w:rsidP="00BA4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974981"/>
      <w:docPartObj>
        <w:docPartGallery w:val="Page Numbers (Bottom of Page)"/>
        <w:docPartUnique/>
      </w:docPartObj>
    </w:sdtPr>
    <w:sdtEndPr>
      <w:rPr>
        <w:noProof/>
      </w:rPr>
    </w:sdtEndPr>
    <w:sdtContent>
      <w:p w14:paraId="204F145C" w14:textId="77777777" w:rsidR="00BA4CA2" w:rsidRDefault="00BA4CA2">
        <w:pPr>
          <w:pStyle w:val="Footer"/>
          <w:jc w:val="right"/>
        </w:pPr>
        <w:r>
          <w:fldChar w:fldCharType="begin"/>
        </w:r>
        <w:r>
          <w:instrText xml:space="preserve"> PAGE   \* MERGEFORMAT </w:instrText>
        </w:r>
        <w:r>
          <w:fldChar w:fldCharType="separate"/>
        </w:r>
        <w:r w:rsidR="009C689A">
          <w:rPr>
            <w:noProof/>
          </w:rPr>
          <w:t>2</w:t>
        </w:r>
        <w:r>
          <w:rPr>
            <w:noProof/>
          </w:rPr>
          <w:fldChar w:fldCharType="end"/>
        </w:r>
      </w:p>
    </w:sdtContent>
  </w:sdt>
  <w:p w14:paraId="14CCBFED" w14:textId="77777777" w:rsidR="00BA4CA2" w:rsidRDefault="00BA4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89688" w14:textId="77777777" w:rsidR="00B83DEE" w:rsidRDefault="00B83DEE" w:rsidP="00BA4CA2">
      <w:pPr>
        <w:spacing w:after="0" w:line="240" w:lineRule="auto"/>
      </w:pPr>
      <w:r>
        <w:separator/>
      </w:r>
    </w:p>
  </w:footnote>
  <w:footnote w:type="continuationSeparator" w:id="0">
    <w:p w14:paraId="012A5658" w14:textId="77777777" w:rsidR="00B83DEE" w:rsidRDefault="00B83DEE" w:rsidP="00BA4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1742B"/>
    <w:multiLevelType w:val="multilevel"/>
    <w:tmpl w:val="D93AF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F15D5E"/>
    <w:multiLevelType w:val="hybridMultilevel"/>
    <w:tmpl w:val="3C588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D72EC2"/>
    <w:multiLevelType w:val="multilevel"/>
    <w:tmpl w:val="2EC6E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6453112">
    <w:abstractNumId w:val="0"/>
  </w:num>
  <w:num w:numId="2" w16cid:durableId="294063302">
    <w:abstractNumId w:val="1"/>
  </w:num>
  <w:num w:numId="3" w16cid:durableId="873078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A4CA2"/>
    <w:rsid w:val="00037681"/>
    <w:rsid w:val="000A262E"/>
    <w:rsid w:val="000B4DE4"/>
    <w:rsid w:val="001A7C2C"/>
    <w:rsid w:val="001E0C64"/>
    <w:rsid w:val="0029022F"/>
    <w:rsid w:val="002D6DCD"/>
    <w:rsid w:val="00313C44"/>
    <w:rsid w:val="003B5726"/>
    <w:rsid w:val="004505B9"/>
    <w:rsid w:val="005716E4"/>
    <w:rsid w:val="007E0B94"/>
    <w:rsid w:val="00830165"/>
    <w:rsid w:val="00910937"/>
    <w:rsid w:val="00956C8F"/>
    <w:rsid w:val="0096611F"/>
    <w:rsid w:val="009C689A"/>
    <w:rsid w:val="00A944EA"/>
    <w:rsid w:val="00B6377F"/>
    <w:rsid w:val="00B83DEE"/>
    <w:rsid w:val="00BA4CA2"/>
    <w:rsid w:val="00C729F8"/>
    <w:rsid w:val="00C77118"/>
    <w:rsid w:val="00D76E73"/>
    <w:rsid w:val="00DB034D"/>
    <w:rsid w:val="00DB25EA"/>
    <w:rsid w:val="00E64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F64AD"/>
  <w15:docId w15:val="{DBD02C40-E013-2442-8C3B-9ED0ADBCC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7681"/>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37681"/>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681"/>
    <w:rPr>
      <w:rFonts w:eastAsiaTheme="majorEastAsia" w:cstheme="majorBidi"/>
      <w:b/>
      <w:bCs/>
      <w:color w:val="000000" w:themeColor="text1"/>
      <w:sz w:val="28"/>
      <w:szCs w:val="28"/>
    </w:rPr>
  </w:style>
  <w:style w:type="character" w:customStyle="1" w:styleId="Heading2Char">
    <w:name w:val="Heading 2 Char"/>
    <w:basedOn w:val="DefaultParagraphFont"/>
    <w:link w:val="Heading2"/>
    <w:uiPriority w:val="9"/>
    <w:rsid w:val="00037681"/>
    <w:rPr>
      <w:rFonts w:eastAsiaTheme="majorEastAsia" w:cstheme="majorBidi"/>
      <w:b/>
      <w:bCs/>
      <w:color w:val="000000" w:themeColor="text1"/>
      <w:sz w:val="26"/>
      <w:szCs w:val="26"/>
    </w:rPr>
  </w:style>
  <w:style w:type="paragraph" w:styleId="Header">
    <w:name w:val="header"/>
    <w:basedOn w:val="Normal"/>
    <w:link w:val="HeaderChar"/>
    <w:uiPriority w:val="99"/>
    <w:unhideWhenUsed/>
    <w:rsid w:val="00BA4C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CA2"/>
  </w:style>
  <w:style w:type="paragraph" w:styleId="Footer">
    <w:name w:val="footer"/>
    <w:basedOn w:val="Normal"/>
    <w:link w:val="FooterChar"/>
    <w:uiPriority w:val="99"/>
    <w:unhideWhenUsed/>
    <w:rsid w:val="00BA4C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CA2"/>
  </w:style>
  <w:style w:type="paragraph" w:styleId="Title">
    <w:name w:val="Title"/>
    <w:basedOn w:val="Normal"/>
    <w:next w:val="Normal"/>
    <w:link w:val="TitleChar"/>
    <w:uiPriority w:val="10"/>
    <w:qFormat/>
    <w:rsid w:val="00BA4C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A4CA2"/>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BA4CA2"/>
    <w:pPr>
      <w:outlineLvl w:val="9"/>
    </w:pPr>
    <w:rPr>
      <w:rFonts w:asciiTheme="majorHAnsi" w:hAnsiTheme="majorHAnsi"/>
      <w:color w:val="365F91" w:themeColor="accent1" w:themeShade="BF"/>
      <w:lang w:eastAsia="ja-JP"/>
    </w:rPr>
  </w:style>
  <w:style w:type="paragraph" w:styleId="BalloonText">
    <w:name w:val="Balloon Text"/>
    <w:basedOn w:val="Normal"/>
    <w:link w:val="BalloonTextChar"/>
    <w:uiPriority w:val="99"/>
    <w:semiHidden/>
    <w:unhideWhenUsed/>
    <w:rsid w:val="00BA4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CA2"/>
    <w:rPr>
      <w:rFonts w:ascii="Tahoma" w:hAnsi="Tahoma" w:cs="Tahoma"/>
      <w:sz w:val="16"/>
      <w:szCs w:val="16"/>
    </w:rPr>
  </w:style>
  <w:style w:type="paragraph" w:styleId="NormalWeb">
    <w:name w:val="Normal (Web)"/>
    <w:basedOn w:val="Normal"/>
    <w:uiPriority w:val="99"/>
    <w:unhideWhenUsed/>
    <w:rsid w:val="00BA4CA2"/>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unhideWhenUsed/>
    <w:rsid w:val="00313C44"/>
    <w:pPr>
      <w:tabs>
        <w:tab w:val="right" w:leader="dot" w:pos="9350"/>
      </w:tabs>
      <w:spacing w:after="100"/>
      <w:jc w:val="both"/>
    </w:pPr>
  </w:style>
  <w:style w:type="paragraph" w:styleId="TOC2">
    <w:name w:val="toc 2"/>
    <w:basedOn w:val="Normal"/>
    <w:next w:val="Normal"/>
    <w:autoRedefine/>
    <w:uiPriority w:val="39"/>
    <w:unhideWhenUsed/>
    <w:rsid w:val="00BA4CA2"/>
    <w:pPr>
      <w:spacing w:after="100"/>
      <w:ind w:left="240"/>
    </w:pPr>
  </w:style>
  <w:style w:type="character" w:styleId="Hyperlink">
    <w:name w:val="Hyperlink"/>
    <w:basedOn w:val="DefaultParagraphFont"/>
    <w:uiPriority w:val="99"/>
    <w:unhideWhenUsed/>
    <w:rsid w:val="00BA4C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37789">
      <w:bodyDiv w:val="1"/>
      <w:marLeft w:val="0"/>
      <w:marRight w:val="0"/>
      <w:marTop w:val="0"/>
      <w:marBottom w:val="0"/>
      <w:divBdr>
        <w:top w:val="none" w:sz="0" w:space="0" w:color="auto"/>
        <w:left w:val="none" w:sz="0" w:space="0" w:color="auto"/>
        <w:bottom w:val="none" w:sz="0" w:space="0" w:color="auto"/>
        <w:right w:val="none" w:sz="0" w:space="0" w:color="auto"/>
      </w:divBdr>
      <w:divsChild>
        <w:div w:id="533076637">
          <w:marLeft w:val="0"/>
          <w:marRight w:val="0"/>
          <w:marTop w:val="0"/>
          <w:marBottom w:val="0"/>
          <w:divBdr>
            <w:top w:val="none" w:sz="0" w:space="0" w:color="auto"/>
            <w:left w:val="none" w:sz="0" w:space="0" w:color="auto"/>
            <w:bottom w:val="none" w:sz="0" w:space="0" w:color="auto"/>
            <w:right w:val="none" w:sz="0" w:space="0" w:color="auto"/>
          </w:divBdr>
        </w:div>
      </w:divsChild>
    </w:div>
    <w:div w:id="51856658">
      <w:bodyDiv w:val="1"/>
      <w:marLeft w:val="0"/>
      <w:marRight w:val="0"/>
      <w:marTop w:val="0"/>
      <w:marBottom w:val="0"/>
      <w:divBdr>
        <w:top w:val="none" w:sz="0" w:space="0" w:color="auto"/>
        <w:left w:val="none" w:sz="0" w:space="0" w:color="auto"/>
        <w:bottom w:val="none" w:sz="0" w:space="0" w:color="auto"/>
        <w:right w:val="none" w:sz="0" w:space="0" w:color="auto"/>
      </w:divBdr>
      <w:divsChild>
        <w:div w:id="1339963916">
          <w:marLeft w:val="0"/>
          <w:marRight w:val="0"/>
          <w:marTop w:val="0"/>
          <w:marBottom w:val="0"/>
          <w:divBdr>
            <w:top w:val="none" w:sz="0" w:space="0" w:color="auto"/>
            <w:left w:val="none" w:sz="0" w:space="0" w:color="auto"/>
            <w:bottom w:val="none" w:sz="0" w:space="0" w:color="auto"/>
            <w:right w:val="none" w:sz="0" w:space="0" w:color="auto"/>
          </w:divBdr>
        </w:div>
      </w:divsChild>
    </w:div>
    <w:div w:id="179204210">
      <w:bodyDiv w:val="1"/>
      <w:marLeft w:val="0"/>
      <w:marRight w:val="0"/>
      <w:marTop w:val="0"/>
      <w:marBottom w:val="0"/>
      <w:divBdr>
        <w:top w:val="none" w:sz="0" w:space="0" w:color="auto"/>
        <w:left w:val="none" w:sz="0" w:space="0" w:color="auto"/>
        <w:bottom w:val="none" w:sz="0" w:space="0" w:color="auto"/>
        <w:right w:val="none" w:sz="0" w:space="0" w:color="auto"/>
      </w:divBdr>
      <w:divsChild>
        <w:div w:id="1710689248">
          <w:marLeft w:val="0"/>
          <w:marRight w:val="0"/>
          <w:marTop w:val="0"/>
          <w:marBottom w:val="0"/>
          <w:divBdr>
            <w:top w:val="none" w:sz="0" w:space="0" w:color="auto"/>
            <w:left w:val="none" w:sz="0" w:space="0" w:color="auto"/>
            <w:bottom w:val="none" w:sz="0" w:space="0" w:color="auto"/>
            <w:right w:val="none" w:sz="0" w:space="0" w:color="auto"/>
          </w:divBdr>
        </w:div>
      </w:divsChild>
    </w:div>
    <w:div w:id="318775787">
      <w:bodyDiv w:val="1"/>
      <w:marLeft w:val="0"/>
      <w:marRight w:val="0"/>
      <w:marTop w:val="0"/>
      <w:marBottom w:val="0"/>
      <w:divBdr>
        <w:top w:val="none" w:sz="0" w:space="0" w:color="auto"/>
        <w:left w:val="none" w:sz="0" w:space="0" w:color="auto"/>
        <w:bottom w:val="none" w:sz="0" w:space="0" w:color="auto"/>
        <w:right w:val="none" w:sz="0" w:space="0" w:color="auto"/>
      </w:divBdr>
      <w:divsChild>
        <w:div w:id="397629150">
          <w:marLeft w:val="0"/>
          <w:marRight w:val="0"/>
          <w:marTop w:val="0"/>
          <w:marBottom w:val="0"/>
          <w:divBdr>
            <w:top w:val="none" w:sz="0" w:space="0" w:color="auto"/>
            <w:left w:val="none" w:sz="0" w:space="0" w:color="auto"/>
            <w:bottom w:val="none" w:sz="0" w:space="0" w:color="auto"/>
            <w:right w:val="none" w:sz="0" w:space="0" w:color="auto"/>
          </w:divBdr>
        </w:div>
      </w:divsChild>
    </w:div>
    <w:div w:id="329990867">
      <w:bodyDiv w:val="1"/>
      <w:marLeft w:val="0"/>
      <w:marRight w:val="0"/>
      <w:marTop w:val="0"/>
      <w:marBottom w:val="0"/>
      <w:divBdr>
        <w:top w:val="none" w:sz="0" w:space="0" w:color="auto"/>
        <w:left w:val="none" w:sz="0" w:space="0" w:color="auto"/>
        <w:bottom w:val="none" w:sz="0" w:space="0" w:color="auto"/>
        <w:right w:val="none" w:sz="0" w:space="0" w:color="auto"/>
      </w:divBdr>
      <w:divsChild>
        <w:div w:id="1989705200">
          <w:marLeft w:val="0"/>
          <w:marRight w:val="0"/>
          <w:marTop w:val="0"/>
          <w:marBottom w:val="0"/>
          <w:divBdr>
            <w:top w:val="none" w:sz="0" w:space="0" w:color="auto"/>
            <w:left w:val="none" w:sz="0" w:space="0" w:color="auto"/>
            <w:bottom w:val="none" w:sz="0" w:space="0" w:color="auto"/>
            <w:right w:val="none" w:sz="0" w:space="0" w:color="auto"/>
          </w:divBdr>
        </w:div>
      </w:divsChild>
    </w:div>
    <w:div w:id="546449353">
      <w:bodyDiv w:val="1"/>
      <w:marLeft w:val="0"/>
      <w:marRight w:val="0"/>
      <w:marTop w:val="0"/>
      <w:marBottom w:val="0"/>
      <w:divBdr>
        <w:top w:val="none" w:sz="0" w:space="0" w:color="auto"/>
        <w:left w:val="none" w:sz="0" w:space="0" w:color="auto"/>
        <w:bottom w:val="none" w:sz="0" w:space="0" w:color="auto"/>
        <w:right w:val="none" w:sz="0" w:space="0" w:color="auto"/>
      </w:divBdr>
      <w:divsChild>
        <w:div w:id="1439181084">
          <w:marLeft w:val="0"/>
          <w:marRight w:val="0"/>
          <w:marTop w:val="0"/>
          <w:marBottom w:val="0"/>
          <w:divBdr>
            <w:top w:val="none" w:sz="0" w:space="0" w:color="auto"/>
            <w:left w:val="none" w:sz="0" w:space="0" w:color="auto"/>
            <w:bottom w:val="none" w:sz="0" w:space="0" w:color="auto"/>
            <w:right w:val="none" w:sz="0" w:space="0" w:color="auto"/>
          </w:divBdr>
        </w:div>
      </w:divsChild>
    </w:div>
    <w:div w:id="619921447">
      <w:bodyDiv w:val="1"/>
      <w:marLeft w:val="0"/>
      <w:marRight w:val="0"/>
      <w:marTop w:val="0"/>
      <w:marBottom w:val="0"/>
      <w:divBdr>
        <w:top w:val="none" w:sz="0" w:space="0" w:color="auto"/>
        <w:left w:val="none" w:sz="0" w:space="0" w:color="auto"/>
        <w:bottom w:val="none" w:sz="0" w:space="0" w:color="auto"/>
        <w:right w:val="none" w:sz="0" w:space="0" w:color="auto"/>
      </w:divBdr>
    </w:div>
    <w:div w:id="720059099">
      <w:bodyDiv w:val="1"/>
      <w:marLeft w:val="0"/>
      <w:marRight w:val="0"/>
      <w:marTop w:val="0"/>
      <w:marBottom w:val="0"/>
      <w:divBdr>
        <w:top w:val="none" w:sz="0" w:space="0" w:color="auto"/>
        <w:left w:val="none" w:sz="0" w:space="0" w:color="auto"/>
        <w:bottom w:val="none" w:sz="0" w:space="0" w:color="auto"/>
        <w:right w:val="none" w:sz="0" w:space="0" w:color="auto"/>
      </w:divBdr>
      <w:divsChild>
        <w:div w:id="33967277">
          <w:marLeft w:val="0"/>
          <w:marRight w:val="0"/>
          <w:marTop w:val="0"/>
          <w:marBottom w:val="0"/>
          <w:divBdr>
            <w:top w:val="none" w:sz="0" w:space="0" w:color="auto"/>
            <w:left w:val="none" w:sz="0" w:space="0" w:color="auto"/>
            <w:bottom w:val="none" w:sz="0" w:space="0" w:color="auto"/>
            <w:right w:val="none" w:sz="0" w:space="0" w:color="auto"/>
          </w:divBdr>
        </w:div>
      </w:divsChild>
    </w:div>
    <w:div w:id="720708584">
      <w:bodyDiv w:val="1"/>
      <w:marLeft w:val="0"/>
      <w:marRight w:val="0"/>
      <w:marTop w:val="0"/>
      <w:marBottom w:val="0"/>
      <w:divBdr>
        <w:top w:val="none" w:sz="0" w:space="0" w:color="auto"/>
        <w:left w:val="none" w:sz="0" w:space="0" w:color="auto"/>
        <w:bottom w:val="none" w:sz="0" w:space="0" w:color="auto"/>
        <w:right w:val="none" w:sz="0" w:space="0" w:color="auto"/>
      </w:divBdr>
      <w:divsChild>
        <w:div w:id="2061395319">
          <w:marLeft w:val="0"/>
          <w:marRight w:val="0"/>
          <w:marTop w:val="0"/>
          <w:marBottom w:val="0"/>
          <w:divBdr>
            <w:top w:val="none" w:sz="0" w:space="0" w:color="auto"/>
            <w:left w:val="none" w:sz="0" w:space="0" w:color="auto"/>
            <w:bottom w:val="none" w:sz="0" w:space="0" w:color="auto"/>
            <w:right w:val="none" w:sz="0" w:space="0" w:color="auto"/>
          </w:divBdr>
        </w:div>
      </w:divsChild>
    </w:div>
    <w:div w:id="891038348">
      <w:bodyDiv w:val="1"/>
      <w:marLeft w:val="0"/>
      <w:marRight w:val="0"/>
      <w:marTop w:val="0"/>
      <w:marBottom w:val="0"/>
      <w:divBdr>
        <w:top w:val="none" w:sz="0" w:space="0" w:color="auto"/>
        <w:left w:val="none" w:sz="0" w:space="0" w:color="auto"/>
        <w:bottom w:val="none" w:sz="0" w:space="0" w:color="auto"/>
        <w:right w:val="none" w:sz="0" w:space="0" w:color="auto"/>
      </w:divBdr>
    </w:div>
    <w:div w:id="919674700">
      <w:bodyDiv w:val="1"/>
      <w:marLeft w:val="0"/>
      <w:marRight w:val="0"/>
      <w:marTop w:val="0"/>
      <w:marBottom w:val="0"/>
      <w:divBdr>
        <w:top w:val="none" w:sz="0" w:space="0" w:color="auto"/>
        <w:left w:val="none" w:sz="0" w:space="0" w:color="auto"/>
        <w:bottom w:val="none" w:sz="0" w:space="0" w:color="auto"/>
        <w:right w:val="none" w:sz="0" w:space="0" w:color="auto"/>
      </w:divBdr>
      <w:divsChild>
        <w:div w:id="1877043275">
          <w:marLeft w:val="0"/>
          <w:marRight w:val="0"/>
          <w:marTop w:val="0"/>
          <w:marBottom w:val="0"/>
          <w:divBdr>
            <w:top w:val="none" w:sz="0" w:space="0" w:color="auto"/>
            <w:left w:val="none" w:sz="0" w:space="0" w:color="auto"/>
            <w:bottom w:val="none" w:sz="0" w:space="0" w:color="auto"/>
            <w:right w:val="none" w:sz="0" w:space="0" w:color="auto"/>
          </w:divBdr>
        </w:div>
      </w:divsChild>
    </w:div>
    <w:div w:id="1221986193">
      <w:bodyDiv w:val="1"/>
      <w:marLeft w:val="0"/>
      <w:marRight w:val="0"/>
      <w:marTop w:val="0"/>
      <w:marBottom w:val="0"/>
      <w:divBdr>
        <w:top w:val="none" w:sz="0" w:space="0" w:color="auto"/>
        <w:left w:val="none" w:sz="0" w:space="0" w:color="auto"/>
        <w:bottom w:val="none" w:sz="0" w:space="0" w:color="auto"/>
        <w:right w:val="none" w:sz="0" w:space="0" w:color="auto"/>
      </w:divBdr>
      <w:divsChild>
        <w:div w:id="213200601">
          <w:marLeft w:val="0"/>
          <w:marRight w:val="0"/>
          <w:marTop w:val="0"/>
          <w:marBottom w:val="0"/>
          <w:divBdr>
            <w:top w:val="none" w:sz="0" w:space="0" w:color="auto"/>
            <w:left w:val="none" w:sz="0" w:space="0" w:color="auto"/>
            <w:bottom w:val="none" w:sz="0" w:space="0" w:color="auto"/>
            <w:right w:val="none" w:sz="0" w:space="0" w:color="auto"/>
          </w:divBdr>
        </w:div>
      </w:divsChild>
    </w:div>
    <w:div w:id="1601181274">
      <w:bodyDiv w:val="1"/>
      <w:marLeft w:val="0"/>
      <w:marRight w:val="0"/>
      <w:marTop w:val="0"/>
      <w:marBottom w:val="0"/>
      <w:divBdr>
        <w:top w:val="none" w:sz="0" w:space="0" w:color="auto"/>
        <w:left w:val="none" w:sz="0" w:space="0" w:color="auto"/>
        <w:bottom w:val="none" w:sz="0" w:space="0" w:color="auto"/>
        <w:right w:val="none" w:sz="0" w:space="0" w:color="auto"/>
      </w:divBdr>
      <w:divsChild>
        <w:div w:id="118768524">
          <w:marLeft w:val="0"/>
          <w:marRight w:val="0"/>
          <w:marTop w:val="0"/>
          <w:marBottom w:val="0"/>
          <w:divBdr>
            <w:top w:val="none" w:sz="0" w:space="0" w:color="auto"/>
            <w:left w:val="none" w:sz="0" w:space="0" w:color="auto"/>
            <w:bottom w:val="none" w:sz="0" w:space="0" w:color="auto"/>
            <w:right w:val="none" w:sz="0" w:space="0" w:color="auto"/>
          </w:divBdr>
        </w:div>
      </w:divsChild>
    </w:div>
    <w:div w:id="1608272458">
      <w:bodyDiv w:val="1"/>
      <w:marLeft w:val="0"/>
      <w:marRight w:val="0"/>
      <w:marTop w:val="0"/>
      <w:marBottom w:val="0"/>
      <w:divBdr>
        <w:top w:val="none" w:sz="0" w:space="0" w:color="auto"/>
        <w:left w:val="none" w:sz="0" w:space="0" w:color="auto"/>
        <w:bottom w:val="none" w:sz="0" w:space="0" w:color="auto"/>
        <w:right w:val="none" w:sz="0" w:space="0" w:color="auto"/>
      </w:divBdr>
      <w:divsChild>
        <w:div w:id="1833713624">
          <w:marLeft w:val="0"/>
          <w:marRight w:val="0"/>
          <w:marTop w:val="0"/>
          <w:marBottom w:val="0"/>
          <w:divBdr>
            <w:top w:val="none" w:sz="0" w:space="0" w:color="auto"/>
            <w:left w:val="none" w:sz="0" w:space="0" w:color="auto"/>
            <w:bottom w:val="none" w:sz="0" w:space="0" w:color="auto"/>
            <w:right w:val="none" w:sz="0" w:space="0" w:color="auto"/>
          </w:divBdr>
        </w:div>
      </w:divsChild>
    </w:div>
    <w:div w:id="1672030173">
      <w:bodyDiv w:val="1"/>
      <w:marLeft w:val="0"/>
      <w:marRight w:val="0"/>
      <w:marTop w:val="0"/>
      <w:marBottom w:val="0"/>
      <w:divBdr>
        <w:top w:val="none" w:sz="0" w:space="0" w:color="auto"/>
        <w:left w:val="none" w:sz="0" w:space="0" w:color="auto"/>
        <w:bottom w:val="none" w:sz="0" w:space="0" w:color="auto"/>
        <w:right w:val="none" w:sz="0" w:space="0" w:color="auto"/>
      </w:divBdr>
    </w:div>
    <w:div w:id="1984235863">
      <w:bodyDiv w:val="1"/>
      <w:marLeft w:val="0"/>
      <w:marRight w:val="0"/>
      <w:marTop w:val="0"/>
      <w:marBottom w:val="0"/>
      <w:divBdr>
        <w:top w:val="none" w:sz="0" w:space="0" w:color="auto"/>
        <w:left w:val="none" w:sz="0" w:space="0" w:color="auto"/>
        <w:bottom w:val="none" w:sz="0" w:space="0" w:color="auto"/>
        <w:right w:val="none" w:sz="0" w:space="0" w:color="auto"/>
      </w:divBdr>
      <w:divsChild>
        <w:div w:id="1339387771">
          <w:marLeft w:val="0"/>
          <w:marRight w:val="0"/>
          <w:marTop w:val="0"/>
          <w:marBottom w:val="0"/>
          <w:divBdr>
            <w:top w:val="none" w:sz="0" w:space="0" w:color="auto"/>
            <w:left w:val="none" w:sz="0" w:space="0" w:color="auto"/>
            <w:bottom w:val="none" w:sz="0" w:space="0" w:color="auto"/>
            <w:right w:val="none" w:sz="0" w:space="0" w:color="auto"/>
          </w:divBdr>
        </w:div>
      </w:divsChild>
    </w:div>
    <w:div w:id="2084986827">
      <w:bodyDiv w:val="1"/>
      <w:marLeft w:val="0"/>
      <w:marRight w:val="0"/>
      <w:marTop w:val="0"/>
      <w:marBottom w:val="0"/>
      <w:divBdr>
        <w:top w:val="none" w:sz="0" w:space="0" w:color="auto"/>
        <w:left w:val="none" w:sz="0" w:space="0" w:color="auto"/>
        <w:bottom w:val="none" w:sz="0" w:space="0" w:color="auto"/>
        <w:right w:val="none" w:sz="0" w:space="0" w:color="auto"/>
      </w:divBdr>
      <w:divsChild>
        <w:div w:id="156457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9EE050-240F-4D77-A01B-3EF6BC8382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1826</Words>
  <Characters>10413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PARAMJIT</dc:creator>
  <cp:lastModifiedBy>8801986504223</cp:lastModifiedBy>
  <cp:revision>2</cp:revision>
  <dcterms:created xsi:type="dcterms:W3CDTF">2022-11-06T17:17:00Z</dcterms:created>
  <dcterms:modified xsi:type="dcterms:W3CDTF">2022-11-06T17:17:00Z</dcterms:modified>
</cp:coreProperties>
</file>