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49C23" w14:textId="75A817FC" w:rsidR="00A704DB" w:rsidRPr="00A704DB" w:rsidRDefault="00A704DB" w:rsidP="00172856">
      <w:pPr>
        <w:pStyle w:val="paragraph"/>
        <w:spacing w:before="0" w:beforeAutospacing="0" w:after="0" w:afterAutospacing="0"/>
        <w:textAlignment w:val="baseline"/>
        <w:rPr>
          <w:rFonts w:ascii="Arial" w:hAnsi="Arial" w:cs="Arial"/>
          <w:b/>
          <w:bCs/>
          <w:sz w:val="44"/>
          <w:szCs w:val="44"/>
          <w:highlight w:val="darkGray"/>
        </w:rPr>
      </w:pPr>
      <w:r w:rsidRPr="00A704DB">
        <w:rPr>
          <w:rFonts w:ascii="Arial" w:hAnsi="Arial" w:cs="Arial"/>
          <w:b/>
          <w:bCs/>
          <w:sz w:val="44"/>
          <w:szCs w:val="44"/>
          <w:highlight w:val="darkGray"/>
        </w:rPr>
        <w:t>Property Law:</w:t>
      </w:r>
    </w:p>
    <w:p w14:paraId="4CAD06B2" w14:textId="53832F60" w:rsidR="00A704DB" w:rsidRPr="00A704DB" w:rsidRDefault="00A704DB" w:rsidP="00172856">
      <w:pPr>
        <w:pStyle w:val="paragraph"/>
        <w:spacing w:before="0" w:beforeAutospacing="0" w:after="0" w:afterAutospacing="0"/>
        <w:textAlignment w:val="baseline"/>
        <w:rPr>
          <w:rFonts w:ascii="Arial" w:hAnsi="Arial" w:cs="Arial"/>
          <w:b/>
          <w:bCs/>
          <w:sz w:val="44"/>
          <w:szCs w:val="44"/>
        </w:rPr>
      </w:pPr>
      <w:r w:rsidRPr="00A704DB">
        <w:rPr>
          <w:rFonts w:ascii="Arial" w:hAnsi="Arial" w:cs="Arial"/>
          <w:b/>
          <w:bCs/>
          <w:sz w:val="44"/>
          <w:szCs w:val="44"/>
          <w:highlight w:val="darkGray"/>
        </w:rPr>
        <w:t>Assignment 1:</w:t>
      </w:r>
      <w:r w:rsidRPr="00A704DB">
        <w:rPr>
          <w:rFonts w:ascii="Arial" w:hAnsi="Arial" w:cs="Arial"/>
          <w:b/>
          <w:bCs/>
          <w:sz w:val="44"/>
          <w:szCs w:val="44"/>
        </w:rPr>
        <w:t xml:space="preserve"> </w:t>
      </w:r>
    </w:p>
    <w:p w14:paraId="462E09C8"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2425637B"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7049E440"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1C3DFF1F"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35EF3969"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2FD214C3"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48838660"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01836787"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6648CD7D"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27844B25"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527DF5C7"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5C7947AD" w14:textId="58888B01" w:rsidR="00A704DB" w:rsidRDefault="00A704DB" w:rsidP="00172856">
      <w:pPr>
        <w:pStyle w:val="paragraph"/>
        <w:spacing w:before="0" w:beforeAutospacing="0" w:after="0" w:afterAutospacing="0"/>
        <w:textAlignment w:val="baseline"/>
        <w:rPr>
          <w:rFonts w:ascii="Arial" w:hAnsi="Arial" w:cs="Arial"/>
          <w:b/>
          <w:bCs/>
          <w:u w:val="single"/>
        </w:rPr>
      </w:pPr>
    </w:p>
    <w:p w14:paraId="09498E0B" w14:textId="65DAE5F4" w:rsidR="00A704DB" w:rsidRDefault="00A704DB" w:rsidP="00172856">
      <w:pPr>
        <w:pStyle w:val="paragraph"/>
        <w:spacing w:before="0" w:beforeAutospacing="0" w:after="0" w:afterAutospacing="0"/>
        <w:textAlignment w:val="baseline"/>
        <w:rPr>
          <w:rFonts w:ascii="Arial" w:hAnsi="Arial" w:cs="Arial"/>
          <w:b/>
          <w:bCs/>
          <w:u w:val="single"/>
        </w:rPr>
      </w:pPr>
    </w:p>
    <w:p w14:paraId="19B4B70E" w14:textId="44DF5FC3" w:rsidR="00A704DB" w:rsidRDefault="00A704DB" w:rsidP="00172856">
      <w:pPr>
        <w:pStyle w:val="paragraph"/>
        <w:spacing w:before="0" w:beforeAutospacing="0" w:after="0" w:afterAutospacing="0"/>
        <w:textAlignment w:val="baseline"/>
        <w:rPr>
          <w:rFonts w:ascii="Arial" w:hAnsi="Arial" w:cs="Arial"/>
          <w:b/>
          <w:bCs/>
          <w:u w:val="single"/>
        </w:rPr>
      </w:pPr>
    </w:p>
    <w:p w14:paraId="4869A736" w14:textId="1840A7A0" w:rsidR="00A704DB" w:rsidRDefault="00A704DB" w:rsidP="00172856">
      <w:pPr>
        <w:pStyle w:val="paragraph"/>
        <w:spacing w:before="0" w:beforeAutospacing="0" w:after="0" w:afterAutospacing="0"/>
        <w:textAlignment w:val="baseline"/>
        <w:rPr>
          <w:rFonts w:ascii="Arial" w:hAnsi="Arial" w:cs="Arial"/>
          <w:b/>
          <w:bCs/>
          <w:u w:val="single"/>
        </w:rPr>
      </w:pPr>
    </w:p>
    <w:p w14:paraId="036B52E9" w14:textId="47586772" w:rsidR="00A704DB" w:rsidRDefault="00A704DB" w:rsidP="00172856">
      <w:pPr>
        <w:pStyle w:val="paragraph"/>
        <w:spacing w:before="0" w:beforeAutospacing="0" w:after="0" w:afterAutospacing="0"/>
        <w:textAlignment w:val="baseline"/>
        <w:rPr>
          <w:rFonts w:ascii="Arial" w:hAnsi="Arial" w:cs="Arial"/>
          <w:b/>
          <w:bCs/>
          <w:u w:val="single"/>
        </w:rPr>
      </w:pPr>
    </w:p>
    <w:p w14:paraId="25856019" w14:textId="08C47734" w:rsidR="00A704DB" w:rsidRDefault="00A704DB" w:rsidP="00172856">
      <w:pPr>
        <w:pStyle w:val="paragraph"/>
        <w:spacing w:before="0" w:beforeAutospacing="0" w:after="0" w:afterAutospacing="0"/>
        <w:textAlignment w:val="baseline"/>
        <w:rPr>
          <w:rFonts w:ascii="Arial" w:hAnsi="Arial" w:cs="Arial"/>
          <w:b/>
          <w:bCs/>
          <w:u w:val="single"/>
        </w:rPr>
      </w:pPr>
    </w:p>
    <w:p w14:paraId="741DAA61" w14:textId="311E36B0" w:rsidR="00A704DB" w:rsidRDefault="00A704DB" w:rsidP="00172856">
      <w:pPr>
        <w:pStyle w:val="paragraph"/>
        <w:spacing w:before="0" w:beforeAutospacing="0" w:after="0" w:afterAutospacing="0"/>
        <w:textAlignment w:val="baseline"/>
        <w:rPr>
          <w:rFonts w:ascii="Arial" w:hAnsi="Arial" w:cs="Arial"/>
          <w:b/>
          <w:bCs/>
          <w:u w:val="single"/>
        </w:rPr>
      </w:pPr>
    </w:p>
    <w:p w14:paraId="6F24C3B1" w14:textId="7074619F" w:rsidR="00A704DB" w:rsidRDefault="00A704DB" w:rsidP="00172856">
      <w:pPr>
        <w:pStyle w:val="paragraph"/>
        <w:spacing w:before="0" w:beforeAutospacing="0" w:after="0" w:afterAutospacing="0"/>
        <w:textAlignment w:val="baseline"/>
        <w:rPr>
          <w:rFonts w:ascii="Arial" w:hAnsi="Arial" w:cs="Arial"/>
          <w:b/>
          <w:bCs/>
          <w:u w:val="single"/>
        </w:rPr>
      </w:pPr>
    </w:p>
    <w:p w14:paraId="3BD20893" w14:textId="039FB3F7" w:rsidR="00A704DB" w:rsidRDefault="00A704DB" w:rsidP="00172856">
      <w:pPr>
        <w:pStyle w:val="paragraph"/>
        <w:spacing w:before="0" w:beforeAutospacing="0" w:after="0" w:afterAutospacing="0"/>
        <w:textAlignment w:val="baseline"/>
        <w:rPr>
          <w:rFonts w:ascii="Arial" w:hAnsi="Arial" w:cs="Arial"/>
          <w:b/>
          <w:bCs/>
          <w:u w:val="single"/>
        </w:rPr>
      </w:pPr>
    </w:p>
    <w:p w14:paraId="20C7C5ED" w14:textId="2B00DB9B" w:rsidR="00A704DB" w:rsidRDefault="00A704DB" w:rsidP="00172856">
      <w:pPr>
        <w:pStyle w:val="paragraph"/>
        <w:spacing w:before="0" w:beforeAutospacing="0" w:after="0" w:afterAutospacing="0"/>
        <w:textAlignment w:val="baseline"/>
        <w:rPr>
          <w:rFonts w:ascii="Arial" w:hAnsi="Arial" w:cs="Arial"/>
          <w:b/>
          <w:bCs/>
          <w:u w:val="single"/>
        </w:rPr>
      </w:pPr>
    </w:p>
    <w:p w14:paraId="5AF5A039" w14:textId="1C109F86" w:rsidR="00A704DB" w:rsidRDefault="00A704DB" w:rsidP="00172856">
      <w:pPr>
        <w:pStyle w:val="paragraph"/>
        <w:spacing w:before="0" w:beforeAutospacing="0" w:after="0" w:afterAutospacing="0"/>
        <w:textAlignment w:val="baseline"/>
        <w:rPr>
          <w:rFonts w:ascii="Arial" w:hAnsi="Arial" w:cs="Arial"/>
          <w:b/>
          <w:bCs/>
          <w:u w:val="single"/>
        </w:rPr>
      </w:pPr>
    </w:p>
    <w:p w14:paraId="44C491F9" w14:textId="4420E36F" w:rsidR="00A704DB" w:rsidRDefault="00A704DB" w:rsidP="00172856">
      <w:pPr>
        <w:pStyle w:val="paragraph"/>
        <w:spacing w:before="0" w:beforeAutospacing="0" w:after="0" w:afterAutospacing="0"/>
        <w:textAlignment w:val="baseline"/>
        <w:rPr>
          <w:rFonts w:ascii="Arial" w:hAnsi="Arial" w:cs="Arial"/>
          <w:b/>
          <w:bCs/>
          <w:u w:val="single"/>
        </w:rPr>
      </w:pPr>
    </w:p>
    <w:p w14:paraId="3CC1FB55" w14:textId="78D3B5D4" w:rsidR="00A704DB" w:rsidRDefault="00A704DB" w:rsidP="00172856">
      <w:pPr>
        <w:pStyle w:val="paragraph"/>
        <w:spacing w:before="0" w:beforeAutospacing="0" w:after="0" w:afterAutospacing="0"/>
        <w:textAlignment w:val="baseline"/>
        <w:rPr>
          <w:rFonts w:ascii="Arial" w:hAnsi="Arial" w:cs="Arial"/>
          <w:b/>
          <w:bCs/>
          <w:u w:val="single"/>
        </w:rPr>
      </w:pPr>
    </w:p>
    <w:p w14:paraId="6CF390EE" w14:textId="570BF1AC" w:rsidR="00A704DB" w:rsidRDefault="00A704DB" w:rsidP="00172856">
      <w:pPr>
        <w:pStyle w:val="paragraph"/>
        <w:spacing w:before="0" w:beforeAutospacing="0" w:after="0" w:afterAutospacing="0"/>
        <w:textAlignment w:val="baseline"/>
        <w:rPr>
          <w:rFonts w:ascii="Arial" w:hAnsi="Arial" w:cs="Arial"/>
          <w:b/>
          <w:bCs/>
          <w:u w:val="single"/>
        </w:rPr>
      </w:pPr>
    </w:p>
    <w:p w14:paraId="00432D07" w14:textId="2C231B58" w:rsidR="00A704DB" w:rsidRDefault="00A704DB" w:rsidP="00172856">
      <w:pPr>
        <w:pStyle w:val="paragraph"/>
        <w:spacing w:before="0" w:beforeAutospacing="0" w:after="0" w:afterAutospacing="0"/>
        <w:textAlignment w:val="baseline"/>
        <w:rPr>
          <w:rFonts w:ascii="Arial" w:hAnsi="Arial" w:cs="Arial"/>
          <w:b/>
          <w:bCs/>
          <w:u w:val="single"/>
        </w:rPr>
      </w:pPr>
    </w:p>
    <w:p w14:paraId="59DCC27B" w14:textId="051DC3CD" w:rsidR="00A704DB" w:rsidRDefault="00A704DB" w:rsidP="00172856">
      <w:pPr>
        <w:pStyle w:val="paragraph"/>
        <w:spacing w:before="0" w:beforeAutospacing="0" w:after="0" w:afterAutospacing="0"/>
        <w:textAlignment w:val="baseline"/>
        <w:rPr>
          <w:rFonts w:ascii="Arial" w:hAnsi="Arial" w:cs="Arial"/>
          <w:b/>
          <w:bCs/>
          <w:u w:val="single"/>
        </w:rPr>
      </w:pPr>
    </w:p>
    <w:p w14:paraId="61ED3E27" w14:textId="65763E39" w:rsidR="00A704DB" w:rsidRDefault="00A704DB" w:rsidP="00172856">
      <w:pPr>
        <w:pStyle w:val="paragraph"/>
        <w:spacing w:before="0" w:beforeAutospacing="0" w:after="0" w:afterAutospacing="0"/>
        <w:textAlignment w:val="baseline"/>
        <w:rPr>
          <w:rFonts w:ascii="Arial" w:hAnsi="Arial" w:cs="Arial"/>
          <w:b/>
          <w:bCs/>
          <w:u w:val="single"/>
        </w:rPr>
      </w:pPr>
    </w:p>
    <w:p w14:paraId="043E0BAB" w14:textId="5B52555E" w:rsidR="00A704DB" w:rsidRDefault="00A704DB" w:rsidP="00172856">
      <w:pPr>
        <w:pStyle w:val="paragraph"/>
        <w:spacing w:before="0" w:beforeAutospacing="0" w:after="0" w:afterAutospacing="0"/>
        <w:textAlignment w:val="baseline"/>
        <w:rPr>
          <w:rFonts w:ascii="Arial" w:hAnsi="Arial" w:cs="Arial"/>
          <w:b/>
          <w:bCs/>
          <w:u w:val="single"/>
        </w:rPr>
      </w:pPr>
    </w:p>
    <w:p w14:paraId="00A1E479" w14:textId="5DC6A9F5" w:rsidR="00A704DB" w:rsidRDefault="00A704DB" w:rsidP="00172856">
      <w:pPr>
        <w:pStyle w:val="paragraph"/>
        <w:spacing w:before="0" w:beforeAutospacing="0" w:after="0" w:afterAutospacing="0"/>
        <w:textAlignment w:val="baseline"/>
        <w:rPr>
          <w:rFonts w:ascii="Arial" w:hAnsi="Arial" w:cs="Arial"/>
          <w:b/>
          <w:bCs/>
          <w:u w:val="single"/>
        </w:rPr>
      </w:pPr>
    </w:p>
    <w:p w14:paraId="2972F818" w14:textId="3AA478BA" w:rsidR="00A704DB" w:rsidRDefault="00A704DB" w:rsidP="00172856">
      <w:pPr>
        <w:pStyle w:val="paragraph"/>
        <w:spacing w:before="0" w:beforeAutospacing="0" w:after="0" w:afterAutospacing="0"/>
        <w:textAlignment w:val="baseline"/>
        <w:rPr>
          <w:rFonts w:ascii="Arial" w:hAnsi="Arial" w:cs="Arial"/>
          <w:b/>
          <w:bCs/>
          <w:u w:val="single"/>
        </w:rPr>
      </w:pPr>
    </w:p>
    <w:p w14:paraId="52B84066" w14:textId="018B782D" w:rsidR="00A704DB" w:rsidRDefault="00A704DB" w:rsidP="00172856">
      <w:pPr>
        <w:pStyle w:val="paragraph"/>
        <w:spacing w:before="0" w:beforeAutospacing="0" w:after="0" w:afterAutospacing="0"/>
        <w:textAlignment w:val="baseline"/>
        <w:rPr>
          <w:rFonts w:ascii="Arial" w:hAnsi="Arial" w:cs="Arial"/>
          <w:b/>
          <w:bCs/>
          <w:u w:val="single"/>
        </w:rPr>
      </w:pPr>
    </w:p>
    <w:p w14:paraId="5E8E1822" w14:textId="0C40BCA1" w:rsidR="00A704DB" w:rsidRDefault="00A704DB" w:rsidP="00172856">
      <w:pPr>
        <w:pStyle w:val="paragraph"/>
        <w:spacing w:before="0" w:beforeAutospacing="0" w:after="0" w:afterAutospacing="0"/>
        <w:textAlignment w:val="baseline"/>
        <w:rPr>
          <w:rFonts w:ascii="Arial" w:hAnsi="Arial" w:cs="Arial"/>
          <w:b/>
          <w:bCs/>
          <w:u w:val="single"/>
        </w:rPr>
      </w:pPr>
    </w:p>
    <w:p w14:paraId="2A911720" w14:textId="1B30E7AA" w:rsidR="00A704DB" w:rsidRDefault="00A704DB" w:rsidP="00172856">
      <w:pPr>
        <w:pStyle w:val="paragraph"/>
        <w:spacing w:before="0" w:beforeAutospacing="0" w:after="0" w:afterAutospacing="0"/>
        <w:textAlignment w:val="baseline"/>
        <w:rPr>
          <w:rFonts w:ascii="Arial" w:hAnsi="Arial" w:cs="Arial"/>
          <w:b/>
          <w:bCs/>
          <w:u w:val="single"/>
        </w:rPr>
      </w:pPr>
    </w:p>
    <w:p w14:paraId="3E3431B6" w14:textId="7363DB7F" w:rsidR="00A704DB" w:rsidRDefault="00A704DB" w:rsidP="00172856">
      <w:pPr>
        <w:pStyle w:val="paragraph"/>
        <w:spacing w:before="0" w:beforeAutospacing="0" w:after="0" w:afterAutospacing="0"/>
        <w:textAlignment w:val="baseline"/>
        <w:rPr>
          <w:rFonts w:ascii="Arial" w:hAnsi="Arial" w:cs="Arial"/>
          <w:b/>
          <w:bCs/>
          <w:u w:val="single"/>
        </w:rPr>
      </w:pPr>
    </w:p>
    <w:p w14:paraId="58E882CF" w14:textId="6AEF19C9" w:rsidR="00A704DB" w:rsidRDefault="00A704DB" w:rsidP="00172856">
      <w:pPr>
        <w:pStyle w:val="paragraph"/>
        <w:spacing w:before="0" w:beforeAutospacing="0" w:after="0" w:afterAutospacing="0"/>
        <w:textAlignment w:val="baseline"/>
        <w:rPr>
          <w:rFonts w:ascii="Arial" w:hAnsi="Arial" w:cs="Arial"/>
          <w:b/>
          <w:bCs/>
          <w:u w:val="single"/>
        </w:rPr>
      </w:pPr>
    </w:p>
    <w:p w14:paraId="71BD2502" w14:textId="0041BAA3" w:rsidR="00A704DB" w:rsidRDefault="00A704DB" w:rsidP="00172856">
      <w:pPr>
        <w:pStyle w:val="paragraph"/>
        <w:spacing w:before="0" w:beforeAutospacing="0" w:after="0" w:afterAutospacing="0"/>
        <w:textAlignment w:val="baseline"/>
        <w:rPr>
          <w:rFonts w:ascii="Arial" w:hAnsi="Arial" w:cs="Arial"/>
          <w:b/>
          <w:bCs/>
          <w:u w:val="single"/>
        </w:rPr>
      </w:pPr>
    </w:p>
    <w:p w14:paraId="74A1AAE5" w14:textId="79260F6C" w:rsidR="00A704DB" w:rsidRDefault="00A704DB" w:rsidP="00172856">
      <w:pPr>
        <w:pStyle w:val="paragraph"/>
        <w:spacing w:before="0" w:beforeAutospacing="0" w:after="0" w:afterAutospacing="0"/>
        <w:textAlignment w:val="baseline"/>
        <w:rPr>
          <w:rFonts w:ascii="Arial" w:hAnsi="Arial" w:cs="Arial"/>
          <w:b/>
          <w:bCs/>
          <w:u w:val="single"/>
        </w:rPr>
      </w:pPr>
    </w:p>
    <w:p w14:paraId="442A909B" w14:textId="2FFA5337" w:rsidR="00A704DB" w:rsidRDefault="00A704DB" w:rsidP="00172856">
      <w:pPr>
        <w:pStyle w:val="paragraph"/>
        <w:spacing w:before="0" w:beforeAutospacing="0" w:after="0" w:afterAutospacing="0"/>
        <w:textAlignment w:val="baseline"/>
        <w:rPr>
          <w:rFonts w:ascii="Arial" w:hAnsi="Arial" w:cs="Arial"/>
          <w:b/>
          <w:bCs/>
          <w:u w:val="single"/>
        </w:rPr>
      </w:pPr>
    </w:p>
    <w:p w14:paraId="315734B5" w14:textId="798DC16B" w:rsidR="00A704DB" w:rsidRDefault="00A704DB" w:rsidP="00172856">
      <w:pPr>
        <w:pStyle w:val="paragraph"/>
        <w:spacing w:before="0" w:beforeAutospacing="0" w:after="0" w:afterAutospacing="0"/>
        <w:textAlignment w:val="baseline"/>
        <w:rPr>
          <w:rFonts w:ascii="Arial" w:hAnsi="Arial" w:cs="Arial"/>
          <w:b/>
          <w:bCs/>
          <w:u w:val="single"/>
        </w:rPr>
      </w:pPr>
    </w:p>
    <w:p w14:paraId="4E421284" w14:textId="57CD3A7A" w:rsidR="00A704DB" w:rsidRDefault="00A704DB" w:rsidP="00172856">
      <w:pPr>
        <w:pStyle w:val="paragraph"/>
        <w:spacing w:before="0" w:beforeAutospacing="0" w:after="0" w:afterAutospacing="0"/>
        <w:textAlignment w:val="baseline"/>
        <w:rPr>
          <w:rFonts w:ascii="Arial" w:hAnsi="Arial" w:cs="Arial"/>
          <w:b/>
          <w:bCs/>
          <w:u w:val="single"/>
        </w:rPr>
      </w:pPr>
    </w:p>
    <w:p w14:paraId="77494311" w14:textId="509EE0D4" w:rsidR="00A704DB" w:rsidRDefault="00A704DB" w:rsidP="00172856">
      <w:pPr>
        <w:pStyle w:val="paragraph"/>
        <w:spacing w:before="0" w:beforeAutospacing="0" w:after="0" w:afterAutospacing="0"/>
        <w:textAlignment w:val="baseline"/>
        <w:rPr>
          <w:rFonts w:ascii="Arial" w:hAnsi="Arial" w:cs="Arial"/>
          <w:b/>
          <w:bCs/>
          <w:u w:val="single"/>
        </w:rPr>
      </w:pPr>
    </w:p>
    <w:p w14:paraId="7A241661" w14:textId="557B809F" w:rsidR="00A704DB" w:rsidRDefault="00A704DB" w:rsidP="00172856">
      <w:pPr>
        <w:pStyle w:val="paragraph"/>
        <w:spacing w:before="0" w:beforeAutospacing="0" w:after="0" w:afterAutospacing="0"/>
        <w:textAlignment w:val="baseline"/>
        <w:rPr>
          <w:rFonts w:ascii="Arial" w:hAnsi="Arial" w:cs="Arial"/>
          <w:b/>
          <w:bCs/>
          <w:u w:val="single"/>
        </w:rPr>
      </w:pPr>
    </w:p>
    <w:p w14:paraId="29B5DE1E" w14:textId="6ABD4A8B" w:rsidR="00A704DB" w:rsidRDefault="00A704DB" w:rsidP="00172856">
      <w:pPr>
        <w:pStyle w:val="paragraph"/>
        <w:spacing w:before="0" w:beforeAutospacing="0" w:after="0" w:afterAutospacing="0"/>
        <w:textAlignment w:val="baseline"/>
        <w:rPr>
          <w:rFonts w:ascii="Arial" w:hAnsi="Arial" w:cs="Arial"/>
          <w:b/>
          <w:bCs/>
          <w:u w:val="single"/>
        </w:rPr>
      </w:pPr>
    </w:p>
    <w:p w14:paraId="7AE19A13"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5C2FE5F7" w14:textId="77777777" w:rsidR="00A704DB" w:rsidRDefault="00A704DB" w:rsidP="00172856">
      <w:pPr>
        <w:pStyle w:val="paragraph"/>
        <w:spacing w:before="0" w:beforeAutospacing="0" w:after="0" w:afterAutospacing="0"/>
        <w:textAlignment w:val="baseline"/>
        <w:rPr>
          <w:rFonts w:ascii="Arial" w:hAnsi="Arial" w:cs="Arial"/>
          <w:b/>
          <w:bCs/>
          <w:u w:val="single"/>
        </w:rPr>
      </w:pPr>
    </w:p>
    <w:p w14:paraId="19091BB6" w14:textId="33BFB282" w:rsidR="0059577F" w:rsidRPr="002F1FAB" w:rsidRDefault="00172856" w:rsidP="00172856">
      <w:pPr>
        <w:pStyle w:val="paragraph"/>
        <w:spacing w:before="0" w:beforeAutospacing="0" w:after="0" w:afterAutospacing="0"/>
        <w:textAlignment w:val="baseline"/>
        <w:rPr>
          <w:rStyle w:val="eop"/>
          <w:rFonts w:ascii="Segoe UI" w:hAnsi="Segoe UI" w:cs="Segoe UI"/>
          <w:sz w:val="18"/>
          <w:szCs w:val="18"/>
        </w:rPr>
      </w:pPr>
      <w:r w:rsidRPr="00172856">
        <w:rPr>
          <w:rFonts w:ascii="Arial" w:hAnsi="Arial" w:cs="Arial"/>
          <w:b/>
          <w:bCs/>
          <w:u w:val="single"/>
        </w:rPr>
        <w:lastRenderedPageBreak/>
        <w:t>Question 1:</w:t>
      </w:r>
    </w:p>
    <w:p w14:paraId="7230A868" w14:textId="500BFCE5" w:rsidR="00172856" w:rsidRPr="00172856" w:rsidRDefault="00172856">
      <w:pPr>
        <w:rPr>
          <w:rFonts w:ascii="Arial" w:hAnsi="Arial" w:cs="Arial"/>
          <w:b/>
          <w:bCs/>
          <w:u w:val="single"/>
        </w:rPr>
      </w:pPr>
    </w:p>
    <w:p w14:paraId="4B79448B" w14:textId="06475B5F" w:rsidR="00172856" w:rsidRDefault="00172856"/>
    <w:p w14:paraId="7A88FAF0" w14:textId="41EF363D" w:rsidR="00172856" w:rsidRDefault="00172856"/>
    <w:p w14:paraId="206C7A00" w14:textId="6EE9D4AE" w:rsidR="0059577F" w:rsidRPr="00696408" w:rsidRDefault="002C3F4D" w:rsidP="002C3F4D">
      <w:pPr>
        <w:spacing w:line="360" w:lineRule="auto"/>
        <w:rPr>
          <w:rFonts w:ascii="Arial" w:hAnsi="Arial" w:cs="Arial"/>
        </w:rPr>
      </w:pPr>
      <w:r w:rsidRPr="00172856">
        <w:rPr>
          <w:rFonts w:ascii="Arial" w:hAnsi="Arial" w:cs="Arial"/>
        </w:rPr>
        <w:t>This essay discusses</w:t>
      </w:r>
      <w:r>
        <w:rPr>
          <w:rFonts w:ascii="Arial" w:hAnsi="Arial" w:cs="Arial"/>
        </w:rPr>
        <w:t xml:space="preserve"> the extent to which it is possible for a vehicle on land to exist as an easement. </w:t>
      </w:r>
      <w:r w:rsidR="00172856" w:rsidRPr="00696408">
        <w:rPr>
          <w:rFonts w:ascii="Arial" w:hAnsi="Arial" w:cs="Arial"/>
        </w:rPr>
        <w:t xml:space="preserve">To establish </w:t>
      </w:r>
      <w:r w:rsidRPr="00696408">
        <w:rPr>
          <w:rFonts w:ascii="Arial" w:hAnsi="Arial" w:cs="Arial"/>
        </w:rPr>
        <w:t>whether</w:t>
      </w:r>
      <w:r w:rsidR="00172856" w:rsidRPr="00696408">
        <w:rPr>
          <w:rFonts w:ascii="Arial" w:hAnsi="Arial" w:cs="Arial"/>
        </w:rPr>
        <w:t xml:space="preserve"> a vehicle is obliged to be parked as an easement, there are certain conditions which must be satisfied. </w:t>
      </w:r>
      <w:r w:rsidR="007C04B1" w:rsidRPr="00696408">
        <w:rPr>
          <w:rFonts w:ascii="Arial" w:hAnsi="Arial" w:cs="Arial"/>
        </w:rPr>
        <w:t>By granting an easement, one landowner is able to use another land in a certain way or restrict what it can be used for.</w:t>
      </w:r>
      <w:r w:rsidR="007C04B1" w:rsidRPr="00696408">
        <w:rPr>
          <w:rStyle w:val="apple-converted-space"/>
          <w:rFonts w:ascii="Arial" w:hAnsi="Arial" w:cs="Arial"/>
          <w:color w:val="000000"/>
          <w:sz w:val="27"/>
          <w:szCs w:val="27"/>
        </w:rPr>
        <w:t> </w:t>
      </w:r>
      <w:r w:rsidR="007C04B1" w:rsidRPr="00696408">
        <w:rPr>
          <w:rFonts w:ascii="Arial" w:hAnsi="Arial" w:cs="Arial"/>
        </w:rPr>
        <w:t xml:space="preserve">An example of this would be to give a right of way (the right to cross another's land) and to give a right of light </w:t>
      </w:r>
      <w:r w:rsidR="004932DE">
        <w:rPr>
          <w:rFonts w:ascii="Arial" w:hAnsi="Arial" w:cs="Arial"/>
        </w:rPr>
        <w:t xml:space="preserve">and </w:t>
      </w:r>
      <w:r w:rsidR="007C04B1" w:rsidRPr="00696408">
        <w:rPr>
          <w:rFonts w:ascii="Arial" w:hAnsi="Arial" w:cs="Arial"/>
        </w:rPr>
        <w:t>let light pass through their land without blocking it</w:t>
      </w:r>
      <w:r w:rsidR="004932DE">
        <w:rPr>
          <w:rFonts w:ascii="Arial" w:hAnsi="Arial" w:cs="Arial"/>
          <w:color w:val="FF0000"/>
        </w:rPr>
        <w:t xml:space="preserve"> </w:t>
      </w:r>
      <w:r w:rsidR="004932DE" w:rsidRPr="004932DE">
        <w:rPr>
          <w:rFonts w:ascii="Arial" w:hAnsi="Arial" w:cs="Arial"/>
        </w:rPr>
        <w:t xml:space="preserve">(Harris and Rodell 2022). </w:t>
      </w:r>
    </w:p>
    <w:p w14:paraId="55C8C22A" w14:textId="42869736" w:rsidR="00B12F02" w:rsidRDefault="00696408" w:rsidP="00BD3586">
      <w:pPr>
        <w:pStyle w:val="pb-2"/>
        <w:spacing w:line="360" w:lineRule="auto"/>
        <w:rPr>
          <w:rFonts w:ascii="Arial" w:hAnsi="Arial" w:cs="Arial"/>
        </w:rPr>
      </w:pPr>
      <w:r w:rsidRPr="00696408">
        <w:rPr>
          <w:rFonts w:ascii="Arial" w:hAnsi="Arial" w:cs="Arial"/>
          <w:color w:val="000000"/>
        </w:rPr>
        <w:t>Before an easement can</w:t>
      </w:r>
      <w:r w:rsidRPr="00696408">
        <w:rPr>
          <w:rStyle w:val="apple-converted-space"/>
          <w:rFonts w:ascii="Arial" w:hAnsi="Arial" w:cs="Arial"/>
          <w:color w:val="000000"/>
        </w:rPr>
        <w:t> </w:t>
      </w:r>
      <w:r w:rsidRPr="00696408">
        <w:rPr>
          <w:rStyle w:val="issue-underline"/>
          <w:rFonts w:ascii="Arial" w:hAnsi="Arial" w:cs="Arial"/>
          <w:color w:val="000000"/>
        </w:rPr>
        <w:t>exist, there are certain circumstances that</w:t>
      </w:r>
      <w:r w:rsidRPr="00696408">
        <w:rPr>
          <w:rStyle w:val="apple-converted-space"/>
          <w:rFonts w:ascii="Arial" w:hAnsi="Arial" w:cs="Arial"/>
          <w:color w:val="000000"/>
        </w:rPr>
        <w:t> </w:t>
      </w:r>
      <w:r w:rsidRPr="00696408">
        <w:rPr>
          <w:rFonts w:ascii="Arial" w:hAnsi="Arial" w:cs="Arial"/>
          <w:color w:val="000000"/>
        </w:rPr>
        <w:t>must be satisfied.</w:t>
      </w:r>
      <w:r w:rsidRPr="00696408">
        <w:rPr>
          <w:rStyle w:val="apple-converted-space"/>
          <w:rFonts w:ascii="Arial" w:hAnsi="Arial" w:cs="Arial"/>
          <w:color w:val="000000"/>
        </w:rPr>
        <w:t> </w:t>
      </w:r>
      <w:r w:rsidR="00DE1866">
        <w:rPr>
          <w:rFonts w:ascii="Arial" w:hAnsi="Arial" w:cs="Arial"/>
          <w:color w:val="000000"/>
        </w:rPr>
        <w:t>T</w:t>
      </w:r>
      <w:r w:rsidRPr="00696408">
        <w:rPr>
          <w:rFonts w:ascii="Arial" w:hAnsi="Arial" w:cs="Arial"/>
          <w:color w:val="000000"/>
        </w:rPr>
        <w:t xml:space="preserve">here should be a dominant piece of land and a servient piece of land. </w:t>
      </w:r>
      <w:r w:rsidR="00396099">
        <w:rPr>
          <w:rFonts w:ascii="Arial" w:hAnsi="Arial" w:cs="Arial"/>
          <w:color w:val="000000"/>
        </w:rPr>
        <w:t>‘</w:t>
      </w:r>
      <w:proofErr w:type="spellStart"/>
      <w:r w:rsidR="00BD3586" w:rsidRPr="00FE0A99">
        <w:rPr>
          <w:rFonts w:ascii="Arial" w:hAnsi="Arial" w:cs="Arial"/>
        </w:rPr>
        <w:t>Evershed</w:t>
      </w:r>
      <w:proofErr w:type="spellEnd"/>
      <w:r w:rsidR="00BD3586" w:rsidRPr="00FE0A99">
        <w:rPr>
          <w:rFonts w:ascii="Arial" w:hAnsi="Arial" w:cs="Arial"/>
        </w:rPr>
        <w:t xml:space="preserve"> MR in Re Ellenborough Park</w:t>
      </w:r>
      <w:r w:rsidR="00396099">
        <w:rPr>
          <w:rFonts w:ascii="Arial" w:hAnsi="Arial" w:cs="Arial"/>
        </w:rPr>
        <w:t>’</w:t>
      </w:r>
      <w:r w:rsidR="00BD3586" w:rsidRPr="00FE0A99">
        <w:rPr>
          <w:rFonts w:ascii="Arial" w:hAnsi="Arial" w:cs="Arial"/>
        </w:rPr>
        <w:t xml:space="preserve"> </w:t>
      </w:r>
      <w:r w:rsidR="009A2CAB">
        <w:rPr>
          <w:rFonts w:ascii="Arial" w:hAnsi="Arial" w:cs="Arial"/>
        </w:rPr>
        <w:t>(</w:t>
      </w:r>
      <w:r w:rsidR="00BD3586" w:rsidRPr="00FE0A99">
        <w:rPr>
          <w:rFonts w:ascii="Arial" w:hAnsi="Arial" w:cs="Arial"/>
        </w:rPr>
        <w:t>1956</w:t>
      </w:r>
      <w:r w:rsidR="009A2CAB">
        <w:rPr>
          <w:rFonts w:ascii="Arial" w:hAnsi="Arial" w:cs="Arial"/>
        </w:rPr>
        <w:t xml:space="preserve">) </w:t>
      </w:r>
      <w:r w:rsidR="00BD3586" w:rsidRPr="00FE0A99">
        <w:rPr>
          <w:rFonts w:ascii="Arial" w:hAnsi="Arial" w:cs="Arial"/>
        </w:rPr>
        <w:t xml:space="preserve">Ch 131 </w:t>
      </w:r>
      <w:r w:rsidR="00231594">
        <w:rPr>
          <w:rFonts w:ascii="Arial" w:hAnsi="Arial" w:cs="Arial"/>
        </w:rPr>
        <w:t xml:space="preserve">established </w:t>
      </w:r>
      <w:r w:rsidR="00BD3586" w:rsidRPr="00FE0A99">
        <w:rPr>
          <w:rFonts w:ascii="Arial" w:hAnsi="Arial" w:cs="Arial"/>
        </w:rPr>
        <w:t xml:space="preserve">that </w:t>
      </w:r>
      <w:r w:rsidR="00A704DB" w:rsidRPr="00FE0A99">
        <w:rPr>
          <w:rFonts w:ascii="Arial" w:hAnsi="Arial" w:cs="Arial"/>
        </w:rPr>
        <w:t>for</w:t>
      </w:r>
      <w:r w:rsidR="00BD3586" w:rsidRPr="00FE0A99">
        <w:rPr>
          <w:rFonts w:ascii="Arial" w:hAnsi="Arial" w:cs="Arial"/>
        </w:rPr>
        <w:t xml:space="preserve"> a right to be recognised as an easement, four characteristics must be present</w:t>
      </w:r>
      <w:r w:rsidR="009A2CAB">
        <w:rPr>
          <w:rFonts w:ascii="Arial" w:hAnsi="Arial" w:cs="Arial"/>
        </w:rPr>
        <w:t xml:space="preserve">. </w:t>
      </w:r>
      <w:r w:rsidR="009A2CAB">
        <w:rPr>
          <w:rFonts w:ascii="Arial" w:hAnsi="Arial" w:cs="Arial"/>
          <w:color w:val="000000"/>
        </w:rPr>
        <w:t>Clarke (2020) concurs that t</w:t>
      </w:r>
      <w:r w:rsidRPr="00696408">
        <w:rPr>
          <w:rFonts w:ascii="Arial" w:hAnsi="Arial" w:cs="Arial"/>
          <w:color w:val="000000"/>
        </w:rPr>
        <w:t>he dominant piece of land should benefit from the easement and the servient piece should</w:t>
      </w:r>
      <w:r w:rsidR="00FE0A99">
        <w:rPr>
          <w:rFonts w:ascii="Arial" w:hAnsi="Arial" w:cs="Arial"/>
          <w:color w:val="000000"/>
        </w:rPr>
        <w:t xml:space="preserve"> burden from it.</w:t>
      </w:r>
      <w:r w:rsidRPr="00696408">
        <w:rPr>
          <w:rStyle w:val="apple-converted-space"/>
          <w:rFonts w:ascii="Arial" w:hAnsi="Arial" w:cs="Arial"/>
          <w:color w:val="000000"/>
        </w:rPr>
        <w:t> </w:t>
      </w:r>
      <w:r w:rsidRPr="00696408">
        <w:rPr>
          <w:rFonts w:ascii="Arial" w:hAnsi="Arial" w:cs="Arial"/>
          <w:color w:val="000000"/>
        </w:rPr>
        <w:t>The</w:t>
      </w:r>
      <w:r w:rsidRPr="00696408">
        <w:rPr>
          <w:rStyle w:val="apple-converted-space"/>
          <w:rFonts w:ascii="Arial" w:hAnsi="Arial" w:cs="Arial"/>
          <w:color w:val="000000"/>
        </w:rPr>
        <w:t> </w:t>
      </w:r>
      <w:r w:rsidRPr="00696408">
        <w:rPr>
          <w:rFonts w:ascii="Arial" w:hAnsi="Arial" w:cs="Arial"/>
          <w:color w:val="000000"/>
        </w:rPr>
        <w:t>right must benefit the</w:t>
      </w:r>
      <w:r w:rsidRPr="00696408">
        <w:rPr>
          <w:rStyle w:val="apple-converted-space"/>
          <w:rFonts w:ascii="Arial" w:hAnsi="Arial" w:cs="Arial"/>
          <w:color w:val="000000"/>
        </w:rPr>
        <w:t> </w:t>
      </w:r>
      <w:r w:rsidRPr="00696408">
        <w:rPr>
          <w:rStyle w:val="issue-underline"/>
          <w:rFonts w:ascii="Arial" w:hAnsi="Arial" w:cs="Arial"/>
          <w:color w:val="000000"/>
        </w:rPr>
        <w:t>dominant</w:t>
      </w:r>
      <w:r w:rsidRPr="00696408">
        <w:rPr>
          <w:rStyle w:val="apple-converted-space"/>
          <w:rFonts w:ascii="Arial" w:hAnsi="Arial" w:cs="Arial"/>
          <w:color w:val="000000"/>
        </w:rPr>
        <w:t> </w:t>
      </w:r>
      <w:r w:rsidRPr="00696408">
        <w:rPr>
          <w:rFonts w:ascii="Arial" w:hAnsi="Arial" w:cs="Arial"/>
          <w:color w:val="000000"/>
        </w:rPr>
        <w:t>land and it is not permissible for the same person to own and occupy</w:t>
      </w:r>
      <w:r w:rsidRPr="00696408">
        <w:rPr>
          <w:rStyle w:val="apple-converted-space"/>
          <w:rFonts w:ascii="Arial" w:hAnsi="Arial" w:cs="Arial"/>
          <w:color w:val="000000"/>
        </w:rPr>
        <w:t> </w:t>
      </w:r>
      <w:r w:rsidRPr="00696408">
        <w:rPr>
          <w:rStyle w:val="issue-underline"/>
          <w:rFonts w:ascii="Arial" w:hAnsi="Arial" w:cs="Arial"/>
          <w:color w:val="000000"/>
        </w:rPr>
        <w:t>dominant</w:t>
      </w:r>
      <w:r w:rsidRPr="00696408">
        <w:rPr>
          <w:rStyle w:val="apple-converted-space"/>
          <w:rFonts w:ascii="Arial" w:hAnsi="Arial" w:cs="Arial"/>
          <w:color w:val="000000"/>
        </w:rPr>
        <w:t> </w:t>
      </w:r>
      <w:r w:rsidRPr="00696408">
        <w:rPr>
          <w:rFonts w:ascii="Arial" w:hAnsi="Arial" w:cs="Arial"/>
          <w:color w:val="000000"/>
        </w:rPr>
        <w:t>and servient lands simultaneously. To be an easement, a right must be capable of being granted by deed, and it must be sufficiently definite to be an easement</w:t>
      </w:r>
      <w:r w:rsidR="009A2CAB">
        <w:rPr>
          <w:rFonts w:ascii="Arial" w:hAnsi="Arial" w:cs="Arial"/>
          <w:color w:val="000000"/>
        </w:rPr>
        <w:t>.</w:t>
      </w:r>
    </w:p>
    <w:p w14:paraId="6CDCDA6B" w14:textId="4CADB872" w:rsidR="00F25555" w:rsidRPr="00231594" w:rsidRDefault="00180C8C" w:rsidP="00BD3586">
      <w:pPr>
        <w:pStyle w:val="pb-2"/>
        <w:spacing w:line="360" w:lineRule="auto"/>
      </w:pPr>
      <w:r>
        <w:rPr>
          <w:rFonts w:ascii="Arial" w:hAnsi="Arial" w:cs="Arial"/>
          <w:color w:val="000000"/>
        </w:rPr>
        <w:t>Furthermore, t</w:t>
      </w:r>
      <w:r w:rsidR="00F25555" w:rsidRPr="00F25555">
        <w:rPr>
          <w:rFonts w:ascii="Arial" w:hAnsi="Arial" w:cs="Arial"/>
          <w:color w:val="000000"/>
        </w:rPr>
        <w:t>here is no absolute definition and no exhaustive list of types of</w:t>
      </w:r>
      <w:r w:rsidR="00F25555" w:rsidRPr="00F25555">
        <w:rPr>
          <w:rStyle w:val="apple-converted-space"/>
          <w:rFonts w:ascii="Arial" w:hAnsi="Arial" w:cs="Arial"/>
          <w:color w:val="000000"/>
        </w:rPr>
        <w:t> </w:t>
      </w:r>
      <w:r w:rsidR="00F25555" w:rsidRPr="00F25555">
        <w:rPr>
          <w:rFonts w:ascii="Arial" w:hAnsi="Arial" w:cs="Arial"/>
          <w:color w:val="000000"/>
        </w:rPr>
        <w:t>easements. In response to the changes in the circumstances of mankind, new types of easements can be recognized as the categories of servitude a</w:t>
      </w:r>
      <w:r w:rsidR="00B12F02">
        <w:rPr>
          <w:rFonts w:ascii="Arial" w:hAnsi="Arial" w:cs="Arial"/>
          <w:color w:val="000000"/>
        </w:rPr>
        <w:t xml:space="preserve">s </w:t>
      </w:r>
      <w:r w:rsidR="00F25555" w:rsidRPr="00F25555">
        <w:rPr>
          <w:rFonts w:ascii="Arial" w:hAnsi="Arial" w:cs="Arial"/>
          <w:color w:val="000000"/>
        </w:rPr>
        <w:t>easements change and expand</w:t>
      </w:r>
      <w:r w:rsidR="005062D0">
        <w:rPr>
          <w:rFonts w:ascii="Arial" w:hAnsi="Arial" w:cs="Arial"/>
          <w:color w:val="000000"/>
        </w:rPr>
        <w:t xml:space="preserve"> </w:t>
      </w:r>
      <w:r w:rsidR="009A2CAB">
        <w:rPr>
          <w:rFonts w:ascii="Arial" w:hAnsi="Arial" w:cs="Arial"/>
          <w:color w:val="000000"/>
        </w:rPr>
        <w:t>(</w:t>
      </w:r>
      <w:r w:rsidR="00396099">
        <w:rPr>
          <w:rFonts w:ascii="Arial" w:hAnsi="Arial" w:cs="Arial"/>
          <w:color w:val="000000"/>
        </w:rPr>
        <w:t>‘</w:t>
      </w:r>
      <w:r w:rsidR="00F25555" w:rsidRPr="00F25555">
        <w:rPr>
          <w:rFonts w:ascii="Arial" w:hAnsi="Arial" w:cs="Arial"/>
          <w:color w:val="000000"/>
        </w:rPr>
        <w:t>Dyce v Lady James Hay</w:t>
      </w:r>
      <w:r w:rsidR="00396099">
        <w:rPr>
          <w:rFonts w:ascii="Arial" w:hAnsi="Arial" w:cs="Arial"/>
          <w:color w:val="000000"/>
        </w:rPr>
        <w:t>’</w:t>
      </w:r>
      <w:r w:rsidR="00F25555" w:rsidRPr="00F25555">
        <w:rPr>
          <w:rStyle w:val="apple-converted-space"/>
          <w:rFonts w:ascii="Arial" w:hAnsi="Arial" w:cs="Arial"/>
          <w:color w:val="000000"/>
        </w:rPr>
        <w:t> </w:t>
      </w:r>
      <w:r w:rsidR="00F25555" w:rsidRPr="00F25555">
        <w:rPr>
          <w:rStyle w:val="issue-underline"/>
          <w:rFonts w:ascii="Arial" w:hAnsi="Arial" w:cs="Arial"/>
          <w:color w:val="000000"/>
        </w:rPr>
        <w:t>(1852)</w:t>
      </w:r>
      <w:r w:rsidR="00A704DB">
        <w:rPr>
          <w:rStyle w:val="issue-underline"/>
          <w:rFonts w:ascii="Arial" w:hAnsi="Arial" w:cs="Arial"/>
          <w:color w:val="000000"/>
        </w:rPr>
        <w:t xml:space="preserve"> </w:t>
      </w:r>
      <w:r w:rsidR="00F25555" w:rsidRPr="00F25555">
        <w:rPr>
          <w:rStyle w:val="issue-underline"/>
          <w:rFonts w:ascii="Arial" w:hAnsi="Arial" w:cs="Arial"/>
          <w:color w:val="000000"/>
        </w:rPr>
        <w:t>1</w:t>
      </w:r>
      <w:r w:rsidR="00F25555" w:rsidRPr="00F25555">
        <w:rPr>
          <w:rStyle w:val="apple-converted-space"/>
          <w:rFonts w:ascii="Arial" w:hAnsi="Arial" w:cs="Arial"/>
          <w:color w:val="000000"/>
        </w:rPr>
        <w:t> </w:t>
      </w:r>
      <w:r w:rsidR="00F25555" w:rsidRPr="00F25555">
        <w:rPr>
          <w:rFonts w:ascii="Arial" w:hAnsi="Arial" w:cs="Arial"/>
          <w:color w:val="000000"/>
        </w:rPr>
        <w:t>Macq 305</w:t>
      </w:r>
      <w:r w:rsidR="009A2CAB">
        <w:rPr>
          <w:rFonts w:ascii="Arial" w:hAnsi="Arial" w:cs="Arial"/>
          <w:color w:val="000000"/>
        </w:rPr>
        <w:t>)</w:t>
      </w:r>
      <w:r w:rsidR="005062D0">
        <w:rPr>
          <w:rFonts w:ascii="Arial" w:hAnsi="Arial" w:cs="Arial"/>
          <w:color w:val="000000"/>
        </w:rPr>
        <w:t xml:space="preserve">. </w:t>
      </w:r>
      <w:r>
        <w:rPr>
          <w:rFonts w:ascii="Arial" w:hAnsi="Arial" w:cs="Arial"/>
          <w:color w:val="000000"/>
        </w:rPr>
        <w:t>Also</w:t>
      </w:r>
      <w:r w:rsidR="00B12F02">
        <w:rPr>
          <w:rFonts w:ascii="Arial" w:hAnsi="Arial" w:cs="Arial"/>
          <w:color w:val="000000"/>
        </w:rPr>
        <w:t>, new types of e</w:t>
      </w:r>
      <w:r w:rsidR="00F25555" w:rsidRPr="00F25555">
        <w:rPr>
          <w:rFonts w:ascii="Arial" w:hAnsi="Arial" w:cs="Arial"/>
          <w:color w:val="000000"/>
        </w:rPr>
        <w:t>asements are generally considered analogous to easements already in existence.</w:t>
      </w:r>
      <w:r w:rsidR="00F25555">
        <w:rPr>
          <w:rFonts w:ascii="Arial" w:hAnsi="Arial" w:cs="Arial"/>
          <w:color w:val="000000"/>
        </w:rPr>
        <w:t xml:space="preserve"> </w:t>
      </w:r>
      <w:r w:rsidR="00F25555" w:rsidRPr="00F25555">
        <w:rPr>
          <w:rFonts w:ascii="Arial" w:hAnsi="Arial" w:cs="Arial"/>
          <w:color w:val="000000"/>
        </w:rPr>
        <w:t xml:space="preserve">Easements can only exist in relation to the dominant land if they are appurtenant to it. For this reason, it is imperative that the grant </w:t>
      </w:r>
      <w:r w:rsidR="00231594">
        <w:rPr>
          <w:rFonts w:ascii="Arial" w:hAnsi="Arial" w:cs="Arial"/>
          <w:color w:val="000000"/>
        </w:rPr>
        <w:t xml:space="preserve">is </w:t>
      </w:r>
      <w:r w:rsidR="00F25555" w:rsidRPr="00F25555">
        <w:rPr>
          <w:rFonts w:ascii="Arial" w:hAnsi="Arial" w:cs="Arial"/>
          <w:color w:val="000000"/>
        </w:rPr>
        <w:t>accompanied by a dominant and servient tenement.</w:t>
      </w:r>
      <w:r w:rsidR="00B12F02">
        <w:rPr>
          <w:rFonts w:ascii="Arial" w:hAnsi="Arial" w:cs="Arial"/>
          <w:color w:val="000000"/>
        </w:rPr>
        <w:t xml:space="preserve"> </w:t>
      </w:r>
      <w:r w:rsidR="00B12F02" w:rsidRPr="00B12F02">
        <w:rPr>
          <w:rFonts w:ascii="Arial" w:hAnsi="Arial" w:cs="Arial"/>
        </w:rPr>
        <w:t>When only a servient tenement, without any dominant land</w:t>
      </w:r>
      <w:r>
        <w:rPr>
          <w:rFonts w:ascii="Arial" w:hAnsi="Arial" w:cs="Arial"/>
        </w:rPr>
        <w:t xml:space="preserve"> </w:t>
      </w:r>
      <w:r w:rsidR="00B12F02" w:rsidRPr="00B12F02">
        <w:rPr>
          <w:rFonts w:ascii="Arial" w:hAnsi="Arial" w:cs="Arial"/>
        </w:rPr>
        <w:t>is identified, then an easement cannot exist 'in gross'. It is based on the principle that an easement becomes part of the land when it is created</w:t>
      </w:r>
      <w:r>
        <w:rPr>
          <w:rFonts w:ascii="Arial" w:hAnsi="Arial" w:cs="Arial"/>
        </w:rPr>
        <w:t xml:space="preserve"> (Richards 2020).</w:t>
      </w:r>
      <w:r w:rsidR="00B12F02" w:rsidRPr="00B12F02">
        <w:rPr>
          <w:rFonts w:ascii="Arial" w:hAnsi="Arial" w:cs="Arial"/>
        </w:rPr>
        <w:t xml:space="preserve"> Easements are included in </w:t>
      </w:r>
      <w:r w:rsidR="00B12F02" w:rsidRPr="00B12F02">
        <w:rPr>
          <w:rStyle w:val="issue-underline"/>
          <w:rFonts w:ascii="Arial" w:hAnsi="Arial" w:cs="Arial"/>
        </w:rPr>
        <w:t>the definition of land in</w:t>
      </w:r>
      <w:r w:rsidR="00B12F02" w:rsidRPr="00B12F02">
        <w:rPr>
          <w:rFonts w:ascii="Arial" w:hAnsi="Arial" w:cs="Arial"/>
        </w:rPr>
        <w:t xml:space="preserve"> </w:t>
      </w:r>
      <w:r w:rsidR="005062D0">
        <w:rPr>
          <w:rFonts w:ascii="Arial" w:hAnsi="Arial" w:cs="Arial"/>
        </w:rPr>
        <w:t xml:space="preserve">the </w:t>
      </w:r>
      <w:r w:rsidR="00262E2E">
        <w:rPr>
          <w:rFonts w:ascii="Arial" w:hAnsi="Arial" w:cs="Arial"/>
        </w:rPr>
        <w:t>(</w:t>
      </w:r>
      <w:r w:rsidR="005062D0" w:rsidRPr="00BE0EDE">
        <w:rPr>
          <w:rFonts w:ascii="Arial" w:hAnsi="Arial" w:cs="Arial"/>
        </w:rPr>
        <w:t xml:space="preserve">Law of Property Act </w:t>
      </w:r>
      <w:r w:rsidR="00231594" w:rsidRPr="00BE0EDE">
        <w:rPr>
          <w:rFonts w:ascii="Arial" w:hAnsi="Arial" w:cs="Arial"/>
        </w:rPr>
        <w:t>19</w:t>
      </w:r>
      <w:r w:rsidR="00BE0EDE" w:rsidRPr="00BE0EDE">
        <w:rPr>
          <w:rFonts w:ascii="Arial" w:hAnsi="Arial" w:cs="Arial"/>
        </w:rPr>
        <w:t>25</w:t>
      </w:r>
      <w:r w:rsidR="00231594" w:rsidRPr="00BE0EDE">
        <w:rPr>
          <w:rFonts w:ascii="Arial" w:hAnsi="Arial" w:cs="Arial"/>
        </w:rPr>
        <w:t xml:space="preserve"> </w:t>
      </w:r>
      <w:r w:rsidR="00B12F02" w:rsidRPr="00BE0EDE">
        <w:rPr>
          <w:rFonts w:ascii="Arial" w:hAnsi="Arial" w:cs="Arial"/>
        </w:rPr>
        <w:t>section 205</w:t>
      </w:r>
      <w:r w:rsidR="00262E2E">
        <w:rPr>
          <w:rFonts w:ascii="Arial" w:hAnsi="Arial" w:cs="Arial"/>
        </w:rPr>
        <w:t>)</w:t>
      </w:r>
      <w:r w:rsidR="00BE0EDE">
        <w:rPr>
          <w:rFonts w:ascii="Arial" w:hAnsi="Arial" w:cs="Arial"/>
        </w:rPr>
        <w:t>, existing in equity only</w:t>
      </w:r>
      <w:r w:rsidR="00B12F02" w:rsidRPr="00B12F02">
        <w:rPr>
          <w:rFonts w:ascii="Arial" w:hAnsi="Arial" w:cs="Arial"/>
        </w:rPr>
        <w:t xml:space="preserve">. </w:t>
      </w:r>
      <w:r w:rsidR="005062D0">
        <w:rPr>
          <w:rFonts w:ascii="Arial" w:hAnsi="Arial" w:cs="Arial"/>
        </w:rPr>
        <w:t xml:space="preserve"> </w:t>
      </w:r>
    </w:p>
    <w:p w14:paraId="5969C099" w14:textId="1FAB8506" w:rsidR="00100ED7" w:rsidRDefault="00262E2E" w:rsidP="00BD3586">
      <w:pPr>
        <w:pStyle w:val="pb-2"/>
        <w:spacing w:line="360" w:lineRule="auto"/>
        <w:rPr>
          <w:rFonts w:ascii="Arial" w:hAnsi="Arial" w:cs="Arial"/>
        </w:rPr>
      </w:pPr>
      <w:r>
        <w:rPr>
          <w:rFonts w:ascii="Arial" w:hAnsi="Arial" w:cs="Arial"/>
        </w:rPr>
        <w:lastRenderedPageBreak/>
        <w:t>Additionally, the easement</w:t>
      </w:r>
      <w:r w:rsidR="00100ED7" w:rsidRPr="00100ED7">
        <w:rPr>
          <w:rFonts w:ascii="Arial" w:hAnsi="Arial" w:cs="Arial"/>
        </w:rPr>
        <w:t xml:space="preserve"> must be beneficial to the land itself as well as to the owner personally. To accommodate the dominant tenant, certain criteria </w:t>
      </w:r>
      <w:r w:rsidR="00231594">
        <w:rPr>
          <w:rFonts w:ascii="Arial" w:hAnsi="Arial" w:cs="Arial"/>
        </w:rPr>
        <w:t xml:space="preserve">must </w:t>
      </w:r>
      <w:r w:rsidR="00100ED7" w:rsidRPr="00100ED7">
        <w:rPr>
          <w:rFonts w:ascii="Arial" w:hAnsi="Arial" w:cs="Arial"/>
        </w:rPr>
        <w:t xml:space="preserve">be met, such as improving the property's </w:t>
      </w:r>
      <w:r w:rsidR="00100ED7" w:rsidRPr="00100ED7">
        <w:rPr>
          <w:rStyle w:val="issue-underline"/>
          <w:rFonts w:ascii="Arial" w:hAnsi="Arial" w:cs="Arial"/>
        </w:rPr>
        <w:t>marketability, which</w:t>
      </w:r>
      <w:r w:rsidR="00100ED7" w:rsidRPr="00100ED7">
        <w:rPr>
          <w:rFonts w:ascii="Arial" w:hAnsi="Arial" w:cs="Arial"/>
        </w:rPr>
        <w:t xml:space="preserve"> would be beneficial for any landowner. As an example, </w:t>
      </w:r>
      <w:r w:rsidR="006B291A">
        <w:rPr>
          <w:rFonts w:ascii="Arial" w:hAnsi="Arial" w:cs="Arial"/>
        </w:rPr>
        <w:t xml:space="preserve">Re </w:t>
      </w:r>
      <w:r w:rsidR="00100ED7" w:rsidRPr="00100ED7">
        <w:rPr>
          <w:rFonts w:ascii="Arial" w:hAnsi="Arial" w:cs="Arial"/>
        </w:rPr>
        <w:t xml:space="preserve">Ellenborough Park </w:t>
      </w:r>
      <w:r w:rsidR="006B291A">
        <w:rPr>
          <w:rFonts w:ascii="Arial" w:hAnsi="Arial" w:cs="Arial"/>
        </w:rPr>
        <w:t xml:space="preserve">(1956) Ch 131 </w:t>
      </w:r>
      <w:r w:rsidR="00100ED7" w:rsidRPr="00100ED7">
        <w:rPr>
          <w:rFonts w:ascii="Arial" w:hAnsi="Arial" w:cs="Arial"/>
        </w:rPr>
        <w:t xml:space="preserve">was held to be a valid easement for the right to use a communal garden. </w:t>
      </w:r>
      <w:r w:rsidR="006B291A">
        <w:rPr>
          <w:rFonts w:ascii="Arial" w:hAnsi="Arial" w:cs="Arial"/>
        </w:rPr>
        <w:t>This was held as a legal easement because the grounds of a communal garden with neighbouring houses had been dedicated to the original vendors</w:t>
      </w:r>
      <w:r w:rsidR="000C3C9A">
        <w:rPr>
          <w:rFonts w:ascii="Arial" w:hAnsi="Arial" w:cs="Arial"/>
        </w:rPr>
        <w:t>, which allowed the right to full enjoyment of the premises</w:t>
      </w:r>
      <w:r w:rsidR="00BD265B">
        <w:rPr>
          <w:rFonts w:ascii="Arial" w:hAnsi="Arial" w:cs="Arial"/>
        </w:rPr>
        <w:t xml:space="preserve"> (Chen, 2020).</w:t>
      </w:r>
      <w:r w:rsidR="000C3C9A">
        <w:rPr>
          <w:rFonts w:ascii="Arial" w:hAnsi="Arial" w:cs="Arial"/>
        </w:rPr>
        <w:t xml:space="preserve"> </w:t>
      </w:r>
      <w:r w:rsidR="000C3C9A" w:rsidRPr="000C3C9A">
        <w:rPr>
          <w:rFonts w:ascii="Arial" w:hAnsi="Arial" w:cs="Arial"/>
        </w:rPr>
        <w:t>Freehold owners were not entitled to joint occupancy; dedicating land to use as a pleasure ground and allowing others to come and enjoy it as such does not violate the ownership of property. An annexation right benefited houses that had been annexed and did not fail because it was only a recreational or amusing right. An easement constitutes of the right to use a private pleasure ground</w:t>
      </w:r>
      <w:r w:rsidR="002F5DFD">
        <w:rPr>
          <w:rFonts w:ascii="Arial" w:hAnsi="Arial" w:cs="Arial"/>
        </w:rPr>
        <w:t xml:space="preserve"> (The Supreme Court 2018). </w:t>
      </w:r>
    </w:p>
    <w:p w14:paraId="35F14EAD" w14:textId="3282AAF1" w:rsidR="00747D8C" w:rsidRPr="004358E5" w:rsidRDefault="00BE0EDE" w:rsidP="00747D8C">
      <w:pPr>
        <w:pStyle w:val="pb-2"/>
        <w:spacing w:line="360" w:lineRule="auto"/>
        <w:rPr>
          <w:rFonts w:ascii="Arial" w:hAnsi="Arial" w:cs="Arial"/>
          <w:b/>
          <w:bCs/>
          <w:color w:val="FF0000"/>
        </w:rPr>
      </w:pPr>
      <w:r>
        <w:rPr>
          <w:rStyle w:val="issue-underline"/>
          <w:rFonts w:ascii="Arial" w:hAnsi="Arial" w:cs="Arial"/>
          <w:color w:val="000000"/>
        </w:rPr>
        <w:t xml:space="preserve">Moreover, </w:t>
      </w:r>
      <w:r w:rsidR="002F5DFD">
        <w:rPr>
          <w:rStyle w:val="issue-underline"/>
          <w:rFonts w:ascii="Arial" w:hAnsi="Arial" w:cs="Arial"/>
          <w:color w:val="000000"/>
        </w:rPr>
        <w:t xml:space="preserve">Hughes (2019) suggests </w:t>
      </w:r>
      <w:r>
        <w:rPr>
          <w:rStyle w:val="issue-underline"/>
          <w:rFonts w:ascii="Arial" w:hAnsi="Arial" w:cs="Arial"/>
          <w:color w:val="000000"/>
        </w:rPr>
        <w:t>i</w:t>
      </w:r>
      <w:r w:rsidR="00231594" w:rsidRPr="00231594">
        <w:rPr>
          <w:rStyle w:val="issue-underline"/>
          <w:rFonts w:ascii="Arial" w:hAnsi="Arial" w:cs="Arial"/>
          <w:color w:val="000000"/>
        </w:rPr>
        <w:t>t is very common for car parking to become</w:t>
      </w:r>
      <w:r w:rsidR="00231594" w:rsidRPr="00231594">
        <w:rPr>
          <w:rStyle w:val="apple-converted-space"/>
          <w:rFonts w:ascii="Arial" w:hAnsi="Arial" w:cs="Arial"/>
          <w:color w:val="000000"/>
        </w:rPr>
        <w:t> </w:t>
      </w:r>
      <w:r w:rsidR="00231594" w:rsidRPr="00231594">
        <w:rPr>
          <w:rFonts w:ascii="Arial" w:hAnsi="Arial" w:cs="Arial"/>
          <w:color w:val="000000"/>
        </w:rPr>
        <w:t>an</w:t>
      </w:r>
      <w:r w:rsidR="00231594" w:rsidRPr="00231594">
        <w:rPr>
          <w:rStyle w:val="apple-converted-space"/>
          <w:rFonts w:ascii="Arial" w:hAnsi="Arial" w:cs="Arial"/>
          <w:color w:val="000000"/>
        </w:rPr>
        <w:t> </w:t>
      </w:r>
      <w:r w:rsidR="00231594" w:rsidRPr="00231594">
        <w:rPr>
          <w:rFonts w:ascii="Arial" w:hAnsi="Arial" w:cs="Arial"/>
        </w:rPr>
        <w:t>easement.</w:t>
      </w:r>
      <w:r w:rsidR="00231594" w:rsidRPr="00231594">
        <w:rPr>
          <w:rStyle w:val="apple-converted-space"/>
          <w:rFonts w:ascii="Arial" w:hAnsi="Arial" w:cs="Arial"/>
        </w:rPr>
        <w:t> </w:t>
      </w:r>
      <w:r w:rsidR="00231594" w:rsidRPr="00231594">
        <w:rPr>
          <w:rFonts w:ascii="Arial" w:hAnsi="Arial" w:cs="Arial"/>
        </w:rPr>
        <w:t>Parking rights that are intended to take effect as easements should be drafted in a way that allows the person entitled to park within a designated area and not in individual parking spaces.</w:t>
      </w:r>
      <w:r w:rsidR="00231594" w:rsidRPr="00231594">
        <w:rPr>
          <w:rStyle w:val="apple-converted-space"/>
          <w:rFonts w:ascii="Arial" w:hAnsi="Arial" w:cs="Arial"/>
          <w:color w:val="000000"/>
        </w:rPr>
        <w:t> </w:t>
      </w:r>
      <w:r w:rsidR="00675F22" w:rsidRPr="00747D8C">
        <w:rPr>
          <w:rFonts w:ascii="Arial" w:hAnsi="Arial" w:cs="Arial"/>
        </w:rPr>
        <w:t xml:space="preserve">It is not permitted to claim joint possession of the servient tenement under an easement that is too extensive. </w:t>
      </w:r>
      <w:r w:rsidR="0041594B">
        <w:rPr>
          <w:rFonts w:ascii="Arial" w:hAnsi="Arial" w:cs="Arial"/>
        </w:rPr>
        <w:t>Thomas (2020) states a</w:t>
      </w:r>
      <w:r w:rsidR="00675F22" w:rsidRPr="00747D8C">
        <w:rPr>
          <w:rFonts w:ascii="Arial" w:hAnsi="Arial" w:cs="Arial"/>
        </w:rPr>
        <w:t xml:space="preserve"> servient tenement cannot be possessed exclusively, jointly, or substantially permanently by an easement. Consequently, there must not be an overabundance of rights claimed. </w:t>
      </w:r>
      <w:r w:rsidR="00396099">
        <w:rPr>
          <w:rFonts w:ascii="Arial" w:hAnsi="Arial" w:cs="Arial"/>
        </w:rPr>
        <w:t>‘</w:t>
      </w:r>
      <w:r w:rsidR="000C3C9A" w:rsidRPr="00747D8C">
        <w:rPr>
          <w:rFonts w:ascii="Arial" w:hAnsi="Arial" w:cs="Arial"/>
        </w:rPr>
        <w:t xml:space="preserve">Wright v </w:t>
      </w:r>
      <w:proofErr w:type="spellStart"/>
      <w:r w:rsidR="000C3C9A" w:rsidRPr="00747D8C">
        <w:rPr>
          <w:rFonts w:ascii="Arial" w:hAnsi="Arial" w:cs="Arial"/>
        </w:rPr>
        <w:t>MacAdam</w:t>
      </w:r>
      <w:proofErr w:type="spellEnd"/>
      <w:r w:rsidR="00396099">
        <w:rPr>
          <w:rFonts w:ascii="Arial" w:hAnsi="Arial" w:cs="Arial"/>
        </w:rPr>
        <w:t>’</w:t>
      </w:r>
      <w:r w:rsidR="000C3C9A" w:rsidRPr="00747D8C">
        <w:rPr>
          <w:rFonts w:ascii="Arial" w:hAnsi="Arial" w:cs="Arial"/>
        </w:rPr>
        <w:t xml:space="preserve"> </w:t>
      </w:r>
      <w:r w:rsidR="000C3C9A">
        <w:rPr>
          <w:rFonts w:ascii="Arial" w:hAnsi="Arial" w:cs="Arial"/>
        </w:rPr>
        <w:t>(</w:t>
      </w:r>
      <w:r w:rsidR="000C3C9A" w:rsidRPr="00747D8C">
        <w:rPr>
          <w:rFonts w:ascii="Arial" w:hAnsi="Arial" w:cs="Arial"/>
        </w:rPr>
        <w:t>1949</w:t>
      </w:r>
      <w:r w:rsidR="000C3C9A">
        <w:rPr>
          <w:rFonts w:ascii="Arial" w:hAnsi="Arial" w:cs="Arial"/>
        </w:rPr>
        <w:t>)</w:t>
      </w:r>
      <w:r w:rsidR="000C3C9A" w:rsidRPr="00747D8C">
        <w:rPr>
          <w:rFonts w:ascii="Arial" w:hAnsi="Arial" w:cs="Arial"/>
        </w:rPr>
        <w:t xml:space="preserve"> 2 KB 744</w:t>
      </w:r>
      <w:r w:rsidR="000C3C9A">
        <w:rPr>
          <w:rFonts w:ascii="Arial" w:hAnsi="Arial" w:cs="Arial"/>
        </w:rPr>
        <w:t xml:space="preserve"> exemplifies t</w:t>
      </w:r>
      <w:r w:rsidR="00675F22" w:rsidRPr="00747D8C">
        <w:rPr>
          <w:rFonts w:ascii="Arial" w:hAnsi="Arial" w:cs="Arial"/>
        </w:rPr>
        <w:t>he grantor should not be deprived of possession of the servient tenement to the point of being completely excluded. It can be measured either spatially or temporally, based on the amount of time and space that is expended</w:t>
      </w:r>
      <w:r w:rsidR="006B291A">
        <w:rPr>
          <w:rFonts w:ascii="Arial" w:hAnsi="Arial" w:cs="Arial"/>
        </w:rPr>
        <w:t xml:space="preserve">. </w:t>
      </w:r>
      <w:r w:rsidR="00747D8C" w:rsidRPr="00747D8C">
        <w:rPr>
          <w:rFonts w:ascii="Arial" w:hAnsi="Arial" w:cs="Arial"/>
        </w:rPr>
        <w:t>This causes issues concerning parking and storage</w:t>
      </w:r>
      <w:r w:rsidR="008813FA">
        <w:rPr>
          <w:rFonts w:ascii="Arial" w:hAnsi="Arial" w:cs="Arial"/>
        </w:rPr>
        <w:t xml:space="preserve">. </w:t>
      </w:r>
    </w:p>
    <w:p w14:paraId="18DBC45A" w14:textId="77777777" w:rsidR="00DE1866" w:rsidRDefault="004909B6" w:rsidP="00C3790F">
      <w:pPr>
        <w:pStyle w:val="pb-2"/>
        <w:spacing w:line="360" w:lineRule="auto"/>
        <w:rPr>
          <w:rFonts w:ascii="Arial" w:hAnsi="Arial" w:cs="Arial"/>
        </w:rPr>
      </w:pPr>
      <w:r w:rsidRPr="004909B6">
        <w:rPr>
          <w:rFonts w:ascii="Arial" w:hAnsi="Arial" w:cs="Arial"/>
        </w:rPr>
        <w:t xml:space="preserve">It was believed that courts would not recognize an easement for parking considering decisions </w:t>
      </w:r>
      <w:r w:rsidR="004358E5">
        <w:rPr>
          <w:rFonts w:ascii="Arial" w:hAnsi="Arial" w:cs="Arial"/>
        </w:rPr>
        <w:t xml:space="preserve">in </w:t>
      </w:r>
      <w:r w:rsidR="00396099">
        <w:rPr>
          <w:rFonts w:ascii="Arial" w:hAnsi="Arial" w:cs="Arial"/>
        </w:rPr>
        <w:t>‘</w:t>
      </w:r>
      <w:r w:rsidRPr="004909B6">
        <w:rPr>
          <w:rFonts w:ascii="Arial" w:hAnsi="Arial" w:cs="Arial"/>
        </w:rPr>
        <w:t xml:space="preserve">Wright v </w:t>
      </w:r>
      <w:proofErr w:type="spellStart"/>
      <w:r w:rsidRPr="004909B6">
        <w:rPr>
          <w:rFonts w:ascii="Arial" w:hAnsi="Arial" w:cs="Arial"/>
        </w:rPr>
        <w:t>MacAdam</w:t>
      </w:r>
      <w:proofErr w:type="spellEnd"/>
      <w:r w:rsidR="00396099">
        <w:rPr>
          <w:rFonts w:ascii="Arial" w:hAnsi="Arial" w:cs="Arial"/>
        </w:rPr>
        <w:t>’</w:t>
      </w:r>
      <w:r w:rsidRPr="004909B6">
        <w:rPr>
          <w:rFonts w:ascii="Arial" w:hAnsi="Arial" w:cs="Arial"/>
        </w:rPr>
        <w:t xml:space="preserve"> </w:t>
      </w:r>
      <w:r w:rsidR="00654A87">
        <w:rPr>
          <w:rFonts w:ascii="Arial" w:hAnsi="Arial" w:cs="Arial"/>
        </w:rPr>
        <w:t>(</w:t>
      </w:r>
      <w:r w:rsidRPr="004909B6">
        <w:rPr>
          <w:rFonts w:ascii="Arial" w:hAnsi="Arial" w:cs="Arial"/>
        </w:rPr>
        <w:t>1949</w:t>
      </w:r>
      <w:r w:rsidR="00654A87">
        <w:rPr>
          <w:rFonts w:ascii="Arial" w:hAnsi="Arial" w:cs="Arial"/>
        </w:rPr>
        <w:t xml:space="preserve">) </w:t>
      </w:r>
      <w:r w:rsidRPr="004909B6">
        <w:rPr>
          <w:rFonts w:ascii="Arial" w:hAnsi="Arial" w:cs="Arial"/>
        </w:rPr>
        <w:t xml:space="preserve">2 KB 744. </w:t>
      </w:r>
      <w:r w:rsidR="00DE1866">
        <w:rPr>
          <w:rFonts w:ascii="Arial" w:hAnsi="Arial" w:cs="Arial"/>
        </w:rPr>
        <w:t>Also, i</w:t>
      </w:r>
      <w:r w:rsidRPr="004909B6">
        <w:rPr>
          <w:rFonts w:ascii="Arial" w:hAnsi="Arial" w:cs="Arial"/>
        </w:rPr>
        <w:t xml:space="preserve">t was argued that the right of customers to park in a central car park was an easement in </w:t>
      </w:r>
      <w:r w:rsidR="00396099">
        <w:rPr>
          <w:rFonts w:ascii="Arial" w:hAnsi="Arial" w:cs="Arial"/>
        </w:rPr>
        <w:t>‘</w:t>
      </w:r>
      <w:r w:rsidRPr="004909B6">
        <w:rPr>
          <w:rFonts w:ascii="Arial" w:hAnsi="Arial" w:cs="Arial"/>
        </w:rPr>
        <w:t>London and Blenheim Estates v Ladbroke Retail Parks</w:t>
      </w:r>
      <w:r w:rsidR="00396099">
        <w:rPr>
          <w:rFonts w:ascii="Arial" w:hAnsi="Arial" w:cs="Arial"/>
        </w:rPr>
        <w:t>’</w:t>
      </w:r>
      <w:r w:rsidRPr="004909B6">
        <w:rPr>
          <w:rFonts w:ascii="Arial" w:hAnsi="Arial" w:cs="Arial"/>
        </w:rPr>
        <w:t xml:space="preserve"> </w:t>
      </w:r>
      <w:r w:rsidR="00654A87">
        <w:rPr>
          <w:rFonts w:ascii="Arial" w:hAnsi="Arial" w:cs="Arial"/>
        </w:rPr>
        <w:t>(</w:t>
      </w:r>
      <w:r w:rsidRPr="004909B6">
        <w:rPr>
          <w:rFonts w:ascii="Arial" w:hAnsi="Arial" w:cs="Arial"/>
        </w:rPr>
        <w:t>1992</w:t>
      </w:r>
      <w:r w:rsidR="00654A87">
        <w:rPr>
          <w:rFonts w:ascii="Arial" w:hAnsi="Arial" w:cs="Arial"/>
        </w:rPr>
        <w:t>)</w:t>
      </w:r>
      <w:r w:rsidRPr="004909B6">
        <w:rPr>
          <w:rFonts w:ascii="Arial" w:hAnsi="Arial" w:cs="Arial"/>
        </w:rPr>
        <w:t xml:space="preserve"> 1 WLR 1278. The judge decided that if the servient land was sufficiently large, there could be an easement for parking vehicles</w:t>
      </w:r>
      <w:r>
        <w:rPr>
          <w:rFonts w:ascii="Arial" w:hAnsi="Arial" w:cs="Arial"/>
        </w:rPr>
        <w:t xml:space="preserve"> </w:t>
      </w:r>
      <w:r w:rsidRPr="004909B6">
        <w:rPr>
          <w:rFonts w:ascii="Arial" w:hAnsi="Arial" w:cs="Arial"/>
        </w:rPr>
        <w:t>(</w:t>
      </w:r>
      <w:r w:rsidR="00DE1866">
        <w:rPr>
          <w:rFonts w:ascii="Arial" w:hAnsi="Arial" w:cs="Arial"/>
        </w:rPr>
        <w:t>o</w:t>
      </w:r>
      <w:r w:rsidRPr="004909B6">
        <w:rPr>
          <w:rFonts w:ascii="Arial" w:hAnsi="Arial" w:cs="Arial"/>
        </w:rPr>
        <w:t>biter dicta).</w:t>
      </w:r>
      <w:r w:rsidRPr="004909B6">
        <w:rPr>
          <w:rStyle w:val="apple-converted-space"/>
          <w:rFonts w:ascii="Arial" w:hAnsi="Arial" w:cs="Arial"/>
          <w:color w:val="000000"/>
        </w:rPr>
        <w:t> </w:t>
      </w:r>
      <w:r w:rsidRPr="004909B6">
        <w:rPr>
          <w:rStyle w:val="issue-underline"/>
          <w:rFonts w:ascii="Arial" w:hAnsi="Arial" w:cs="Arial"/>
          <w:color w:val="000000"/>
        </w:rPr>
        <w:t>Consequently, there was the question</w:t>
      </w:r>
      <w:r w:rsidRPr="004909B6">
        <w:rPr>
          <w:rStyle w:val="apple-converted-space"/>
          <w:rFonts w:ascii="Arial" w:hAnsi="Arial" w:cs="Arial"/>
          <w:color w:val="000000"/>
        </w:rPr>
        <w:t> </w:t>
      </w:r>
      <w:r w:rsidRPr="004909B6">
        <w:rPr>
          <w:rFonts w:ascii="Arial" w:hAnsi="Arial" w:cs="Arial"/>
          <w:color w:val="000000"/>
        </w:rPr>
        <w:t>of degree.</w:t>
      </w:r>
      <w:r w:rsidRPr="004909B6">
        <w:rPr>
          <w:rStyle w:val="apple-converted-space"/>
          <w:rFonts w:ascii="Arial" w:hAnsi="Arial" w:cs="Arial"/>
          <w:color w:val="000000"/>
        </w:rPr>
        <w:t> </w:t>
      </w:r>
      <w:r w:rsidRPr="004909B6">
        <w:rPr>
          <w:rFonts w:ascii="Arial" w:hAnsi="Arial" w:cs="Arial"/>
        </w:rPr>
        <w:t>If the servient owner was left without reasonable access to their land, the right would not be an easement.</w:t>
      </w:r>
    </w:p>
    <w:p w14:paraId="57CF53F5" w14:textId="77777777" w:rsidR="00DE1866" w:rsidRDefault="00DE1866" w:rsidP="00C3790F">
      <w:pPr>
        <w:pStyle w:val="pb-2"/>
        <w:spacing w:line="360" w:lineRule="auto"/>
        <w:rPr>
          <w:rFonts w:ascii="Arial" w:hAnsi="Arial" w:cs="Arial"/>
        </w:rPr>
      </w:pPr>
    </w:p>
    <w:p w14:paraId="54F32EF8" w14:textId="47D4B538" w:rsidR="00C3790F" w:rsidRPr="00DE1866" w:rsidRDefault="004358E5" w:rsidP="00C3790F">
      <w:pPr>
        <w:pStyle w:val="pb-2"/>
        <w:spacing w:line="360" w:lineRule="auto"/>
        <w:rPr>
          <w:rFonts w:ascii="Arial" w:hAnsi="Arial" w:cs="Arial"/>
        </w:rPr>
      </w:pPr>
      <w:r w:rsidRPr="00396099">
        <w:rPr>
          <w:rStyle w:val="Emphasis"/>
          <w:rFonts w:ascii="Arial" w:hAnsi="Arial" w:cs="Arial"/>
          <w:i w:val="0"/>
          <w:iCs w:val="0"/>
          <w:color w:val="000000"/>
        </w:rPr>
        <w:t>A key case which establishes whether an</w:t>
      </w:r>
      <w:r w:rsidRPr="00396099">
        <w:rPr>
          <w:rStyle w:val="normaltextrun"/>
          <w:rFonts w:ascii="Arial" w:hAnsi="Arial" w:cs="Arial"/>
          <w:i/>
          <w:iCs/>
          <w:color w:val="000000"/>
        </w:rPr>
        <w:t xml:space="preserve"> </w:t>
      </w:r>
      <w:r w:rsidRPr="00DE1866">
        <w:rPr>
          <w:rStyle w:val="normaltextrun"/>
          <w:rFonts w:ascii="Arial" w:hAnsi="Arial" w:cs="Arial"/>
          <w:color w:val="000000"/>
        </w:rPr>
        <w:t>easement is capable to park a vehicle on land to exist</w:t>
      </w:r>
      <w:r w:rsidRPr="00DE1866">
        <w:rPr>
          <w:rStyle w:val="Emphasis"/>
          <w:rFonts w:ascii="Arial" w:hAnsi="Arial" w:cs="Arial"/>
          <w:color w:val="000000"/>
        </w:rPr>
        <w:t xml:space="preserve"> </w:t>
      </w:r>
      <w:r w:rsidRPr="00396099">
        <w:rPr>
          <w:rStyle w:val="Emphasis"/>
          <w:rFonts w:ascii="Arial" w:hAnsi="Arial" w:cs="Arial"/>
          <w:i w:val="0"/>
          <w:iCs w:val="0"/>
          <w:color w:val="000000"/>
        </w:rPr>
        <w:t xml:space="preserve">is </w:t>
      </w:r>
      <w:r w:rsidR="00396099">
        <w:rPr>
          <w:rStyle w:val="Emphasis"/>
          <w:rFonts w:ascii="Arial" w:hAnsi="Arial" w:cs="Arial"/>
          <w:i w:val="0"/>
          <w:iCs w:val="0"/>
          <w:color w:val="000000"/>
        </w:rPr>
        <w:t>‘</w:t>
      </w:r>
      <w:r w:rsidR="00C3790F" w:rsidRPr="00396099">
        <w:rPr>
          <w:rStyle w:val="Emphasis"/>
          <w:rFonts w:ascii="Arial" w:hAnsi="Arial" w:cs="Arial"/>
          <w:i w:val="0"/>
          <w:iCs w:val="0"/>
          <w:color w:val="000000"/>
        </w:rPr>
        <w:t>Batchelor v Marlow</w:t>
      </w:r>
      <w:r w:rsidR="00396099">
        <w:rPr>
          <w:rStyle w:val="Emphasis"/>
          <w:rFonts w:ascii="Arial" w:hAnsi="Arial" w:cs="Arial"/>
          <w:i w:val="0"/>
          <w:iCs w:val="0"/>
          <w:color w:val="000000"/>
        </w:rPr>
        <w:t>’</w:t>
      </w:r>
      <w:r w:rsidR="00C3790F" w:rsidRPr="00396099">
        <w:rPr>
          <w:rStyle w:val="apple-converted-space"/>
          <w:rFonts w:ascii="Arial" w:hAnsi="Arial" w:cs="Arial"/>
          <w:i/>
          <w:iCs/>
          <w:color w:val="000000"/>
        </w:rPr>
        <w:t> </w:t>
      </w:r>
      <w:r w:rsidR="00654A87" w:rsidRPr="00396099">
        <w:rPr>
          <w:rFonts w:ascii="Arial" w:hAnsi="Arial" w:cs="Arial"/>
          <w:color w:val="000000"/>
        </w:rPr>
        <w:t>(</w:t>
      </w:r>
      <w:r w:rsidR="00C3790F" w:rsidRPr="00396099">
        <w:rPr>
          <w:rFonts w:ascii="Arial" w:hAnsi="Arial" w:cs="Arial"/>
          <w:color w:val="000000"/>
        </w:rPr>
        <w:t>2003</w:t>
      </w:r>
      <w:r w:rsidR="00654A87" w:rsidRPr="00396099">
        <w:rPr>
          <w:rFonts w:ascii="Arial" w:hAnsi="Arial" w:cs="Arial"/>
          <w:color w:val="000000"/>
        </w:rPr>
        <w:t>)</w:t>
      </w:r>
      <w:r w:rsidR="00C3790F" w:rsidRPr="00396099">
        <w:rPr>
          <w:rFonts w:ascii="Arial" w:hAnsi="Arial" w:cs="Arial"/>
          <w:i/>
          <w:iCs/>
          <w:color w:val="000000"/>
        </w:rPr>
        <w:t xml:space="preserve"> </w:t>
      </w:r>
      <w:r w:rsidR="00C3790F" w:rsidRPr="00C3790F">
        <w:rPr>
          <w:rFonts w:ascii="Arial" w:hAnsi="Arial" w:cs="Arial"/>
          <w:color w:val="000000"/>
        </w:rPr>
        <w:t>1 W.L.R. 764</w:t>
      </w:r>
      <w:r>
        <w:rPr>
          <w:rFonts w:ascii="Arial" w:hAnsi="Arial" w:cs="Arial"/>
          <w:color w:val="000000"/>
        </w:rPr>
        <w:t>. It</w:t>
      </w:r>
      <w:r w:rsidR="00C3790F" w:rsidRPr="00C3790F">
        <w:rPr>
          <w:rFonts w:ascii="Arial" w:hAnsi="Arial" w:cs="Arial"/>
          <w:color w:val="000000"/>
        </w:rPr>
        <w:t xml:space="preserve"> demonstrates this principle concerning a dispute regarding parking on a strip of land.</w:t>
      </w:r>
      <w:r w:rsidR="00C3790F" w:rsidRPr="00C3790F">
        <w:rPr>
          <w:rStyle w:val="apple-converted-space"/>
          <w:rFonts w:ascii="Arial" w:hAnsi="Arial" w:cs="Arial"/>
          <w:color w:val="000000"/>
        </w:rPr>
        <w:t> </w:t>
      </w:r>
      <w:r w:rsidR="00C3790F" w:rsidRPr="00C3790F">
        <w:rPr>
          <w:rFonts w:ascii="Arial" w:hAnsi="Arial" w:cs="Arial"/>
          <w:color w:val="000000"/>
        </w:rPr>
        <w:t>In his ruling, the judge held that the defendants gained an exclusive prescriptive right to park their vehicles. However, the Court of Appeal</w:t>
      </w:r>
      <w:r w:rsidR="00C3790F" w:rsidRPr="00C3790F">
        <w:rPr>
          <w:rStyle w:val="apple-converted-space"/>
          <w:rFonts w:ascii="Arial" w:hAnsi="Arial" w:cs="Arial"/>
          <w:color w:val="000000"/>
        </w:rPr>
        <w:t> </w:t>
      </w:r>
      <w:r w:rsidR="00C3790F" w:rsidRPr="00C3790F">
        <w:rPr>
          <w:rFonts w:ascii="Arial" w:hAnsi="Arial" w:cs="Arial"/>
          <w:color w:val="000000"/>
        </w:rPr>
        <w:t>overturned the judge's</w:t>
      </w:r>
      <w:r w:rsidR="00C3790F" w:rsidRPr="00C3790F">
        <w:rPr>
          <w:rStyle w:val="apple-converted-space"/>
          <w:rFonts w:ascii="Arial" w:hAnsi="Arial" w:cs="Arial"/>
          <w:color w:val="000000"/>
        </w:rPr>
        <w:t> </w:t>
      </w:r>
      <w:r w:rsidR="00C3790F" w:rsidRPr="00C3790F">
        <w:rPr>
          <w:rStyle w:val="issue-underline"/>
          <w:rFonts w:ascii="Arial" w:hAnsi="Arial" w:cs="Arial"/>
          <w:color w:val="000000"/>
        </w:rPr>
        <w:t>decision, stating</w:t>
      </w:r>
      <w:r w:rsidR="00C3790F" w:rsidRPr="00C3790F">
        <w:rPr>
          <w:rStyle w:val="apple-converted-space"/>
          <w:rFonts w:ascii="Arial" w:hAnsi="Arial" w:cs="Arial"/>
          <w:color w:val="000000"/>
        </w:rPr>
        <w:t> </w:t>
      </w:r>
      <w:r w:rsidR="00C3790F" w:rsidRPr="00C3790F">
        <w:rPr>
          <w:rFonts w:ascii="Arial" w:hAnsi="Arial" w:cs="Arial"/>
          <w:color w:val="000000"/>
        </w:rPr>
        <w:t>that such a right would deny plaintiffs reasonable use of their land and therefore cannot be considered an easement.</w:t>
      </w:r>
      <w:r w:rsidR="00C3790F" w:rsidRPr="00C3790F">
        <w:rPr>
          <w:rStyle w:val="apple-converted-space"/>
          <w:rFonts w:ascii="Arial" w:hAnsi="Arial" w:cs="Arial"/>
          <w:color w:val="000000"/>
        </w:rPr>
        <w:t> </w:t>
      </w:r>
      <w:r w:rsidR="00C3790F" w:rsidRPr="00C3790F">
        <w:rPr>
          <w:rFonts w:ascii="Arial" w:hAnsi="Arial" w:cs="Arial"/>
          <w:color w:val="000000"/>
        </w:rPr>
        <w:t xml:space="preserve">Land use by the owner became illusory because of the </w:t>
      </w:r>
      <w:r w:rsidR="00906C72" w:rsidRPr="00C3790F">
        <w:rPr>
          <w:rFonts w:ascii="Arial" w:hAnsi="Arial" w:cs="Arial"/>
          <w:color w:val="000000"/>
        </w:rPr>
        <w:t>court</w:t>
      </w:r>
      <w:r w:rsidR="00906C72">
        <w:rPr>
          <w:rFonts w:ascii="Arial" w:hAnsi="Arial" w:cs="Arial"/>
          <w:color w:val="000000"/>
        </w:rPr>
        <w:t>’s</w:t>
      </w:r>
      <w:r w:rsidR="00C3790F" w:rsidRPr="00C3790F">
        <w:rPr>
          <w:rFonts w:ascii="Arial" w:hAnsi="Arial" w:cs="Arial"/>
          <w:color w:val="000000"/>
        </w:rPr>
        <w:t xml:space="preserve"> decision.</w:t>
      </w:r>
      <w:r w:rsidR="00C3790F" w:rsidRPr="00C3790F">
        <w:rPr>
          <w:rStyle w:val="apple-converted-space"/>
          <w:rFonts w:ascii="Arial" w:hAnsi="Arial" w:cs="Arial"/>
          <w:color w:val="000000"/>
        </w:rPr>
        <w:t> </w:t>
      </w:r>
      <w:r w:rsidR="00C3790F" w:rsidRPr="00C3790F">
        <w:rPr>
          <w:rFonts w:ascii="Arial" w:hAnsi="Arial" w:cs="Arial"/>
          <w:color w:val="000000"/>
        </w:rPr>
        <w:t>Due to the Court of Appeal's decision in</w:t>
      </w:r>
      <w:r w:rsidR="00C3790F" w:rsidRPr="00C3790F">
        <w:rPr>
          <w:rStyle w:val="apple-converted-space"/>
          <w:rFonts w:ascii="Arial" w:hAnsi="Arial" w:cs="Arial"/>
          <w:color w:val="000000"/>
        </w:rPr>
        <w:t> </w:t>
      </w:r>
      <w:r w:rsidR="00C3790F" w:rsidRPr="00A704DB">
        <w:rPr>
          <w:rStyle w:val="Emphasis"/>
          <w:rFonts w:ascii="Arial" w:hAnsi="Arial" w:cs="Arial"/>
          <w:i w:val="0"/>
          <w:iCs w:val="0"/>
          <w:color w:val="000000"/>
        </w:rPr>
        <w:t>Batchelor v Marlow, the</w:t>
      </w:r>
      <w:r w:rsidR="00C3790F" w:rsidRPr="00A704DB">
        <w:rPr>
          <w:rStyle w:val="apple-converted-space"/>
          <w:rFonts w:ascii="Arial" w:hAnsi="Arial" w:cs="Arial"/>
          <w:i/>
          <w:iCs/>
          <w:color w:val="000000"/>
        </w:rPr>
        <w:t> </w:t>
      </w:r>
      <w:r w:rsidR="00C3790F" w:rsidRPr="00A704DB">
        <w:rPr>
          <w:rStyle w:val="Emphasis"/>
          <w:rFonts w:ascii="Arial" w:hAnsi="Arial" w:cs="Arial"/>
          <w:i w:val="0"/>
          <w:iCs w:val="0"/>
          <w:color w:val="000000"/>
        </w:rPr>
        <w:t>test has become</w:t>
      </w:r>
      <w:r w:rsidR="00C3790F" w:rsidRPr="00A704DB">
        <w:rPr>
          <w:rStyle w:val="apple-converted-space"/>
          <w:rFonts w:ascii="Arial" w:hAnsi="Arial" w:cs="Arial"/>
          <w:i/>
          <w:iCs/>
          <w:color w:val="000000"/>
        </w:rPr>
        <w:t> </w:t>
      </w:r>
      <w:r w:rsidR="00C3790F" w:rsidRPr="00A704DB">
        <w:rPr>
          <w:rStyle w:val="Emphasis"/>
          <w:rFonts w:ascii="Arial" w:hAnsi="Arial" w:cs="Arial"/>
          <w:i w:val="0"/>
          <w:iCs w:val="0"/>
          <w:color w:val="000000"/>
        </w:rPr>
        <w:t>set out</w:t>
      </w:r>
      <w:r w:rsidR="00C3790F" w:rsidRPr="00A704DB">
        <w:rPr>
          <w:rStyle w:val="apple-converted-space"/>
          <w:rFonts w:ascii="Arial" w:hAnsi="Arial" w:cs="Arial"/>
          <w:i/>
          <w:iCs/>
          <w:color w:val="000000"/>
        </w:rPr>
        <w:t> </w:t>
      </w:r>
      <w:r w:rsidR="00C3790F" w:rsidRPr="00A704DB">
        <w:rPr>
          <w:rStyle w:val="Emphasis"/>
          <w:rFonts w:ascii="Arial" w:hAnsi="Arial" w:cs="Arial"/>
          <w:i w:val="0"/>
          <w:iCs w:val="0"/>
          <w:color w:val="000000"/>
        </w:rPr>
        <w:t>in practice</w:t>
      </w:r>
      <w:r w:rsidR="008813FA" w:rsidRPr="00A704DB">
        <w:rPr>
          <w:rStyle w:val="Emphasis"/>
          <w:rFonts w:ascii="Arial" w:hAnsi="Arial" w:cs="Arial"/>
          <w:i w:val="0"/>
          <w:iCs w:val="0"/>
          <w:color w:val="000000"/>
        </w:rPr>
        <w:t xml:space="preserve"> (Tanfield Chambers, 2017). </w:t>
      </w:r>
    </w:p>
    <w:p w14:paraId="105DC7A6" w14:textId="627BCEBD" w:rsidR="00C3790F" w:rsidRDefault="00C3790F" w:rsidP="00C3790F">
      <w:pPr>
        <w:pStyle w:val="pb-2"/>
        <w:spacing w:line="360" w:lineRule="auto"/>
        <w:rPr>
          <w:rFonts w:ascii="Arial" w:hAnsi="Arial" w:cs="Arial"/>
          <w:color w:val="000000"/>
        </w:rPr>
      </w:pPr>
      <w:r w:rsidRPr="00C3790F">
        <w:rPr>
          <w:rFonts w:ascii="Arial" w:hAnsi="Arial" w:cs="Arial"/>
          <w:color w:val="000000"/>
        </w:rPr>
        <w:t>However,</w:t>
      </w:r>
      <w:r w:rsidRPr="00C3790F">
        <w:rPr>
          <w:rStyle w:val="apple-converted-space"/>
          <w:rFonts w:ascii="Arial" w:hAnsi="Arial" w:cs="Arial"/>
          <w:color w:val="000000"/>
        </w:rPr>
        <w:t> </w:t>
      </w:r>
      <w:r w:rsidRPr="00396099">
        <w:rPr>
          <w:rStyle w:val="Emphasis"/>
          <w:rFonts w:ascii="Arial" w:hAnsi="Arial" w:cs="Arial"/>
          <w:i w:val="0"/>
          <w:iCs w:val="0"/>
          <w:color w:val="000000"/>
        </w:rPr>
        <w:t>Batchelor v Marlow</w:t>
      </w:r>
      <w:r w:rsidRPr="00396099">
        <w:rPr>
          <w:rStyle w:val="apple-converted-space"/>
          <w:rFonts w:ascii="Arial" w:hAnsi="Arial" w:cs="Arial"/>
          <w:i/>
          <w:iCs/>
          <w:color w:val="000000"/>
        </w:rPr>
        <w:t> </w:t>
      </w:r>
      <w:r w:rsidRPr="00396099">
        <w:rPr>
          <w:rStyle w:val="Emphasis"/>
          <w:rFonts w:ascii="Arial" w:hAnsi="Arial" w:cs="Arial"/>
          <w:i w:val="0"/>
          <w:iCs w:val="0"/>
          <w:color w:val="000000"/>
        </w:rPr>
        <w:t>consisted of</w:t>
      </w:r>
      <w:r w:rsidRPr="00396099">
        <w:rPr>
          <w:rStyle w:val="apple-converted-space"/>
          <w:rFonts w:ascii="Arial" w:hAnsi="Arial" w:cs="Arial"/>
          <w:i/>
          <w:iCs/>
          <w:color w:val="000000"/>
        </w:rPr>
        <w:t> </w:t>
      </w:r>
      <w:r w:rsidRPr="00396099">
        <w:rPr>
          <w:rStyle w:val="Emphasis"/>
          <w:rFonts w:ascii="Arial" w:hAnsi="Arial" w:cs="Arial"/>
          <w:i w:val="0"/>
          <w:iCs w:val="0"/>
          <w:color w:val="000000"/>
        </w:rPr>
        <w:t>decisions which</w:t>
      </w:r>
      <w:r w:rsidRPr="00396099">
        <w:rPr>
          <w:rStyle w:val="apple-converted-space"/>
          <w:rFonts w:ascii="Arial" w:hAnsi="Arial" w:cs="Arial"/>
          <w:i/>
          <w:iCs/>
          <w:color w:val="000000"/>
        </w:rPr>
        <w:t> </w:t>
      </w:r>
      <w:r w:rsidRPr="00396099">
        <w:rPr>
          <w:rStyle w:val="Emphasis"/>
          <w:rFonts w:ascii="Arial" w:hAnsi="Arial" w:cs="Arial"/>
          <w:i w:val="0"/>
          <w:iCs w:val="0"/>
          <w:color w:val="000000"/>
        </w:rPr>
        <w:t>were</w:t>
      </w:r>
      <w:r w:rsidRPr="00396099">
        <w:rPr>
          <w:rStyle w:val="apple-converted-space"/>
          <w:rFonts w:ascii="Arial" w:hAnsi="Arial" w:cs="Arial"/>
          <w:i/>
          <w:iCs/>
          <w:color w:val="000000"/>
        </w:rPr>
        <w:t> </w:t>
      </w:r>
      <w:r w:rsidRPr="00396099">
        <w:rPr>
          <w:rStyle w:val="Emphasis"/>
          <w:rFonts w:ascii="Arial" w:hAnsi="Arial" w:cs="Arial"/>
          <w:i w:val="0"/>
          <w:iCs w:val="0"/>
          <w:color w:val="000000"/>
        </w:rPr>
        <w:t>doubted to the highest extent</w:t>
      </w:r>
      <w:r w:rsidR="004358E5" w:rsidRPr="00396099">
        <w:rPr>
          <w:rStyle w:val="Emphasis"/>
          <w:rFonts w:ascii="Arial" w:hAnsi="Arial" w:cs="Arial"/>
          <w:i w:val="0"/>
          <w:iCs w:val="0"/>
          <w:color w:val="000000"/>
        </w:rPr>
        <w:t>, creating conflict as to whether a vehicle can be established as an easement</w:t>
      </w:r>
      <w:r w:rsidRPr="00396099">
        <w:rPr>
          <w:rStyle w:val="Emphasis"/>
          <w:rFonts w:ascii="Arial" w:hAnsi="Arial" w:cs="Arial"/>
          <w:i w:val="0"/>
          <w:iCs w:val="0"/>
          <w:color w:val="000000"/>
        </w:rPr>
        <w:t>.</w:t>
      </w:r>
      <w:r w:rsidRPr="00396099">
        <w:rPr>
          <w:rStyle w:val="apple-converted-space"/>
          <w:rFonts w:ascii="Arial" w:hAnsi="Arial" w:cs="Arial"/>
          <w:i/>
          <w:iCs/>
          <w:color w:val="000000"/>
        </w:rPr>
        <w:t> </w:t>
      </w:r>
      <w:r w:rsidRPr="00C3790F">
        <w:rPr>
          <w:rFonts w:ascii="Arial" w:hAnsi="Arial" w:cs="Arial"/>
          <w:color w:val="000000"/>
        </w:rPr>
        <w:t xml:space="preserve">As the Supreme Court ruled in </w:t>
      </w:r>
      <w:r w:rsidR="00396099">
        <w:rPr>
          <w:rFonts w:ascii="Arial" w:hAnsi="Arial" w:cs="Arial"/>
          <w:color w:val="000000"/>
        </w:rPr>
        <w:t>‘</w:t>
      </w:r>
      <w:r w:rsidRPr="00C3790F">
        <w:rPr>
          <w:rFonts w:ascii="Arial" w:hAnsi="Arial" w:cs="Arial"/>
          <w:color w:val="000000"/>
        </w:rPr>
        <w:t>Moncrieff v Jamieson</w:t>
      </w:r>
      <w:r w:rsidR="00396099">
        <w:rPr>
          <w:rFonts w:ascii="Arial" w:hAnsi="Arial" w:cs="Arial"/>
          <w:color w:val="000000"/>
        </w:rPr>
        <w:t>’</w:t>
      </w:r>
      <w:r w:rsidRPr="00C3790F">
        <w:rPr>
          <w:rFonts w:ascii="Arial" w:hAnsi="Arial" w:cs="Arial"/>
          <w:color w:val="000000"/>
        </w:rPr>
        <w:t>, a right to park can be considered an ancillary right to vehicular access.</w:t>
      </w:r>
      <w:r w:rsidRPr="00C3790F">
        <w:rPr>
          <w:rStyle w:val="apple-converted-space"/>
          <w:rFonts w:ascii="Arial" w:hAnsi="Arial" w:cs="Arial"/>
          <w:color w:val="000000"/>
        </w:rPr>
        <w:t> </w:t>
      </w:r>
      <w:r w:rsidRPr="00C3790F">
        <w:rPr>
          <w:rFonts w:ascii="Arial" w:hAnsi="Arial" w:cs="Arial"/>
          <w:color w:val="000000"/>
        </w:rPr>
        <w:t>The court decided that a right of such a nature existed under the extreme facts of that case.</w:t>
      </w:r>
      <w:r w:rsidRPr="00C3790F">
        <w:rPr>
          <w:rStyle w:val="apple-converted-space"/>
          <w:rFonts w:ascii="Arial" w:hAnsi="Arial" w:cs="Arial"/>
          <w:color w:val="000000"/>
        </w:rPr>
        <w:t> </w:t>
      </w:r>
      <w:r w:rsidRPr="00C3790F">
        <w:rPr>
          <w:rFonts w:ascii="Arial" w:hAnsi="Arial" w:cs="Arial"/>
          <w:color w:val="000000"/>
        </w:rPr>
        <w:t>Considering Batchelor v Marlow, the Court considered whether the ruling was correct</w:t>
      </w:r>
      <w:r w:rsidR="008813FA">
        <w:rPr>
          <w:rFonts w:ascii="Arial" w:hAnsi="Arial" w:cs="Arial"/>
          <w:color w:val="000000"/>
        </w:rPr>
        <w:t xml:space="preserve"> (House of Lords, 2007). </w:t>
      </w:r>
    </w:p>
    <w:p w14:paraId="56EE1332" w14:textId="10E8B002" w:rsidR="004358E5" w:rsidRDefault="00C812EB" w:rsidP="004358E5">
      <w:pPr>
        <w:pStyle w:val="paragraph"/>
        <w:spacing w:before="0" w:beforeAutospacing="0" w:after="0" w:afterAutospacing="0" w:line="360" w:lineRule="auto"/>
        <w:textAlignment w:val="baseline"/>
        <w:rPr>
          <w:rStyle w:val="normaltextrun"/>
          <w:rFonts w:ascii="Arial" w:hAnsi="Arial" w:cs="Arial"/>
          <w:color w:val="000000"/>
        </w:rPr>
      </w:pPr>
      <w:r w:rsidRPr="004358E5">
        <w:rPr>
          <w:rFonts w:ascii="Arial" w:hAnsi="Arial" w:cs="Arial"/>
          <w:color w:val="000000"/>
        </w:rPr>
        <w:t xml:space="preserve">To establish whether </w:t>
      </w:r>
      <w:r w:rsidRPr="004358E5">
        <w:rPr>
          <w:rStyle w:val="normaltextrun"/>
          <w:rFonts w:ascii="Arial" w:hAnsi="Arial" w:cs="Arial"/>
          <w:color w:val="000000"/>
        </w:rPr>
        <w:t xml:space="preserve">it is possible for an easement to park a vehicle on land to exist, it is important to establish </w:t>
      </w:r>
      <w:r w:rsidR="009D7ACF" w:rsidRPr="004358E5">
        <w:rPr>
          <w:rStyle w:val="normaltextrun"/>
          <w:rFonts w:ascii="Arial" w:hAnsi="Arial" w:cs="Arial"/>
          <w:color w:val="000000"/>
        </w:rPr>
        <w:t xml:space="preserve">the factors criticised in </w:t>
      </w:r>
      <w:r w:rsidR="00396099">
        <w:rPr>
          <w:rStyle w:val="normaltextrun"/>
          <w:rFonts w:ascii="Arial" w:hAnsi="Arial" w:cs="Arial"/>
          <w:color w:val="000000"/>
        </w:rPr>
        <w:t>‘</w:t>
      </w:r>
      <w:r w:rsidR="00654A87" w:rsidRPr="00396099">
        <w:rPr>
          <w:rStyle w:val="Emphasis"/>
          <w:rFonts w:ascii="Arial" w:hAnsi="Arial" w:cs="Arial"/>
          <w:i w:val="0"/>
          <w:iCs w:val="0"/>
          <w:color w:val="000000"/>
        </w:rPr>
        <w:t>Batchelor v Marlow</w:t>
      </w:r>
      <w:r w:rsidR="00396099">
        <w:rPr>
          <w:rStyle w:val="Emphasis"/>
          <w:rFonts w:ascii="Arial" w:hAnsi="Arial" w:cs="Arial"/>
          <w:i w:val="0"/>
          <w:iCs w:val="0"/>
          <w:color w:val="000000"/>
        </w:rPr>
        <w:t>’</w:t>
      </w:r>
      <w:r w:rsidR="00654A87" w:rsidRPr="00396099">
        <w:rPr>
          <w:rStyle w:val="apple-converted-space"/>
          <w:rFonts w:ascii="Arial" w:hAnsi="Arial" w:cs="Arial"/>
          <w:i/>
          <w:iCs/>
          <w:color w:val="000000"/>
        </w:rPr>
        <w:t> </w:t>
      </w:r>
      <w:r w:rsidR="00654A87" w:rsidRPr="00DE1866">
        <w:rPr>
          <w:rFonts w:ascii="Arial" w:hAnsi="Arial" w:cs="Arial"/>
          <w:color w:val="000000"/>
        </w:rPr>
        <w:t>(2003)</w:t>
      </w:r>
      <w:r w:rsidR="00654A87" w:rsidRPr="00396099">
        <w:rPr>
          <w:rFonts w:ascii="Arial" w:hAnsi="Arial" w:cs="Arial"/>
          <w:i/>
          <w:iCs/>
          <w:color w:val="000000"/>
        </w:rPr>
        <w:t xml:space="preserve"> </w:t>
      </w:r>
      <w:r w:rsidR="00654A87" w:rsidRPr="00396099">
        <w:rPr>
          <w:rFonts w:ascii="Arial" w:hAnsi="Arial" w:cs="Arial"/>
          <w:color w:val="000000"/>
        </w:rPr>
        <w:t>1 W.L.R. 764</w:t>
      </w:r>
      <w:r w:rsidR="009D7ACF" w:rsidRPr="004358E5">
        <w:rPr>
          <w:rStyle w:val="apple-converted-space"/>
          <w:rFonts w:ascii="Arial" w:hAnsi="Arial" w:cs="Arial"/>
          <w:color w:val="000000"/>
        </w:rPr>
        <w:t xml:space="preserve">. Lord Scott articulated that </w:t>
      </w:r>
      <w:r w:rsidR="007C1B2B" w:rsidRPr="004358E5">
        <w:rPr>
          <w:rStyle w:val="apple-converted-space"/>
          <w:rFonts w:ascii="Arial" w:hAnsi="Arial" w:cs="Arial"/>
          <w:color w:val="000000"/>
        </w:rPr>
        <w:t xml:space="preserve">the test ruled in this case needed some qualification. </w:t>
      </w:r>
      <w:r w:rsidR="00C76A3C" w:rsidRPr="004358E5">
        <w:rPr>
          <w:rStyle w:val="apple-converted-space"/>
          <w:rFonts w:ascii="Arial" w:hAnsi="Arial" w:cs="Arial"/>
          <w:color w:val="000000"/>
        </w:rPr>
        <w:t xml:space="preserve">He followed with an obiter comment stating </w:t>
      </w:r>
      <w:r w:rsidR="00C76A3C" w:rsidRPr="004358E5">
        <w:rPr>
          <w:rFonts w:ascii="Arial" w:hAnsi="Arial" w:cs="Arial"/>
        </w:rPr>
        <w:t xml:space="preserve">a servient owner must retain possession and control of his land, </w:t>
      </w:r>
      <w:r w:rsidR="00906C72" w:rsidRPr="004358E5">
        <w:rPr>
          <w:rFonts w:ascii="Arial" w:hAnsi="Arial" w:cs="Arial"/>
        </w:rPr>
        <w:t xml:space="preserve">and </w:t>
      </w:r>
      <w:r w:rsidR="00C76A3C" w:rsidRPr="004358E5">
        <w:rPr>
          <w:rFonts w:ascii="Arial" w:hAnsi="Arial" w:cs="Arial"/>
        </w:rPr>
        <w:t xml:space="preserve">not whether he is left without reasonable use of his land. </w:t>
      </w:r>
      <w:r w:rsidR="00E87B35" w:rsidRPr="004358E5">
        <w:rPr>
          <w:rFonts w:ascii="Arial" w:hAnsi="Arial" w:cs="Arial"/>
        </w:rPr>
        <w:t xml:space="preserve">Firstly, where parking rights are granted, the servient owner must still retain the ability to build around the parking capacity. Or for example, place advertisement on their own grounds. </w:t>
      </w:r>
      <w:r w:rsidR="002B42A2" w:rsidRPr="004358E5">
        <w:rPr>
          <w:rFonts w:ascii="Arial" w:hAnsi="Arial" w:cs="Arial"/>
        </w:rPr>
        <w:t xml:space="preserve">A right can be an easement </w:t>
      </w:r>
      <w:r w:rsidR="00DE1866">
        <w:rPr>
          <w:rFonts w:ascii="Arial" w:hAnsi="Arial" w:cs="Arial"/>
        </w:rPr>
        <w:t xml:space="preserve">in parking </w:t>
      </w:r>
      <w:r w:rsidR="002B42A2" w:rsidRPr="004358E5">
        <w:rPr>
          <w:rFonts w:ascii="Arial" w:hAnsi="Arial" w:cs="Arial"/>
        </w:rPr>
        <w:t>albeit that the dominant owner benefits and enjoys exclusive occupation effectively. As Lord Neuberger concurred with Lord Nelson, the vital condition is that the servient owner retains possession and control</w:t>
      </w:r>
      <w:r w:rsidR="004358E5" w:rsidRPr="004358E5">
        <w:rPr>
          <w:rFonts w:ascii="Arial" w:hAnsi="Arial" w:cs="Arial"/>
        </w:rPr>
        <w:t xml:space="preserve"> of the land. Th</w:t>
      </w:r>
      <w:r w:rsidR="004358E5">
        <w:rPr>
          <w:rFonts w:ascii="Arial" w:hAnsi="Arial" w:cs="Arial"/>
        </w:rPr>
        <w:t>erefore</w:t>
      </w:r>
      <w:r w:rsidR="004358E5" w:rsidRPr="004358E5">
        <w:rPr>
          <w:rFonts w:ascii="Arial" w:hAnsi="Arial" w:cs="Arial"/>
        </w:rPr>
        <w:t xml:space="preserve">, </w:t>
      </w:r>
      <w:r w:rsidR="004358E5" w:rsidRPr="004358E5">
        <w:rPr>
          <w:rStyle w:val="normaltextrun"/>
          <w:rFonts w:ascii="Arial" w:hAnsi="Arial" w:cs="Arial"/>
          <w:color w:val="000000"/>
        </w:rPr>
        <w:t>it is possible for an easement to park a vehicle on land to exist, if</w:t>
      </w:r>
      <w:r w:rsidR="004358E5">
        <w:rPr>
          <w:rStyle w:val="normaltextrun"/>
          <w:rFonts w:ascii="Arial" w:hAnsi="Arial" w:cs="Arial"/>
          <w:color w:val="000000"/>
        </w:rPr>
        <w:t xml:space="preserve"> the facts meet the necessary criteria stated above</w:t>
      </w:r>
      <w:r w:rsidR="0041594B">
        <w:rPr>
          <w:rStyle w:val="normaltextrun"/>
          <w:rFonts w:ascii="Arial" w:hAnsi="Arial" w:cs="Arial"/>
          <w:color w:val="000000"/>
        </w:rPr>
        <w:t xml:space="preserve"> (Heart et al., 2013). </w:t>
      </w:r>
    </w:p>
    <w:p w14:paraId="7F00838B" w14:textId="0663392A" w:rsidR="00AA3BC6" w:rsidRPr="00C76A3C" w:rsidRDefault="00AA3BC6" w:rsidP="00C76A3C">
      <w:pPr>
        <w:pStyle w:val="paragraph"/>
        <w:spacing w:before="0" w:beforeAutospacing="0" w:after="0" w:afterAutospacing="0" w:line="360" w:lineRule="auto"/>
        <w:textAlignment w:val="baseline"/>
        <w:rPr>
          <w:rFonts w:ascii="Arial" w:hAnsi="Arial" w:cs="Arial"/>
        </w:rPr>
      </w:pPr>
    </w:p>
    <w:p w14:paraId="4A9BE254" w14:textId="594681F6" w:rsidR="00C76A3C" w:rsidRDefault="00C76A3C" w:rsidP="00C812EB">
      <w:pPr>
        <w:pStyle w:val="paragraph"/>
        <w:spacing w:before="0" w:beforeAutospacing="0" w:after="0" w:afterAutospacing="0"/>
        <w:textAlignment w:val="baseline"/>
      </w:pPr>
    </w:p>
    <w:p w14:paraId="00F4A538" w14:textId="141DB7A1" w:rsidR="00C76A3C" w:rsidRDefault="00C76A3C" w:rsidP="00C812EB">
      <w:pPr>
        <w:pStyle w:val="paragraph"/>
        <w:spacing w:before="0" w:beforeAutospacing="0" w:after="0" w:afterAutospacing="0"/>
        <w:textAlignment w:val="baseline"/>
        <w:rPr>
          <w:rStyle w:val="normaltextrun"/>
          <w:rFonts w:ascii="Arial" w:hAnsi="Arial" w:cs="Arial"/>
          <w:color w:val="000000"/>
        </w:rPr>
      </w:pPr>
    </w:p>
    <w:p w14:paraId="531A5FD2" w14:textId="35DAEE4E" w:rsidR="004365FB" w:rsidRDefault="004365FB" w:rsidP="00C812EB">
      <w:pPr>
        <w:pStyle w:val="paragraph"/>
        <w:spacing w:before="0" w:beforeAutospacing="0" w:after="0" w:afterAutospacing="0"/>
        <w:textAlignment w:val="baseline"/>
        <w:rPr>
          <w:rStyle w:val="normaltextrun"/>
          <w:rFonts w:ascii="Arial" w:hAnsi="Arial" w:cs="Arial"/>
          <w:color w:val="000000"/>
        </w:rPr>
      </w:pPr>
    </w:p>
    <w:p w14:paraId="2AF4F935" w14:textId="77777777" w:rsidR="004365FB" w:rsidRPr="009D7ACF" w:rsidRDefault="004365FB" w:rsidP="00C812EB">
      <w:pPr>
        <w:pStyle w:val="paragraph"/>
        <w:spacing w:before="0" w:beforeAutospacing="0" w:after="0" w:afterAutospacing="0"/>
        <w:textAlignment w:val="baseline"/>
        <w:rPr>
          <w:rStyle w:val="normaltextrun"/>
          <w:rFonts w:ascii="Arial" w:hAnsi="Arial" w:cs="Arial"/>
          <w:color w:val="000000"/>
        </w:rPr>
      </w:pPr>
    </w:p>
    <w:p w14:paraId="5F8CD067" w14:textId="608700E9" w:rsidR="002571B2" w:rsidRDefault="002571B2" w:rsidP="00696408">
      <w:pPr>
        <w:pStyle w:val="pb-2"/>
        <w:spacing w:line="276" w:lineRule="auto"/>
        <w:rPr>
          <w:rFonts w:ascii="Arial" w:hAnsi="Arial" w:cs="Arial"/>
          <w:b/>
          <w:bCs/>
          <w:color w:val="000000"/>
          <w:u w:val="single"/>
        </w:rPr>
      </w:pPr>
      <w:r w:rsidRPr="002571B2">
        <w:rPr>
          <w:rFonts w:ascii="Arial" w:hAnsi="Arial" w:cs="Arial"/>
          <w:b/>
          <w:bCs/>
          <w:color w:val="000000"/>
          <w:u w:val="single"/>
        </w:rPr>
        <w:t>Question 2:</w:t>
      </w:r>
    </w:p>
    <w:p w14:paraId="0E0D9BE1" w14:textId="237741A0" w:rsidR="00CC17C2" w:rsidRDefault="002571B2" w:rsidP="00CC17C2">
      <w:pPr>
        <w:pStyle w:val="pb-2"/>
        <w:spacing w:line="360" w:lineRule="auto"/>
        <w:rPr>
          <w:rFonts w:ascii="Arial" w:hAnsi="Arial" w:cs="Arial"/>
        </w:rPr>
      </w:pPr>
      <w:r w:rsidRPr="00CC17C2">
        <w:rPr>
          <w:rFonts w:ascii="Arial" w:hAnsi="Arial" w:cs="Arial"/>
          <w:color w:val="000000"/>
        </w:rPr>
        <w:t xml:space="preserve">To begin, </w:t>
      </w:r>
      <w:r w:rsidR="000253E6">
        <w:rPr>
          <w:rFonts w:ascii="Arial" w:hAnsi="Arial" w:cs="Arial"/>
          <w:color w:val="000000"/>
        </w:rPr>
        <w:t xml:space="preserve">(Bevan, 2021) states that </w:t>
      </w:r>
      <w:r w:rsidR="001E54D4" w:rsidRPr="00CC17C2">
        <w:rPr>
          <w:rFonts w:ascii="Arial" w:hAnsi="Arial" w:cs="Arial"/>
          <w:color w:val="000000"/>
        </w:rPr>
        <w:t>it is essential to determine the difference between a chattel and a fixture. A fixture forms a part of land or a building. Whereas a chattel can easily be removed and retains independence. A purchaser of a building does not obtain any chattel’s once the building is sold</w:t>
      </w:r>
      <w:r w:rsidR="002C169C">
        <w:rPr>
          <w:rFonts w:ascii="Arial" w:hAnsi="Arial" w:cs="Arial"/>
          <w:color w:val="000000"/>
        </w:rPr>
        <w:t>, unless stated otherwise</w:t>
      </w:r>
      <w:r w:rsidR="001E54D4" w:rsidRPr="00CC17C2">
        <w:rPr>
          <w:rFonts w:ascii="Arial" w:hAnsi="Arial" w:cs="Arial"/>
          <w:color w:val="000000"/>
        </w:rPr>
        <w:t xml:space="preserve">. </w:t>
      </w:r>
      <w:r w:rsidR="00CC17C2" w:rsidRPr="00CC17C2">
        <w:rPr>
          <w:rFonts w:ascii="Arial" w:hAnsi="Arial" w:cs="Arial"/>
        </w:rPr>
        <w:t>Normally, an object will be classified as either a fixture or a chattel based on two criteria’s (</w:t>
      </w:r>
      <w:r w:rsidR="00396099">
        <w:rPr>
          <w:rFonts w:ascii="Arial" w:hAnsi="Arial" w:cs="Arial"/>
        </w:rPr>
        <w:t>‘</w:t>
      </w:r>
      <w:r w:rsidR="00CC17C2" w:rsidRPr="00CC17C2">
        <w:rPr>
          <w:rFonts w:ascii="Arial" w:hAnsi="Arial" w:cs="Arial"/>
        </w:rPr>
        <w:t>Berkley v Poulett</w:t>
      </w:r>
      <w:r w:rsidR="00396099">
        <w:rPr>
          <w:rFonts w:ascii="Arial" w:hAnsi="Arial" w:cs="Arial"/>
        </w:rPr>
        <w:t>’</w:t>
      </w:r>
      <w:r w:rsidR="00CC17C2" w:rsidRPr="00CC17C2">
        <w:rPr>
          <w:rFonts w:ascii="Arial" w:hAnsi="Arial" w:cs="Arial"/>
        </w:rPr>
        <w:t xml:space="preserve"> </w:t>
      </w:r>
      <w:r w:rsidR="00396099">
        <w:rPr>
          <w:rFonts w:ascii="Arial" w:hAnsi="Arial" w:cs="Arial"/>
        </w:rPr>
        <w:t>(</w:t>
      </w:r>
      <w:r w:rsidR="00CC17C2" w:rsidRPr="00CC17C2">
        <w:rPr>
          <w:rFonts w:ascii="Arial" w:hAnsi="Arial" w:cs="Arial"/>
        </w:rPr>
        <w:t>1977</w:t>
      </w:r>
      <w:r w:rsidR="00396099">
        <w:rPr>
          <w:rFonts w:ascii="Arial" w:hAnsi="Arial" w:cs="Arial"/>
        </w:rPr>
        <w:t>)</w:t>
      </w:r>
      <w:r w:rsidR="00CC17C2" w:rsidRPr="00CC17C2">
        <w:rPr>
          <w:rFonts w:ascii="Arial" w:hAnsi="Arial" w:cs="Arial"/>
        </w:rPr>
        <w:t xml:space="preserve"> 1 EGLR 86, CA): the degree of annexation and the purpose of annexation.</w:t>
      </w:r>
      <w:r w:rsidR="00CC17C2">
        <w:rPr>
          <w:rFonts w:ascii="Arial" w:hAnsi="Arial" w:cs="Arial"/>
        </w:rPr>
        <w:t xml:space="preserve"> For example, a fixture can be identified as an affixation if the purpose of it were to enhance the land</w:t>
      </w:r>
      <w:r w:rsidR="004365FB">
        <w:rPr>
          <w:rFonts w:ascii="Arial" w:hAnsi="Arial" w:cs="Arial"/>
        </w:rPr>
        <w:t xml:space="preserve">. </w:t>
      </w:r>
    </w:p>
    <w:p w14:paraId="762A402D" w14:textId="25166D06" w:rsidR="007012BC" w:rsidRDefault="00CC17C2" w:rsidP="00CC17C2">
      <w:pPr>
        <w:pStyle w:val="pb-2"/>
        <w:spacing w:line="360" w:lineRule="auto"/>
        <w:rPr>
          <w:rFonts w:ascii="Arial" w:hAnsi="Arial" w:cs="Arial"/>
        </w:rPr>
      </w:pPr>
      <w:r>
        <w:rPr>
          <w:rFonts w:ascii="Arial" w:hAnsi="Arial" w:cs="Arial"/>
        </w:rPr>
        <w:t xml:space="preserve">Moreover, </w:t>
      </w:r>
      <w:r w:rsidR="00547120">
        <w:rPr>
          <w:rFonts w:ascii="Arial" w:hAnsi="Arial" w:cs="Arial"/>
        </w:rPr>
        <w:t xml:space="preserve">Morrish Solicitors (2016) highlight how </w:t>
      </w:r>
      <w:r>
        <w:rPr>
          <w:rFonts w:ascii="Arial" w:hAnsi="Arial" w:cs="Arial"/>
        </w:rPr>
        <w:t xml:space="preserve">the removal of an item is taken into consideration as </w:t>
      </w:r>
      <w:r w:rsidR="00BA6303">
        <w:rPr>
          <w:rFonts w:ascii="Arial" w:hAnsi="Arial" w:cs="Arial"/>
        </w:rPr>
        <w:t xml:space="preserve">it can cause destruction to the land or item to which it is attached. Within the sale of a property, purchasers should not assume that chattels such as lamps, chairs and rugs are integrated in the sale. However, items that are difficult to remove without causing damage, such as wallpaper, are deemed to be fixtures and are a part of the sale of property. Therefore, an individual purchasing a property may have legitimate rights to bring a claim in the small claim’s courts if fixtures such as wallpaper had been removed after the stage that the contract was signed. </w:t>
      </w:r>
    </w:p>
    <w:p w14:paraId="12F0525C" w14:textId="40A8DA0B" w:rsidR="007012BC" w:rsidRDefault="007012BC" w:rsidP="00CC17C2">
      <w:pPr>
        <w:pStyle w:val="pb-2"/>
        <w:spacing w:line="360" w:lineRule="auto"/>
        <w:rPr>
          <w:rFonts w:ascii="Arial" w:hAnsi="Arial" w:cs="Arial"/>
        </w:rPr>
      </w:pPr>
      <w:r>
        <w:rPr>
          <w:rFonts w:ascii="Arial" w:hAnsi="Arial" w:cs="Arial"/>
        </w:rPr>
        <w:t xml:space="preserve">To establish whether an item is a fixture of chattel, it is important to discuss specific elements, for instance, if the item </w:t>
      </w:r>
      <w:r w:rsidR="002C169C">
        <w:rPr>
          <w:rFonts w:ascii="Arial" w:hAnsi="Arial" w:cs="Arial"/>
        </w:rPr>
        <w:t xml:space="preserve">is </w:t>
      </w:r>
      <w:r>
        <w:rPr>
          <w:rFonts w:ascii="Arial" w:hAnsi="Arial" w:cs="Arial"/>
        </w:rPr>
        <w:t>affixed firmly to the ground</w:t>
      </w:r>
      <w:r w:rsidR="00E822FF">
        <w:rPr>
          <w:rFonts w:ascii="Arial" w:hAnsi="Arial" w:cs="Arial"/>
        </w:rPr>
        <w:t>. This is known as the degree of annexation</w:t>
      </w:r>
      <w:r w:rsidR="00396099">
        <w:rPr>
          <w:rFonts w:ascii="Arial" w:hAnsi="Arial" w:cs="Arial"/>
        </w:rPr>
        <w:t xml:space="preserve"> </w:t>
      </w:r>
      <w:r w:rsidR="00396099" w:rsidRPr="00396099">
        <w:rPr>
          <w:rFonts w:ascii="Arial" w:hAnsi="Arial" w:cs="Arial"/>
        </w:rPr>
        <w:t>‘</w:t>
      </w:r>
      <w:r w:rsidR="003116A6" w:rsidRPr="00396099">
        <w:rPr>
          <w:rFonts w:ascii="Arial" w:hAnsi="Arial" w:cs="Arial"/>
        </w:rPr>
        <w:t>Hulme v Brigham</w:t>
      </w:r>
      <w:r w:rsidR="00396099" w:rsidRPr="00396099">
        <w:rPr>
          <w:rFonts w:ascii="Arial" w:hAnsi="Arial" w:cs="Arial"/>
        </w:rPr>
        <w:t>’</w:t>
      </w:r>
      <w:r w:rsidR="003116A6">
        <w:rPr>
          <w:rFonts w:ascii="Arial" w:hAnsi="Arial" w:cs="Arial"/>
        </w:rPr>
        <w:t xml:space="preserve">. </w:t>
      </w:r>
      <w:r>
        <w:rPr>
          <w:rFonts w:ascii="Arial" w:hAnsi="Arial" w:cs="Arial"/>
        </w:rPr>
        <w:t>An example of this is a sculpture, as it could be cemented into the ground, or it could be resting by its own weight. The item could be bolted into the walls of a property such as a tapestry</w:t>
      </w:r>
      <w:r w:rsidR="003B3553">
        <w:rPr>
          <w:rFonts w:ascii="Arial" w:hAnsi="Arial" w:cs="Arial"/>
        </w:rPr>
        <w:t xml:space="preserve">. </w:t>
      </w:r>
      <w:r>
        <w:rPr>
          <w:rFonts w:ascii="Arial" w:hAnsi="Arial" w:cs="Arial"/>
        </w:rPr>
        <w:t>If such items like a conservatory or a fireplace cause significant damage to the land</w:t>
      </w:r>
      <w:r w:rsidR="004365FB">
        <w:rPr>
          <w:rFonts w:ascii="Arial" w:hAnsi="Arial" w:cs="Arial"/>
        </w:rPr>
        <w:t xml:space="preserve"> by their removal</w:t>
      </w:r>
      <w:r>
        <w:rPr>
          <w:rFonts w:ascii="Arial" w:hAnsi="Arial" w:cs="Arial"/>
        </w:rPr>
        <w:t xml:space="preserve">, it is deemed a fixture. Subsequently, it the object is easily removed, it can be argued that it is a chattel such as curtains. Nevertheless, recent advancements in technology can remove affixed objects from the land </w:t>
      </w:r>
      <w:r w:rsidR="003C17E1">
        <w:rPr>
          <w:rFonts w:ascii="Arial" w:hAnsi="Arial" w:cs="Arial"/>
        </w:rPr>
        <w:t>much more simply</w:t>
      </w:r>
      <w:r w:rsidR="003116A6">
        <w:rPr>
          <w:rFonts w:ascii="Arial" w:hAnsi="Arial" w:cs="Arial"/>
        </w:rPr>
        <w:t xml:space="preserve">. This is demonstrated in </w:t>
      </w:r>
      <w:r w:rsidR="00396099">
        <w:rPr>
          <w:rFonts w:ascii="Arial" w:hAnsi="Arial" w:cs="Arial"/>
        </w:rPr>
        <w:t>‘</w:t>
      </w:r>
      <w:r w:rsidR="00176B40" w:rsidRPr="003B3553">
        <w:rPr>
          <w:rFonts w:ascii="Arial" w:hAnsi="Arial" w:cs="Arial"/>
        </w:rPr>
        <w:t>Holland v Hodgson</w:t>
      </w:r>
      <w:r w:rsidR="00396099">
        <w:rPr>
          <w:rFonts w:ascii="Arial" w:hAnsi="Arial" w:cs="Arial"/>
        </w:rPr>
        <w:t>’</w:t>
      </w:r>
      <w:r w:rsidR="003B3553">
        <w:rPr>
          <w:rFonts w:ascii="Arial" w:hAnsi="Arial" w:cs="Arial"/>
        </w:rPr>
        <w:t xml:space="preserve"> (Luther, 2004).</w:t>
      </w:r>
    </w:p>
    <w:p w14:paraId="082691D2" w14:textId="3B523C7E" w:rsidR="00E822FF" w:rsidRPr="00E822FF" w:rsidRDefault="002C169C" w:rsidP="00B37D09">
      <w:pPr>
        <w:pStyle w:val="pb-2"/>
        <w:spacing w:line="360" w:lineRule="auto"/>
        <w:rPr>
          <w:rFonts w:ascii="Arial" w:hAnsi="Arial" w:cs="Arial"/>
        </w:rPr>
      </w:pPr>
      <w:r w:rsidRPr="002C169C">
        <w:rPr>
          <w:rFonts w:ascii="Arial" w:hAnsi="Arial" w:cs="Arial"/>
        </w:rPr>
        <w:t xml:space="preserve">The </w:t>
      </w:r>
      <w:r w:rsidR="00E822FF">
        <w:rPr>
          <w:rFonts w:ascii="Arial" w:hAnsi="Arial" w:cs="Arial"/>
        </w:rPr>
        <w:t>purpose</w:t>
      </w:r>
      <w:r w:rsidRPr="002C169C">
        <w:rPr>
          <w:rFonts w:ascii="Arial" w:hAnsi="Arial" w:cs="Arial"/>
        </w:rPr>
        <w:t xml:space="preserve"> of annexation is another essential element, which is an initial test that raises the presumption that the item is a fixture</w:t>
      </w:r>
      <w:r>
        <w:rPr>
          <w:rFonts w:ascii="Arial" w:hAnsi="Arial" w:cs="Arial"/>
        </w:rPr>
        <w:t>,</w:t>
      </w:r>
      <w:r w:rsidRPr="002C169C">
        <w:rPr>
          <w:rFonts w:ascii="Arial" w:hAnsi="Arial" w:cs="Arial"/>
        </w:rPr>
        <w:t xml:space="preserve"> </w:t>
      </w:r>
      <w:r w:rsidR="00097349">
        <w:rPr>
          <w:rFonts w:ascii="Arial" w:hAnsi="Arial" w:cs="Arial"/>
        </w:rPr>
        <w:t xml:space="preserve">though </w:t>
      </w:r>
      <w:r>
        <w:rPr>
          <w:rFonts w:ascii="Arial" w:hAnsi="Arial" w:cs="Arial"/>
        </w:rPr>
        <w:t xml:space="preserve">this </w:t>
      </w:r>
      <w:r w:rsidRPr="002C169C">
        <w:rPr>
          <w:rFonts w:ascii="Arial" w:hAnsi="Arial" w:cs="Arial"/>
        </w:rPr>
        <w:t>can be disproven.</w:t>
      </w:r>
      <w:r w:rsidR="00097349">
        <w:rPr>
          <w:rFonts w:ascii="Arial" w:hAnsi="Arial" w:cs="Arial"/>
        </w:rPr>
        <w:t xml:space="preserve"> </w:t>
      </w:r>
      <w:r w:rsidR="00CF3F0C">
        <w:rPr>
          <w:rFonts w:ascii="Arial" w:hAnsi="Arial" w:cs="Arial"/>
        </w:rPr>
        <w:t xml:space="preserve">It is </w:t>
      </w:r>
      <w:r w:rsidR="00CF3F0C">
        <w:rPr>
          <w:rFonts w:ascii="Arial" w:hAnsi="Arial" w:cs="Arial"/>
        </w:rPr>
        <w:lastRenderedPageBreak/>
        <w:t xml:space="preserve">significant to prove why the object is attached to the land. This test is key in establishing the priority over the degree of annexation. </w:t>
      </w:r>
      <w:r w:rsidR="00B37D09" w:rsidRPr="00B37D09">
        <w:rPr>
          <w:rFonts w:ascii="Arial" w:hAnsi="Arial" w:cs="Arial"/>
        </w:rPr>
        <w:t>An object that is attached to the land is a fixture if it enhances the land or creates a permanent improvement. The chattel characteristics of the object remain in place if it was attached to the land for the purpose of better enjoy</w:t>
      </w:r>
      <w:r w:rsidR="003C17E1">
        <w:rPr>
          <w:rFonts w:ascii="Arial" w:hAnsi="Arial" w:cs="Arial"/>
        </w:rPr>
        <w:t>ment of</w:t>
      </w:r>
      <w:r w:rsidR="00B37D09" w:rsidRPr="00B37D09">
        <w:rPr>
          <w:rFonts w:ascii="Arial" w:hAnsi="Arial" w:cs="Arial"/>
        </w:rPr>
        <w:t xml:space="preserve"> the object. Whether a chattel has ceased to be one depends on the circumstances of each case, with the burden of proof resting on the person making the claim.</w:t>
      </w:r>
      <w:r w:rsidR="00176B40">
        <w:rPr>
          <w:rFonts w:ascii="Arial" w:hAnsi="Arial" w:cs="Arial"/>
        </w:rPr>
        <w:t xml:space="preserve"> </w:t>
      </w:r>
      <w:r w:rsidR="003B3553">
        <w:rPr>
          <w:rFonts w:ascii="Arial" w:hAnsi="Arial" w:cs="Arial"/>
        </w:rPr>
        <w:t xml:space="preserve">This is shown in </w:t>
      </w:r>
      <w:r w:rsidR="00396099">
        <w:rPr>
          <w:rFonts w:ascii="Arial" w:hAnsi="Arial" w:cs="Arial"/>
        </w:rPr>
        <w:t>‘</w:t>
      </w:r>
      <w:r w:rsidR="00176B40" w:rsidRPr="003B3553">
        <w:rPr>
          <w:rFonts w:ascii="Arial" w:hAnsi="Arial" w:cs="Arial"/>
        </w:rPr>
        <w:t>Leigh v Taylor Re Whayley</w:t>
      </w:r>
      <w:r w:rsidR="00396099">
        <w:rPr>
          <w:rFonts w:ascii="Arial" w:hAnsi="Arial" w:cs="Arial"/>
        </w:rPr>
        <w:t>’</w:t>
      </w:r>
      <w:r w:rsidR="003B3553" w:rsidRPr="003B3553">
        <w:rPr>
          <w:rFonts w:ascii="Arial" w:hAnsi="Arial" w:cs="Arial"/>
        </w:rPr>
        <w:t xml:space="preserve"> (Graw, 2000).</w:t>
      </w:r>
    </w:p>
    <w:p w14:paraId="1C195306" w14:textId="348D89A6" w:rsidR="004A12DE" w:rsidRDefault="004A12DE" w:rsidP="00CC17C2">
      <w:pPr>
        <w:pStyle w:val="pb-2"/>
        <w:spacing w:line="360" w:lineRule="auto"/>
        <w:rPr>
          <w:rFonts w:ascii="Arial" w:hAnsi="Arial" w:cs="Arial"/>
        </w:rPr>
      </w:pPr>
      <w:r>
        <w:rPr>
          <w:rFonts w:ascii="Arial" w:hAnsi="Arial" w:cs="Arial"/>
        </w:rPr>
        <w:t xml:space="preserve">The issue focussed on this scenario question is distinguishing whether Harrison is permitted to remove a series of items. </w:t>
      </w:r>
      <w:r w:rsidR="008E1A17">
        <w:rPr>
          <w:rFonts w:ascii="Arial" w:hAnsi="Arial" w:cs="Arial"/>
        </w:rPr>
        <w:t xml:space="preserve">The first item, which is a statue, </w:t>
      </w:r>
      <w:r w:rsidR="004365FB">
        <w:rPr>
          <w:rFonts w:ascii="Arial" w:hAnsi="Arial" w:cs="Arial"/>
        </w:rPr>
        <w:t xml:space="preserve">can </w:t>
      </w:r>
      <w:r w:rsidR="008E1A17">
        <w:rPr>
          <w:rFonts w:ascii="Arial" w:hAnsi="Arial" w:cs="Arial"/>
        </w:rPr>
        <w:t xml:space="preserve">be considered a fixture. This is because it is clearly stated that the statue is cemented into the ground due to fear of it being stolen. It is also clear that the removal of this statue would cause significant damage to the property. A case which illustrates this is </w:t>
      </w:r>
      <w:r w:rsidR="00396099">
        <w:rPr>
          <w:rFonts w:ascii="Arial" w:hAnsi="Arial" w:cs="Arial"/>
        </w:rPr>
        <w:t>‘</w:t>
      </w:r>
      <w:r w:rsidR="008E1A17" w:rsidRPr="008E1A17">
        <w:rPr>
          <w:rFonts w:ascii="Arial" w:hAnsi="Arial" w:cs="Arial"/>
        </w:rPr>
        <w:t>Vaudeville Electric Cinema Lyd v Muriset</w:t>
      </w:r>
      <w:r w:rsidR="00396099">
        <w:rPr>
          <w:rFonts w:ascii="Arial" w:hAnsi="Arial" w:cs="Arial"/>
        </w:rPr>
        <w:t>’</w:t>
      </w:r>
      <w:r w:rsidR="008E1A17" w:rsidRPr="008E1A17">
        <w:rPr>
          <w:rFonts w:ascii="Arial" w:hAnsi="Arial" w:cs="Arial"/>
        </w:rPr>
        <w:t xml:space="preserve"> </w:t>
      </w:r>
      <w:r w:rsidR="00396099">
        <w:rPr>
          <w:rFonts w:ascii="Arial" w:hAnsi="Arial" w:cs="Arial"/>
        </w:rPr>
        <w:t>(</w:t>
      </w:r>
      <w:r w:rsidR="008E1A17" w:rsidRPr="008E1A17">
        <w:rPr>
          <w:rFonts w:ascii="Arial" w:hAnsi="Arial" w:cs="Arial"/>
        </w:rPr>
        <w:t>1923</w:t>
      </w:r>
      <w:r w:rsidR="00396099">
        <w:rPr>
          <w:rFonts w:ascii="Arial" w:hAnsi="Arial" w:cs="Arial"/>
        </w:rPr>
        <w:t>)</w:t>
      </w:r>
      <w:r w:rsidR="008E1A17" w:rsidRPr="008E1A17">
        <w:rPr>
          <w:rFonts w:ascii="Arial" w:hAnsi="Arial" w:cs="Arial"/>
        </w:rPr>
        <w:t>,</w:t>
      </w:r>
      <w:r w:rsidR="008E1A17">
        <w:rPr>
          <w:rFonts w:ascii="Arial" w:hAnsi="Arial" w:cs="Arial"/>
          <w:b/>
          <w:bCs/>
          <w:i/>
          <w:iCs/>
        </w:rPr>
        <w:t xml:space="preserve"> </w:t>
      </w:r>
      <w:r w:rsidR="008E1A17">
        <w:rPr>
          <w:rFonts w:ascii="Arial" w:hAnsi="Arial" w:cs="Arial"/>
        </w:rPr>
        <w:t xml:space="preserve">as the seats were affixed to the floor of a cinema. The seats were held to be fixtures since they were secured permanently for the benefit of the property. </w:t>
      </w:r>
    </w:p>
    <w:p w14:paraId="2495644D" w14:textId="2B048995" w:rsidR="008E1A17" w:rsidRDefault="008E1A17" w:rsidP="00B53F03">
      <w:pPr>
        <w:pStyle w:val="pb-2"/>
        <w:spacing w:line="360" w:lineRule="auto"/>
        <w:rPr>
          <w:rStyle w:val="Emphasis"/>
          <w:rFonts w:ascii="Arial" w:hAnsi="Arial" w:cs="Arial"/>
          <w:i w:val="0"/>
          <w:iCs w:val="0"/>
        </w:rPr>
      </w:pPr>
      <w:r>
        <w:rPr>
          <w:rFonts w:ascii="Arial" w:hAnsi="Arial" w:cs="Arial"/>
        </w:rPr>
        <w:t xml:space="preserve">On the other hand, </w:t>
      </w:r>
      <w:r w:rsidR="00B53F03" w:rsidRPr="00B53F03">
        <w:rPr>
          <w:rStyle w:val="Emphasis"/>
          <w:rFonts w:ascii="Arial" w:hAnsi="Arial" w:cs="Arial"/>
          <w:i w:val="0"/>
          <w:iCs w:val="0"/>
        </w:rPr>
        <w:t xml:space="preserve">due to the temporary nature of the annexation and their use as chattels, </w:t>
      </w:r>
      <w:r w:rsidR="00396099">
        <w:rPr>
          <w:rStyle w:val="Emphasis"/>
          <w:rFonts w:ascii="Arial" w:hAnsi="Arial" w:cs="Arial"/>
          <w:i w:val="0"/>
          <w:iCs w:val="0"/>
        </w:rPr>
        <w:t>‘</w:t>
      </w:r>
      <w:r w:rsidR="00B53F03" w:rsidRPr="00B53F03">
        <w:rPr>
          <w:rStyle w:val="Emphasis"/>
          <w:rFonts w:ascii="Arial" w:hAnsi="Arial" w:cs="Arial"/>
          <w:i w:val="0"/>
          <w:iCs w:val="0"/>
        </w:rPr>
        <w:t>Lyon and Co v London City and Midland Bank</w:t>
      </w:r>
      <w:r w:rsidR="00396099">
        <w:rPr>
          <w:rStyle w:val="Emphasis"/>
          <w:rFonts w:ascii="Arial" w:hAnsi="Arial" w:cs="Arial"/>
          <w:i w:val="0"/>
          <w:iCs w:val="0"/>
        </w:rPr>
        <w:t>’</w:t>
      </w:r>
      <w:r w:rsidR="00B53F03" w:rsidRPr="00B53F03">
        <w:rPr>
          <w:rStyle w:val="Emphasis"/>
          <w:rFonts w:ascii="Arial" w:hAnsi="Arial" w:cs="Arial"/>
          <w:i w:val="0"/>
          <w:iCs w:val="0"/>
        </w:rPr>
        <w:t xml:space="preserve"> </w:t>
      </w:r>
      <w:r w:rsidR="00396099">
        <w:rPr>
          <w:rStyle w:val="Emphasis"/>
          <w:rFonts w:ascii="Arial" w:hAnsi="Arial" w:cs="Arial"/>
          <w:i w:val="0"/>
          <w:iCs w:val="0"/>
        </w:rPr>
        <w:t>(</w:t>
      </w:r>
      <w:r w:rsidR="00B53F03" w:rsidRPr="00B53F03">
        <w:rPr>
          <w:rStyle w:val="Emphasis"/>
          <w:rFonts w:ascii="Arial" w:hAnsi="Arial" w:cs="Arial"/>
          <w:i w:val="0"/>
          <w:iCs w:val="0"/>
        </w:rPr>
        <w:t>1903</w:t>
      </w:r>
      <w:r w:rsidR="00396099">
        <w:rPr>
          <w:rStyle w:val="Emphasis"/>
          <w:rFonts w:ascii="Arial" w:hAnsi="Arial" w:cs="Arial"/>
          <w:i w:val="0"/>
          <w:iCs w:val="0"/>
        </w:rPr>
        <w:t>)</w:t>
      </w:r>
      <w:r w:rsidR="00B53F03" w:rsidRPr="00B53F03">
        <w:rPr>
          <w:rStyle w:val="Emphasis"/>
          <w:rFonts w:ascii="Arial" w:hAnsi="Arial" w:cs="Arial"/>
          <w:i w:val="0"/>
          <w:iCs w:val="0"/>
        </w:rPr>
        <w:t xml:space="preserve"> held the chairs attached to the floor to be chattels.</w:t>
      </w:r>
      <w:r w:rsidR="00B53F03">
        <w:rPr>
          <w:rStyle w:val="Emphasis"/>
          <w:rFonts w:ascii="Arial" w:hAnsi="Arial" w:cs="Arial"/>
          <w:i w:val="0"/>
          <w:iCs w:val="0"/>
        </w:rPr>
        <w:t xml:space="preserve"> This highlights troublesome responses such as whether the statue would cause too much damage. </w:t>
      </w:r>
      <w:r w:rsidR="004365FB">
        <w:rPr>
          <w:rStyle w:val="Emphasis"/>
          <w:rFonts w:ascii="Arial" w:hAnsi="Arial" w:cs="Arial"/>
          <w:i w:val="0"/>
          <w:iCs w:val="0"/>
        </w:rPr>
        <w:t>Realistically</w:t>
      </w:r>
      <w:r w:rsidR="00B53F03">
        <w:rPr>
          <w:rStyle w:val="Emphasis"/>
          <w:rFonts w:ascii="Arial" w:hAnsi="Arial" w:cs="Arial"/>
          <w:i w:val="0"/>
          <w:iCs w:val="0"/>
        </w:rPr>
        <w:t xml:space="preserve">, </w:t>
      </w:r>
      <w:r w:rsidR="004365FB">
        <w:rPr>
          <w:rStyle w:val="Emphasis"/>
          <w:rFonts w:ascii="Arial" w:hAnsi="Arial" w:cs="Arial"/>
          <w:i w:val="0"/>
          <w:iCs w:val="0"/>
        </w:rPr>
        <w:t>an</w:t>
      </w:r>
      <w:r w:rsidR="00B53F03">
        <w:rPr>
          <w:rStyle w:val="Emphasis"/>
          <w:rFonts w:ascii="Arial" w:hAnsi="Arial" w:cs="Arial"/>
          <w:i w:val="0"/>
          <w:iCs w:val="0"/>
        </w:rPr>
        <w:t xml:space="preserve"> ordinary person would not be able to remove a cemented statue</w:t>
      </w:r>
      <w:r w:rsidR="00DE1577">
        <w:rPr>
          <w:rStyle w:val="Emphasis"/>
          <w:rFonts w:ascii="Arial" w:hAnsi="Arial" w:cs="Arial"/>
          <w:i w:val="0"/>
          <w:iCs w:val="0"/>
        </w:rPr>
        <w:t xml:space="preserve"> due to it being a heavy structure.</w:t>
      </w:r>
      <w:r w:rsidR="00B53F03">
        <w:rPr>
          <w:rStyle w:val="Emphasis"/>
          <w:rFonts w:ascii="Arial" w:hAnsi="Arial" w:cs="Arial"/>
          <w:i w:val="0"/>
          <w:iCs w:val="0"/>
        </w:rPr>
        <w:t xml:space="preserve"> </w:t>
      </w:r>
      <w:r w:rsidR="00DE1577">
        <w:rPr>
          <w:rStyle w:val="Emphasis"/>
          <w:rFonts w:ascii="Arial" w:hAnsi="Arial" w:cs="Arial"/>
          <w:i w:val="0"/>
          <w:iCs w:val="0"/>
        </w:rPr>
        <w:t>I</w:t>
      </w:r>
      <w:r w:rsidR="00B53F03">
        <w:rPr>
          <w:rStyle w:val="Emphasis"/>
          <w:rFonts w:ascii="Arial" w:hAnsi="Arial" w:cs="Arial"/>
          <w:i w:val="0"/>
          <w:iCs w:val="0"/>
        </w:rPr>
        <w:t xml:space="preserve">t is significantly clear that the statue would be difficult to remove and transport. Therefore, the statue could be permitted to be removed, based on an </w:t>
      </w:r>
      <w:r w:rsidR="00F51A26">
        <w:rPr>
          <w:rStyle w:val="Emphasis"/>
          <w:rFonts w:ascii="Arial" w:hAnsi="Arial" w:cs="Arial"/>
          <w:i w:val="0"/>
          <w:iCs w:val="0"/>
        </w:rPr>
        <w:t>agreement, or required consent</w:t>
      </w:r>
      <w:r w:rsidR="00133C75">
        <w:rPr>
          <w:rStyle w:val="Emphasis"/>
          <w:rFonts w:ascii="Arial" w:hAnsi="Arial" w:cs="Arial"/>
          <w:i w:val="0"/>
          <w:iCs w:val="0"/>
        </w:rPr>
        <w:t xml:space="preserve"> (Thomas, 2015). </w:t>
      </w:r>
    </w:p>
    <w:p w14:paraId="6D271749" w14:textId="16489003" w:rsidR="00262A29" w:rsidRDefault="00677F93" w:rsidP="00262A29">
      <w:pPr>
        <w:pStyle w:val="pb-2"/>
        <w:spacing w:line="360" w:lineRule="auto"/>
        <w:rPr>
          <w:rFonts w:ascii="Arial" w:hAnsi="Arial" w:cs="Arial"/>
        </w:rPr>
      </w:pPr>
      <w:r>
        <w:rPr>
          <w:rStyle w:val="Emphasis"/>
          <w:rFonts w:ascii="Arial" w:hAnsi="Arial" w:cs="Arial"/>
          <w:i w:val="0"/>
          <w:iCs w:val="0"/>
        </w:rPr>
        <w:t>Next, is the discussion of the terracotta pots. The pots are considered chattels as they are easily removed without causing any damage. However, it is important to note that one of the pots has grown ivy onto the bi-fold door. Due to the fact the ivy has grown up the wall and onto the bi-fold door, it is essentially a character of the property, and would most definitely cause damage throughout its removal. Therefore, the terracotta pot containing the ivy which has attached itself to the property would be deemed a fixture, as it would cause damage to the wall and bi-fold door, ultimately degrading the property.</w:t>
      </w:r>
      <w:r w:rsidR="00262A29">
        <w:rPr>
          <w:rStyle w:val="Emphasis"/>
          <w:rFonts w:ascii="Arial" w:hAnsi="Arial" w:cs="Arial"/>
          <w:i w:val="0"/>
          <w:iCs w:val="0"/>
        </w:rPr>
        <w:t xml:space="preserve"> This is shown in </w:t>
      </w:r>
      <w:r w:rsidR="00396099">
        <w:rPr>
          <w:rStyle w:val="Emphasis"/>
          <w:rFonts w:ascii="Arial" w:hAnsi="Arial" w:cs="Arial"/>
          <w:i w:val="0"/>
          <w:iCs w:val="0"/>
        </w:rPr>
        <w:t>‘</w:t>
      </w:r>
      <w:r w:rsidRPr="00677F93">
        <w:rPr>
          <w:rFonts w:ascii="Arial" w:hAnsi="Arial" w:cs="Arial"/>
        </w:rPr>
        <w:t>D’Eyncourt v Gregory</w:t>
      </w:r>
      <w:r w:rsidR="00396099">
        <w:rPr>
          <w:rFonts w:ascii="Arial" w:hAnsi="Arial" w:cs="Arial"/>
        </w:rPr>
        <w:t xml:space="preserve">’ </w:t>
      </w:r>
      <w:r w:rsidR="00396099">
        <w:rPr>
          <w:rFonts w:ascii="Arial" w:hAnsi="Arial" w:cs="Arial"/>
        </w:rPr>
        <w:lastRenderedPageBreak/>
        <w:t>(1</w:t>
      </w:r>
      <w:r w:rsidRPr="00677F93">
        <w:rPr>
          <w:rFonts w:ascii="Arial" w:hAnsi="Arial" w:cs="Arial"/>
        </w:rPr>
        <w:t>866</w:t>
      </w:r>
      <w:r w:rsidR="00396099">
        <w:rPr>
          <w:rFonts w:ascii="Arial" w:hAnsi="Arial" w:cs="Arial"/>
        </w:rPr>
        <w:t>)</w:t>
      </w:r>
      <w:r w:rsidRPr="00677F93">
        <w:rPr>
          <w:rFonts w:ascii="Arial" w:hAnsi="Arial" w:cs="Arial"/>
        </w:rPr>
        <w:t xml:space="preserve"> LR 3 Eq 382</w:t>
      </w:r>
      <w:r w:rsidR="00262A29">
        <w:rPr>
          <w:rFonts w:ascii="Arial" w:hAnsi="Arial" w:cs="Arial"/>
        </w:rPr>
        <w:t>, where tapestries fixed to the walls, garden ornaments, vases and pictures were considered fixtures even though they are easily removed</w:t>
      </w:r>
      <w:r w:rsidR="00772F4A">
        <w:rPr>
          <w:rFonts w:ascii="Arial" w:hAnsi="Arial" w:cs="Arial"/>
        </w:rPr>
        <w:t xml:space="preserve"> (Oxford University Press, 2023). </w:t>
      </w:r>
    </w:p>
    <w:p w14:paraId="4D050119" w14:textId="5D0782D1" w:rsidR="002454AA" w:rsidRDefault="002454AA" w:rsidP="00262A29">
      <w:pPr>
        <w:pStyle w:val="pb-2"/>
        <w:spacing w:line="360" w:lineRule="auto"/>
        <w:rPr>
          <w:rFonts w:ascii="Arial" w:hAnsi="Arial" w:cs="Arial"/>
        </w:rPr>
      </w:pPr>
      <w:r>
        <w:rPr>
          <w:rFonts w:ascii="Arial" w:hAnsi="Arial" w:cs="Arial"/>
        </w:rPr>
        <w:t xml:space="preserve">Moving on is the argument of whether the summerhouse is permitted to be removed. </w:t>
      </w:r>
      <w:r w:rsidR="00DE1577">
        <w:rPr>
          <w:rFonts w:ascii="Arial" w:hAnsi="Arial" w:cs="Arial"/>
        </w:rPr>
        <w:t xml:space="preserve">As stated above, the summerhouse is anchored by bolts onto a concrete base. This is clearly deemed a fixture as it would cause severe damage to be removed. Inside the summerhouse is an inflatable hot tub. The fact that the hot tub is inflatable suggests that </w:t>
      </w:r>
      <w:r w:rsidR="004365FB">
        <w:rPr>
          <w:rFonts w:ascii="Arial" w:hAnsi="Arial" w:cs="Arial"/>
        </w:rPr>
        <w:t>it is</w:t>
      </w:r>
      <w:r w:rsidR="00DE1577">
        <w:rPr>
          <w:rFonts w:ascii="Arial" w:hAnsi="Arial" w:cs="Arial"/>
        </w:rPr>
        <w:t xml:space="preserve"> a chattel, as it can be easily removed without causing damage to the property. Yet, if the hot tub was fitted to the floor, only then it would be deemed a fixture. </w:t>
      </w:r>
    </w:p>
    <w:p w14:paraId="627B5DFD" w14:textId="7EF67166" w:rsidR="00565D99" w:rsidRDefault="00565D99" w:rsidP="00565D99">
      <w:pPr>
        <w:pStyle w:val="pb-2"/>
        <w:spacing w:line="360" w:lineRule="auto"/>
        <w:rPr>
          <w:rFonts w:ascii="Arial" w:hAnsi="Arial" w:cs="Arial"/>
          <w:color w:val="FF0000"/>
        </w:rPr>
      </w:pPr>
      <w:r>
        <w:rPr>
          <w:rFonts w:ascii="Arial" w:hAnsi="Arial" w:cs="Arial"/>
        </w:rPr>
        <w:t xml:space="preserve">Moreover, disguising whether a tapestry is a fixture or chattel can be complicated. </w:t>
      </w:r>
      <w:r w:rsidR="00547120">
        <w:rPr>
          <w:rFonts w:ascii="Arial" w:hAnsi="Arial" w:cs="Arial"/>
        </w:rPr>
        <w:t>Due to the purpose of the annexation in</w:t>
      </w:r>
      <w:r w:rsidRPr="00565D99">
        <w:rPr>
          <w:rFonts w:ascii="Arial" w:hAnsi="Arial" w:cs="Arial"/>
        </w:rPr>
        <w:t xml:space="preserve"> </w:t>
      </w:r>
      <w:r w:rsidR="00396099">
        <w:rPr>
          <w:rFonts w:ascii="Arial" w:hAnsi="Arial" w:cs="Arial"/>
        </w:rPr>
        <w:t>‘</w:t>
      </w:r>
      <w:r w:rsidRPr="00565D99">
        <w:rPr>
          <w:rFonts w:ascii="Arial" w:hAnsi="Arial" w:cs="Arial"/>
        </w:rPr>
        <w:t>Leigh v Taylor</w:t>
      </w:r>
      <w:r w:rsidR="00396099">
        <w:rPr>
          <w:rFonts w:ascii="Arial" w:hAnsi="Arial" w:cs="Arial"/>
        </w:rPr>
        <w:t>’</w:t>
      </w:r>
      <w:r w:rsidRPr="00565D99">
        <w:rPr>
          <w:rFonts w:ascii="Arial" w:hAnsi="Arial" w:cs="Arial"/>
        </w:rPr>
        <w:t xml:space="preserve"> </w:t>
      </w:r>
      <w:r w:rsidR="00396099">
        <w:rPr>
          <w:rFonts w:ascii="Arial" w:hAnsi="Arial" w:cs="Arial"/>
        </w:rPr>
        <w:t>(</w:t>
      </w:r>
      <w:r w:rsidRPr="00565D99">
        <w:rPr>
          <w:rFonts w:ascii="Arial" w:hAnsi="Arial" w:cs="Arial"/>
        </w:rPr>
        <w:t>1902</w:t>
      </w:r>
      <w:r w:rsidR="00396099">
        <w:rPr>
          <w:rFonts w:ascii="Arial" w:hAnsi="Arial" w:cs="Arial"/>
        </w:rPr>
        <w:t>)</w:t>
      </w:r>
      <w:r w:rsidR="00547120">
        <w:rPr>
          <w:rFonts w:ascii="Arial" w:hAnsi="Arial" w:cs="Arial"/>
        </w:rPr>
        <w:t xml:space="preserve">, tapestries were considered not to be fixtures as they were attached to a wooden frame which was nailed to the wall with two-inch nails. The purpose of the annexation was not to become an integral part of the house, more so that the tapestries could be enjoyed. Due to Harrison’s tapestries being encased in frames, suggests that they are chattels as they are easily removed. </w:t>
      </w:r>
      <w:r w:rsidR="00A53C16">
        <w:rPr>
          <w:rFonts w:ascii="Arial" w:hAnsi="Arial" w:cs="Arial"/>
        </w:rPr>
        <w:t xml:space="preserve">However, </w:t>
      </w:r>
      <w:r w:rsidR="00AB0439" w:rsidRPr="00AB0439">
        <w:rPr>
          <w:rFonts w:ascii="Arial" w:hAnsi="Arial" w:cs="Arial"/>
        </w:rPr>
        <w:t xml:space="preserve">the annexation of </w:t>
      </w:r>
      <w:proofErr w:type="spellStart"/>
      <w:r w:rsidR="00396099">
        <w:rPr>
          <w:rFonts w:ascii="Arial" w:hAnsi="Arial" w:cs="Arial"/>
        </w:rPr>
        <w:t>‘</w:t>
      </w:r>
      <w:r w:rsidR="00AB0439" w:rsidRPr="00AB0439">
        <w:rPr>
          <w:rFonts w:ascii="Arial" w:hAnsi="Arial" w:cs="Arial"/>
        </w:rPr>
        <w:t>Re</w:t>
      </w:r>
      <w:proofErr w:type="spellEnd"/>
      <w:r w:rsidR="00AB0439" w:rsidRPr="00AB0439">
        <w:rPr>
          <w:rFonts w:ascii="Arial" w:hAnsi="Arial" w:cs="Arial"/>
        </w:rPr>
        <w:t xml:space="preserve"> Whaley</w:t>
      </w:r>
      <w:r w:rsidR="00396099">
        <w:rPr>
          <w:rFonts w:ascii="Arial" w:hAnsi="Arial" w:cs="Arial"/>
        </w:rPr>
        <w:t>’</w:t>
      </w:r>
      <w:r w:rsidR="00AB0439" w:rsidRPr="00AB0439">
        <w:rPr>
          <w:rFonts w:ascii="Arial" w:hAnsi="Arial" w:cs="Arial"/>
        </w:rPr>
        <w:t xml:space="preserve"> </w:t>
      </w:r>
      <w:r w:rsidR="00396099">
        <w:rPr>
          <w:rFonts w:ascii="Arial" w:hAnsi="Arial" w:cs="Arial"/>
        </w:rPr>
        <w:t>(</w:t>
      </w:r>
      <w:r w:rsidR="00AB0439" w:rsidRPr="00AB0439">
        <w:rPr>
          <w:rFonts w:ascii="Arial" w:hAnsi="Arial" w:cs="Arial"/>
        </w:rPr>
        <w:t>1908</w:t>
      </w:r>
      <w:r w:rsidR="00396099">
        <w:rPr>
          <w:rFonts w:ascii="Arial" w:hAnsi="Arial" w:cs="Arial"/>
        </w:rPr>
        <w:t>)</w:t>
      </w:r>
      <w:r w:rsidR="00AB0439" w:rsidRPr="00AB0439">
        <w:rPr>
          <w:rFonts w:ascii="Arial" w:hAnsi="Arial" w:cs="Arial"/>
        </w:rPr>
        <w:t xml:space="preserve"> was intended to create a beautiful Elizabethan dwelling house, which included tapestries as fixtures. </w:t>
      </w:r>
      <w:r w:rsidR="004365FB">
        <w:rPr>
          <w:rFonts w:ascii="Arial" w:hAnsi="Arial" w:cs="Arial"/>
        </w:rPr>
        <w:t>Conversely, m</w:t>
      </w:r>
      <w:r w:rsidR="00AB0439" w:rsidRPr="00AB0439">
        <w:rPr>
          <w:rFonts w:ascii="Arial" w:hAnsi="Arial" w:cs="Arial"/>
        </w:rPr>
        <w:t>odern houses are unlikely to benefit from such schemes of décor</w:t>
      </w:r>
      <w:r w:rsidR="00AB0439">
        <w:rPr>
          <w:rFonts w:ascii="Arial" w:hAnsi="Arial" w:cs="Arial"/>
        </w:rPr>
        <w:t xml:space="preserve"> </w:t>
      </w:r>
      <w:r w:rsidR="001918E1" w:rsidRPr="00AB0439">
        <w:rPr>
          <w:rFonts w:ascii="Arial" w:hAnsi="Arial" w:cs="Arial"/>
        </w:rPr>
        <w:t xml:space="preserve">(Hill, 2023). </w:t>
      </w:r>
    </w:p>
    <w:p w14:paraId="34C1629A" w14:textId="333F575C" w:rsidR="00176B40" w:rsidRDefault="00A53C16" w:rsidP="00565D99">
      <w:pPr>
        <w:pStyle w:val="pb-2"/>
        <w:spacing w:line="360" w:lineRule="auto"/>
        <w:rPr>
          <w:rFonts w:ascii="Arial" w:hAnsi="Arial" w:cs="Arial"/>
        </w:rPr>
      </w:pPr>
      <w:r>
        <w:rPr>
          <w:rFonts w:ascii="Arial" w:hAnsi="Arial" w:cs="Arial"/>
        </w:rPr>
        <w:t>Furthermore, even though the</w:t>
      </w:r>
      <w:r w:rsidRPr="00A53C16">
        <w:rPr>
          <w:rFonts w:ascii="Arial" w:hAnsi="Arial" w:cs="Arial"/>
        </w:rPr>
        <w:t xml:space="preserve"> kitchen units </w:t>
      </w:r>
      <w:r>
        <w:rPr>
          <w:rFonts w:ascii="Arial" w:hAnsi="Arial" w:cs="Arial"/>
        </w:rPr>
        <w:t xml:space="preserve">are said to be ‘non-fitted’ with </w:t>
      </w:r>
      <w:r w:rsidRPr="00A53C16">
        <w:rPr>
          <w:rFonts w:ascii="Arial" w:hAnsi="Arial" w:cs="Arial"/>
        </w:rPr>
        <w:t>integrated appliances,</w:t>
      </w:r>
      <w:r>
        <w:rPr>
          <w:rFonts w:ascii="Arial" w:hAnsi="Arial" w:cs="Arial"/>
        </w:rPr>
        <w:t xml:space="preserve"> the units cannot be removed without causing major damage to the property, and the properties value. Therefore, the kitchen units and integrated appliances are deemed a fixture, as the </w:t>
      </w:r>
      <w:r w:rsidR="00176B40">
        <w:rPr>
          <w:rFonts w:ascii="Arial" w:hAnsi="Arial" w:cs="Arial"/>
        </w:rPr>
        <w:t xml:space="preserve">information does not exceed with any further details. Case law such as </w:t>
      </w:r>
      <w:r w:rsidR="00396099">
        <w:rPr>
          <w:rFonts w:ascii="Arial" w:hAnsi="Arial" w:cs="Arial"/>
        </w:rPr>
        <w:t>‘</w:t>
      </w:r>
      <w:r w:rsidR="00176B40" w:rsidRPr="00176B40">
        <w:rPr>
          <w:rFonts w:ascii="Arial" w:hAnsi="Arial" w:cs="Arial"/>
        </w:rPr>
        <w:t>TSB Bank Plc v Botham</w:t>
      </w:r>
      <w:r w:rsidR="00396099">
        <w:rPr>
          <w:rFonts w:ascii="Arial" w:hAnsi="Arial" w:cs="Arial"/>
        </w:rPr>
        <w:t>’</w:t>
      </w:r>
      <w:r w:rsidR="00176B40" w:rsidRPr="00176B40">
        <w:rPr>
          <w:rFonts w:ascii="Arial" w:hAnsi="Arial" w:cs="Arial"/>
        </w:rPr>
        <w:t xml:space="preserve"> </w:t>
      </w:r>
      <w:r w:rsidR="00396099">
        <w:rPr>
          <w:rFonts w:ascii="Arial" w:hAnsi="Arial" w:cs="Arial"/>
        </w:rPr>
        <w:t>(</w:t>
      </w:r>
      <w:r w:rsidR="00176B40" w:rsidRPr="00176B40">
        <w:rPr>
          <w:rFonts w:ascii="Arial" w:hAnsi="Arial" w:cs="Arial"/>
        </w:rPr>
        <w:t>1996</w:t>
      </w:r>
      <w:r w:rsidR="00396099">
        <w:rPr>
          <w:rFonts w:ascii="Arial" w:hAnsi="Arial" w:cs="Arial"/>
        </w:rPr>
        <w:t xml:space="preserve">) </w:t>
      </w:r>
      <w:r w:rsidR="00176B40" w:rsidRPr="00176B40">
        <w:rPr>
          <w:rFonts w:ascii="Arial" w:hAnsi="Arial" w:cs="Arial"/>
        </w:rPr>
        <w:t>EGCS 149</w:t>
      </w:r>
      <w:r w:rsidR="00176B40">
        <w:rPr>
          <w:rFonts w:ascii="Arial" w:hAnsi="Arial" w:cs="Arial"/>
        </w:rPr>
        <w:t xml:space="preserve"> represents this, as it is known that kitchen units are fixtures. Even though integrated appliances are usually retained as chattels, in this case scenario, it is evident that the removal of these appliances would degrade the property and cause visible damage. </w:t>
      </w:r>
    </w:p>
    <w:p w14:paraId="55A08847" w14:textId="6E9CFF06" w:rsidR="003116A6" w:rsidRDefault="003116A6" w:rsidP="003116A6">
      <w:pPr>
        <w:pStyle w:val="pb-2"/>
        <w:spacing w:line="360" w:lineRule="auto"/>
        <w:rPr>
          <w:rFonts w:ascii="Arial" w:hAnsi="Arial" w:cs="Arial"/>
        </w:rPr>
      </w:pPr>
      <w:r>
        <w:rPr>
          <w:rFonts w:ascii="Arial" w:hAnsi="Arial" w:cs="Arial"/>
        </w:rPr>
        <w:t xml:space="preserve">In conclusion, it is advisory that the terracotta pot containing ivy, the summerhouse and the kitchen units and integrated appliances are deemed fixtures due to their removal causing significant damage to the property. Harrison is not permitted to </w:t>
      </w:r>
      <w:r>
        <w:rPr>
          <w:rFonts w:ascii="Arial" w:hAnsi="Arial" w:cs="Arial"/>
        </w:rPr>
        <w:lastRenderedPageBreak/>
        <w:t xml:space="preserve">remove these items as it would be a breach of contract, allowing Olivia to claim legal </w:t>
      </w:r>
      <w:r w:rsidR="004365FB">
        <w:rPr>
          <w:rFonts w:ascii="Arial" w:hAnsi="Arial" w:cs="Arial"/>
        </w:rPr>
        <w:t>procedures</w:t>
      </w:r>
      <w:r>
        <w:rPr>
          <w:rFonts w:ascii="Arial" w:hAnsi="Arial" w:cs="Arial"/>
        </w:rPr>
        <w:t>. However, the statue is permitted as a potential chattel, because of the damage removal being minimised</w:t>
      </w:r>
      <w:r w:rsidR="004365FB">
        <w:rPr>
          <w:rFonts w:ascii="Arial" w:hAnsi="Arial" w:cs="Arial"/>
        </w:rPr>
        <w:t xml:space="preserve"> if it is removed appropriately</w:t>
      </w:r>
      <w:r>
        <w:rPr>
          <w:rFonts w:ascii="Arial" w:hAnsi="Arial" w:cs="Arial"/>
        </w:rPr>
        <w:t xml:space="preserve">. The remaining terracotta pots, the inflatable hot tub and the tapestries are permitted to be removed as chattels, due to their nature of being easily removable and causing no damage. As seen in </w:t>
      </w:r>
      <w:r w:rsidR="00396099">
        <w:rPr>
          <w:rFonts w:ascii="Arial" w:hAnsi="Arial" w:cs="Arial"/>
        </w:rPr>
        <w:t>‘</w:t>
      </w:r>
      <w:r w:rsidRPr="003116A6">
        <w:rPr>
          <w:rFonts w:ascii="Arial" w:hAnsi="Arial" w:cs="Arial"/>
        </w:rPr>
        <w:t>Elitestone Ltd v Morris</w:t>
      </w:r>
      <w:r w:rsidR="00396099">
        <w:rPr>
          <w:rFonts w:ascii="Arial" w:hAnsi="Arial" w:cs="Arial"/>
        </w:rPr>
        <w:t>’</w:t>
      </w:r>
      <w:r>
        <w:rPr>
          <w:rFonts w:ascii="Arial" w:hAnsi="Arial" w:cs="Arial"/>
          <w:b/>
          <w:bCs/>
          <w:i/>
          <w:iCs/>
        </w:rPr>
        <w:t xml:space="preserve">, </w:t>
      </w:r>
      <w:r>
        <w:rPr>
          <w:rFonts w:ascii="Arial" w:hAnsi="Arial" w:cs="Arial"/>
        </w:rPr>
        <w:t>the t</w:t>
      </w:r>
      <w:r w:rsidRPr="003116A6">
        <w:rPr>
          <w:rFonts w:ascii="Arial" w:hAnsi="Arial" w:cs="Arial"/>
        </w:rPr>
        <w:t xml:space="preserve">ests are </w:t>
      </w:r>
      <w:r w:rsidR="00BA1E60" w:rsidRPr="003116A6">
        <w:rPr>
          <w:rFonts w:ascii="Arial" w:hAnsi="Arial" w:cs="Arial"/>
        </w:rPr>
        <w:t>overlapping,</w:t>
      </w:r>
      <w:r w:rsidRPr="003116A6">
        <w:rPr>
          <w:rFonts w:ascii="Arial" w:hAnsi="Arial" w:cs="Arial"/>
        </w:rPr>
        <w:t xml:space="preserve"> and the outcome depends on </w:t>
      </w:r>
      <w:r>
        <w:rPr>
          <w:rFonts w:ascii="Arial" w:hAnsi="Arial" w:cs="Arial"/>
        </w:rPr>
        <w:t xml:space="preserve">the </w:t>
      </w:r>
      <w:r w:rsidRPr="003116A6">
        <w:rPr>
          <w:rFonts w:ascii="Arial" w:hAnsi="Arial" w:cs="Arial"/>
        </w:rPr>
        <w:t>circumstances</w:t>
      </w:r>
      <w:r w:rsidR="001918E1">
        <w:rPr>
          <w:rFonts w:ascii="Arial" w:hAnsi="Arial" w:cs="Arial"/>
        </w:rPr>
        <w:t xml:space="preserve"> (House of Lords). </w:t>
      </w:r>
    </w:p>
    <w:p w14:paraId="7FF696CA" w14:textId="2E12498A" w:rsidR="006848B1" w:rsidRPr="002571B2" w:rsidRDefault="006848B1" w:rsidP="001E54D4">
      <w:pPr>
        <w:pStyle w:val="pb-2"/>
        <w:spacing w:line="360" w:lineRule="auto"/>
        <w:rPr>
          <w:rFonts w:ascii="Arial" w:hAnsi="Arial" w:cs="Arial"/>
          <w:color w:val="000000"/>
        </w:rPr>
      </w:pPr>
    </w:p>
    <w:p w14:paraId="57A689E4" w14:textId="2B04CE17" w:rsidR="006848B1" w:rsidRDefault="006848B1" w:rsidP="00696408">
      <w:pPr>
        <w:pStyle w:val="pb-2"/>
        <w:spacing w:line="276" w:lineRule="auto"/>
        <w:rPr>
          <w:rFonts w:ascii="Arial" w:hAnsi="Arial" w:cs="Arial"/>
          <w:color w:val="000000"/>
        </w:rPr>
      </w:pPr>
    </w:p>
    <w:p w14:paraId="72630F29" w14:textId="5D498AAF" w:rsidR="006848B1" w:rsidRDefault="006848B1" w:rsidP="00696408">
      <w:pPr>
        <w:pStyle w:val="pb-2"/>
        <w:spacing w:line="276" w:lineRule="auto"/>
        <w:rPr>
          <w:rFonts w:ascii="Arial" w:hAnsi="Arial" w:cs="Arial"/>
          <w:color w:val="000000"/>
        </w:rPr>
      </w:pPr>
    </w:p>
    <w:p w14:paraId="695A3FE7" w14:textId="46526313" w:rsidR="006848B1" w:rsidRDefault="006848B1" w:rsidP="00696408">
      <w:pPr>
        <w:pStyle w:val="pb-2"/>
        <w:spacing w:line="276" w:lineRule="auto"/>
        <w:rPr>
          <w:rFonts w:ascii="Arial" w:hAnsi="Arial" w:cs="Arial"/>
          <w:color w:val="000000"/>
        </w:rPr>
      </w:pPr>
    </w:p>
    <w:p w14:paraId="3A9C788A" w14:textId="1FC92B83" w:rsidR="00BD3586" w:rsidRDefault="00BD3586">
      <w:pPr>
        <w:rPr>
          <w:rFonts w:ascii="Arial" w:hAnsi="Arial" w:cs="Arial"/>
        </w:rPr>
      </w:pPr>
    </w:p>
    <w:p w14:paraId="03971137" w14:textId="557C2F8A" w:rsidR="00BD3586" w:rsidRDefault="00BD3586">
      <w:pPr>
        <w:rPr>
          <w:rFonts w:ascii="Arial" w:hAnsi="Arial" w:cs="Arial"/>
        </w:rPr>
      </w:pPr>
    </w:p>
    <w:p w14:paraId="11167237" w14:textId="77777777" w:rsidR="00D50C76" w:rsidRDefault="00D50C76">
      <w:pPr>
        <w:rPr>
          <w:rFonts w:ascii="Arial" w:hAnsi="Arial" w:cs="Arial"/>
          <w:b/>
          <w:bCs/>
          <w:u w:val="single"/>
        </w:rPr>
      </w:pPr>
    </w:p>
    <w:p w14:paraId="18CDA33B" w14:textId="77777777" w:rsidR="00D50C76" w:rsidRDefault="00D50C76">
      <w:pPr>
        <w:rPr>
          <w:rFonts w:ascii="Arial" w:hAnsi="Arial" w:cs="Arial"/>
          <w:b/>
          <w:bCs/>
          <w:u w:val="single"/>
        </w:rPr>
      </w:pPr>
    </w:p>
    <w:p w14:paraId="0C8FD637" w14:textId="77777777" w:rsidR="00D50C76" w:rsidRDefault="00D50C76">
      <w:pPr>
        <w:rPr>
          <w:rFonts w:ascii="Arial" w:hAnsi="Arial" w:cs="Arial"/>
          <w:b/>
          <w:bCs/>
          <w:u w:val="single"/>
        </w:rPr>
      </w:pPr>
    </w:p>
    <w:p w14:paraId="47C89204" w14:textId="77777777" w:rsidR="00D50C76" w:rsidRDefault="00D50C76">
      <w:pPr>
        <w:rPr>
          <w:rFonts w:ascii="Arial" w:hAnsi="Arial" w:cs="Arial"/>
          <w:b/>
          <w:bCs/>
          <w:u w:val="single"/>
        </w:rPr>
      </w:pPr>
    </w:p>
    <w:p w14:paraId="4EC9DB77" w14:textId="77777777" w:rsidR="00D50C76" w:rsidRDefault="00D50C76">
      <w:pPr>
        <w:rPr>
          <w:rFonts w:ascii="Arial" w:hAnsi="Arial" w:cs="Arial"/>
          <w:b/>
          <w:bCs/>
          <w:u w:val="single"/>
        </w:rPr>
      </w:pPr>
    </w:p>
    <w:p w14:paraId="4D6BF26A" w14:textId="77777777" w:rsidR="00D50C76" w:rsidRDefault="00D50C76">
      <w:pPr>
        <w:rPr>
          <w:rFonts w:ascii="Arial" w:hAnsi="Arial" w:cs="Arial"/>
          <w:b/>
          <w:bCs/>
          <w:u w:val="single"/>
        </w:rPr>
      </w:pPr>
    </w:p>
    <w:p w14:paraId="43252743" w14:textId="77777777" w:rsidR="00D50C76" w:rsidRDefault="00D50C76">
      <w:pPr>
        <w:rPr>
          <w:rFonts w:ascii="Arial" w:hAnsi="Arial" w:cs="Arial"/>
          <w:b/>
          <w:bCs/>
          <w:u w:val="single"/>
        </w:rPr>
      </w:pPr>
    </w:p>
    <w:p w14:paraId="15B7BA75" w14:textId="77777777" w:rsidR="00D50C76" w:rsidRDefault="00D50C76">
      <w:pPr>
        <w:rPr>
          <w:rFonts w:ascii="Arial" w:hAnsi="Arial" w:cs="Arial"/>
          <w:b/>
          <w:bCs/>
          <w:u w:val="single"/>
        </w:rPr>
      </w:pPr>
    </w:p>
    <w:p w14:paraId="6A7A1CBB" w14:textId="77777777" w:rsidR="00D50C76" w:rsidRDefault="00D50C76">
      <w:pPr>
        <w:rPr>
          <w:rFonts w:ascii="Arial" w:hAnsi="Arial" w:cs="Arial"/>
          <w:b/>
          <w:bCs/>
          <w:u w:val="single"/>
        </w:rPr>
      </w:pPr>
    </w:p>
    <w:p w14:paraId="32F94AF1" w14:textId="77777777" w:rsidR="00D50C76" w:rsidRDefault="00D50C76">
      <w:pPr>
        <w:rPr>
          <w:rFonts w:ascii="Arial" w:hAnsi="Arial" w:cs="Arial"/>
          <w:b/>
          <w:bCs/>
          <w:u w:val="single"/>
        </w:rPr>
      </w:pPr>
    </w:p>
    <w:p w14:paraId="066B7455" w14:textId="77777777" w:rsidR="00D50C76" w:rsidRDefault="00D50C76">
      <w:pPr>
        <w:rPr>
          <w:rFonts w:ascii="Arial" w:hAnsi="Arial" w:cs="Arial"/>
          <w:b/>
          <w:bCs/>
          <w:u w:val="single"/>
        </w:rPr>
      </w:pPr>
    </w:p>
    <w:p w14:paraId="272D9F62" w14:textId="77777777" w:rsidR="00D50C76" w:rsidRDefault="00D50C76">
      <w:pPr>
        <w:rPr>
          <w:rFonts w:ascii="Arial" w:hAnsi="Arial" w:cs="Arial"/>
          <w:b/>
          <w:bCs/>
          <w:u w:val="single"/>
        </w:rPr>
      </w:pPr>
    </w:p>
    <w:p w14:paraId="1C47A11F" w14:textId="77777777" w:rsidR="00D50C76" w:rsidRDefault="00D50C76">
      <w:pPr>
        <w:rPr>
          <w:rFonts w:ascii="Arial" w:hAnsi="Arial" w:cs="Arial"/>
          <w:b/>
          <w:bCs/>
          <w:u w:val="single"/>
        </w:rPr>
      </w:pPr>
    </w:p>
    <w:p w14:paraId="3C4F5AEA" w14:textId="77777777" w:rsidR="00D50C76" w:rsidRDefault="00D50C76">
      <w:pPr>
        <w:rPr>
          <w:rFonts w:ascii="Arial" w:hAnsi="Arial" w:cs="Arial"/>
          <w:b/>
          <w:bCs/>
          <w:u w:val="single"/>
        </w:rPr>
      </w:pPr>
    </w:p>
    <w:p w14:paraId="2CA6E9CE" w14:textId="77777777" w:rsidR="00D50C76" w:rsidRDefault="00D50C76">
      <w:pPr>
        <w:rPr>
          <w:rFonts w:ascii="Arial" w:hAnsi="Arial" w:cs="Arial"/>
          <w:b/>
          <w:bCs/>
          <w:u w:val="single"/>
        </w:rPr>
      </w:pPr>
    </w:p>
    <w:p w14:paraId="135156BA" w14:textId="77777777" w:rsidR="00D50C76" w:rsidRDefault="00D50C76">
      <w:pPr>
        <w:rPr>
          <w:rFonts w:ascii="Arial" w:hAnsi="Arial" w:cs="Arial"/>
          <w:b/>
          <w:bCs/>
          <w:u w:val="single"/>
        </w:rPr>
      </w:pPr>
    </w:p>
    <w:p w14:paraId="611ADDF8" w14:textId="77777777" w:rsidR="00D50C76" w:rsidRDefault="00D50C76">
      <w:pPr>
        <w:rPr>
          <w:rFonts w:ascii="Arial" w:hAnsi="Arial" w:cs="Arial"/>
          <w:b/>
          <w:bCs/>
          <w:u w:val="single"/>
        </w:rPr>
      </w:pPr>
    </w:p>
    <w:p w14:paraId="5FDA5550" w14:textId="77777777" w:rsidR="00D50C76" w:rsidRDefault="00D50C76">
      <w:pPr>
        <w:rPr>
          <w:rFonts w:ascii="Arial" w:hAnsi="Arial" w:cs="Arial"/>
          <w:b/>
          <w:bCs/>
          <w:u w:val="single"/>
        </w:rPr>
      </w:pPr>
    </w:p>
    <w:p w14:paraId="033AB2AB" w14:textId="77777777" w:rsidR="00D50C76" w:rsidRDefault="00D50C76">
      <w:pPr>
        <w:rPr>
          <w:rFonts w:ascii="Arial" w:hAnsi="Arial" w:cs="Arial"/>
          <w:b/>
          <w:bCs/>
          <w:u w:val="single"/>
        </w:rPr>
      </w:pPr>
    </w:p>
    <w:p w14:paraId="558B40A0" w14:textId="77777777" w:rsidR="00D50C76" w:rsidRDefault="00D50C76">
      <w:pPr>
        <w:rPr>
          <w:rFonts w:ascii="Arial" w:hAnsi="Arial" w:cs="Arial"/>
          <w:b/>
          <w:bCs/>
          <w:u w:val="single"/>
        </w:rPr>
      </w:pPr>
    </w:p>
    <w:p w14:paraId="28E9ABDA" w14:textId="77777777" w:rsidR="00D50C76" w:rsidRDefault="00D50C76">
      <w:pPr>
        <w:rPr>
          <w:rFonts w:ascii="Arial" w:hAnsi="Arial" w:cs="Arial"/>
          <w:b/>
          <w:bCs/>
          <w:u w:val="single"/>
        </w:rPr>
      </w:pPr>
    </w:p>
    <w:p w14:paraId="6FAAB160" w14:textId="77777777" w:rsidR="00D50C76" w:rsidRDefault="00D50C76">
      <w:pPr>
        <w:rPr>
          <w:rFonts w:ascii="Arial" w:hAnsi="Arial" w:cs="Arial"/>
          <w:b/>
          <w:bCs/>
          <w:u w:val="single"/>
        </w:rPr>
      </w:pPr>
    </w:p>
    <w:p w14:paraId="44BA48C6" w14:textId="77777777" w:rsidR="00D50C76" w:rsidRDefault="00D50C76">
      <w:pPr>
        <w:rPr>
          <w:rFonts w:ascii="Arial" w:hAnsi="Arial" w:cs="Arial"/>
          <w:b/>
          <w:bCs/>
          <w:u w:val="single"/>
        </w:rPr>
      </w:pPr>
    </w:p>
    <w:p w14:paraId="7C8F00B7" w14:textId="77777777" w:rsidR="00D50C76" w:rsidRDefault="00D50C76">
      <w:pPr>
        <w:rPr>
          <w:rFonts w:ascii="Arial" w:hAnsi="Arial" w:cs="Arial"/>
          <w:b/>
          <w:bCs/>
          <w:u w:val="single"/>
        </w:rPr>
      </w:pPr>
    </w:p>
    <w:p w14:paraId="57A6CD03" w14:textId="77777777" w:rsidR="00D50C76" w:rsidRDefault="00D50C76">
      <w:pPr>
        <w:rPr>
          <w:rFonts w:ascii="Arial" w:hAnsi="Arial" w:cs="Arial"/>
          <w:b/>
          <w:bCs/>
          <w:u w:val="single"/>
        </w:rPr>
      </w:pPr>
    </w:p>
    <w:p w14:paraId="5204B3FC" w14:textId="77777777" w:rsidR="00D50C76" w:rsidRDefault="00D50C76">
      <w:pPr>
        <w:rPr>
          <w:rFonts w:ascii="Arial" w:hAnsi="Arial" w:cs="Arial"/>
          <w:b/>
          <w:bCs/>
          <w:u w:val="single"/>
        </w:rPr>
      </w:pPr>
    </w:p>
    <w:p w14:paraId="6E8F6E80" w14:textId="77777777" w:rsidR="00D50C76" w:rsidRDefault="00D50C76">
      <w:pPr>
        <w:rPr>
          <w:rFonts w:ascii="Arial" w:hAnsi="Arial" w:cs="Arial"/>
          <w:b/>
          <w:bCs/>
          <w:u w:val="single"/>
        </w:rPr>
      </w:pPr>
    </w:p>
    <w:p w14:paraId="7E9D2072" w14:textId="77777777" w:rsidR="00D50C76" w:rsidRDefault="00D50C76">
      <w:pPr>
        <w:rPr>
          <w:rFonts w:ascii="Arial" w:hAnsi="Arial" w:cs="Arial"/>
          <w:b/>
          <w:bCs/>
          <w:u w:val="single"/>
        </w:rPr>
      </w:pPr>
    </w:p>
    <w:p w14:paraId="35F1E2F0" w14:textId="77777777" w:rsidR="00D50C76" w:rsidRDefault="00D50C76">
      <w:pPr>
        <w:rPr>
          <w:rFonts w:ascii="Arial" w:hAnsi="Arial" w:cs="Arial"/>
          <w:b/>
          <w:bCs/>
          <w:u w:val="single"/>
        </w:rPr>
      </w:pPr>
    </w:p>
    <w:p w14:paraId="1838A2B1" w14:textId="6CF2B40A" w:rsidR="00BD3586" w:rsidRDefault="00BD3586">
      <w:pPr>
        <w:rPr>
          <w:rFonts w:ascii="Arial" w:hAnsi="Arial" w:cs="Arial"/>
          <w:b/>
          <w:bCs/>
          <w:u w:val="single"/>
        </w:rPr>
      </w:pPr>
      <w:r w:rsidRPr="00BD3586">
        <w:rPr>
          <w:rFonts w:ascii="Arial" w:hAnsi="Arial" w:cs="Arial"/>
          <w:b/>
          <w:bCs/>
          <w:u w:val="single"/>
        </w:rPr>
        <w:t>Reference List:</w:t>
      </w:r>
    </w:p>
    <w:p w14:paraId="5ACB5174" w14:textId="4500BF02" w:rsidR="00BD265B" w:rsidRDefault="00BD265B">
      <w:pPr>
        <w:rPr>
          <w:rFonts w:ascii="Arial" w:hAnsi="Arial" w:cs="Arial"/>
          <w:b/>
          <w:bCs/>
          <w:u w:val="single"/>
        </w:rPr>
      </w:pPr>
    </w:p>
    <w:p w14:paraId="48AC90D5" w14:textId="2829F6BD" w:rsidR="00BD265B" w:rsidRPr="00BD3586" w:rsidRDefault="00BD265B">
      <w:pPr>
        <w:rPr>
          <w:rFonts w:ascii="Arial" w:hAnsi="Arial" w:cs="Arial"/>
          <w:b/>
          <w:bCs/>
          <w:u w:val="single"/>
        </w:rPr>
      </w:pPr>
      <w:r>
        <w:rPr>
          <w:rFonts w:ascii="Arial" w:hAnsi="Arial" w:cs="Arial"/>
          <w:b/>
          <w:bCs/>
          <w:u w:val="single"/>
        </w:rPr>
        <w:t xml:space="preserve">Case law: </w:t>
      </w:r>
    </w:p>
    <w:p w14:paraId="67023807" w14:textId="5B2C4CD8" w:rsidR="00BD3586" w:rsidRDefault="00BD3586">
      <w:pPr>
        <w:rPr>
          <w:rFonts w:ascii="Arial" w:hAnsi="Arial" w:cs="Arial"/>
        </w:rPr>
      </w:pPr>
    </w:p>
    <w:p w14:paraId="25E8653A" w14:textId="77777777" w:rsidR="00BD265B" w:rsidRDefault="00BD265B" w:rsidP="00BD265B">
      <w:pPr>
        <w:rPr>
          <w:rFonts w:ascii="Arial" w:hAnsi="Arial" w:cs="Arial"/>
        </w:rPr>
      </w:pPr>
    </w:p>
    <w:p w14:paraId="5F801E3C" w14:textId="025A7A89" w:rsidR="00BD265B" w:rsidRPr="00654A87" w:rsidRDefault="00BD265B" w:rsidP="00BD265B">
      <w:pPr>
        <w:pStyle w:val="NormalWeb"/>
        <w:spacing w:before="0" w:beforeAutospacing="0" w:after="240" w:afterAutospacing="0" w:line="360" w:lineRule="atLeast"/>
        <w:rPr>
          <w:rFonts w:ascii="Arial" w:hAnsi="Arial" w:cs="Arial"/>
          <w:color w:val="000000"/>
        </w:rPr>
      </w:pPr>
      <w:r>
        <w:rPr>
          <w:rFonts w:ascii="Arial" w:hAnsi="Arial" w:cs="Arial"/>
          <w:color w:val="000000"/>
        </w:rPr>
        <w:t>‘</w:t>
      </w:r>
      <w:r w:rsidRPr="00BD265B">
        <w:rPr>
          <w:rFonts w:ascii="Arial" w:hAnsi="Arial" w:cs="Arial"/>
          <w:color w:val="000000"/>
        </w:rPr>
        <w:t>Batchelor v Marlow &amp; Anor</w:t>
      </w:r>
      <w:r>
        <w:rPr>
          <w:rFonts w:ascii="Arial" w:hAnsi="Arial" w:cs="Arial"/>
          <w:color w:val="000000"/>
        </w:rPr>
        <w:t>’</w:t>
      </w:r>
      <w:r w:rsidRPr="00BD265B">
        <w:rPr>
          <w:rFonts w:ascii="Arial" w:hAnsi="Arial" w:cs="Arial"/>
          <w:color w:val="000000"/>
        </w:rPr>
        <w:t xml:space="preserve"> (2001) EWCA </w:t>
      </w:r>
      <w:proofErr w:type="spellStart"/>
      <w:r w:rsidRPr="00BD265B">
        <w:rPr>
          <w:rFonts w:ascii="Arial" w:hAnsi="Arial" w:cs="Arial"/>
          <w:color w:val="000000"/>
        </w:rPr>
        <w:t>Civ</w:t>
      </w:r>
      <w:proofErr w:type="spellEnd"/>
      <w:r w:rsidRPr="00BD265B">
        <w:rPr>
          <w:rFonts w:ascii="Arial" w:hAnsi="Arial" w:cs="Arial"/>
          <w:color w:val="000000"/>
        </w:rPr>
        <w:t xml:space="preserve"> 1051</w:t>
      </w:r>
      <w:r w:rsidRPr="00654A87">
        <w:rPr>
          <w:rFonts w:ascii="Arial" w:hAnsi="Arial" w:cs="Arial"/>
          <w:i/>
          <w:iCs/>
          <w:color w:val="000000"/>
        </w:rPr>
        <w:t xml:space="preserve">, </w:t>
      </w:r>
      <w:r w:rsidRPr="00654A87">
        <w:rPr>
          <w:rFonts w:ascii="Arial" w:hAnsi="Arial" w:cs="Arial"/>
          <w:color w:val="000000"/>
        </w:rPr>
        <w:t>www.bailii.org.</w:t>
      </w:r>
      <w:r w:rsidRPr="00654A87">
        <w:rPr>
          <w:rStyle w:val="apple-converted-space"/>
          <w:rFonts w:ascii="Arial" w:hAnsi="Arial" w:cs="Arial"/>
          <w:color w:val="000000"/>
        </w:rPr>
        <w:t> </w:t>
      </w:r>
      <w:r w:rsidRPr="00654A87">
        <w:rPr>
          <w:rFonts w:ascii="Arial" w:hAnsi="Arial" w:cs="Arial"/>
          <w:i/>
          <w:iCs/>
          <w:color w:val="000000"/>
        </w:rPr>
        <w:t xml:space="preserve">Batchelor v Marlow &amp; Anor [2001] EWCA </w:t>
      </w:r>
      <w:proofErr w:type="spellStart"/>
      <w:r w:rsidRPr="00654A87">
        <w:rPr>
          <w:rFonts w:ascii="Arial" w:hAnsi="Arial" w:cs="Arial"/>
          <w:i/>
          <w:iCs/>
          <w:color w:val="000000"/>
        </w:rPr>
        <w:t>Civ</w:t>
      </w:r>
      <w:proofErr w:type="spellEnd"/>
      <w:r w:rsidRPr="00654A87">
        <w:rPr>
          <w:rFonts w:ascii="Arial" w:hAnsi="Arial" w:cs="Arial"/>
          <w:i/>
          <w:iCs/>
          <w:color w:val="000000"/>
        </w:rPr>
        <w:t xml:space="preserve"> 1051 (28 June 2001)</w:t>
      </w:r>
      <w:r w:rsidRPr="00654A87">
        <w:rPr>
          <w:rFonts w:ascii="Arial" w:hAnsi="Arial" w:cs="Arial"/>
          <w:color w:val="000000"/>
        </w:rPr>
        <w:t xml:space="preserve">. [online] Available at: </w:t>
      </w:r>
      <w:hyperlink r:id="rId5" w:history="1">
        <w:r w:rsidRPr="00654A87">
          <w:rPr>
            <w:rStyle w:val="Hyperlink"/>
            <w:rFonts w:ascii="Arial" w:hAnsi="Arial" w:cs="Arial"/>
          </w:rPr>
          <w:t>https://www.bailii.org/cgibin/format.cgi?doc=/ew/cases/EWCA/Civ/2001/1051.html&amp;query=(Batchelor)+AND+(v)+AND+(Marlow)</w:t>
        </w:r>
      </w:hyperlink>
      <w:r w:rsidRPr="00654A87">
        <w:rPr>
          <w:rFonts w:ascii="Arial" w:hAnsi="Arial" w:cs="Arial"/>
          <w:color w:val="000000"/>
        </w:rPr>
        <w:t>, (Accessed: 14</w:t>
      </w:r>
      <w:r w:rsidRPr="00654A87">
        <w:rPr>
          <w:rFonts w:ascii="Arial" w:hAnsi="Arial" w:cs="Arial"/>
          <w:color w:val="000000"/>
          <w:vertAlign w:val="superscript"/>
        </w:rPr>
        <w:t>th</w:t>
      </w:r>
      <w:r w:rsidRPr="00654A87">
        <w:rPr>
          <w:rFonts w:ascii="Arial" w:hAnsi="Arial" w:cs="Arial"/>
          <w:color w:val="000000"/>
        </w:rPr>
        <w:t xml:space="preserve"> December 2023).</w:t>
      </w:r>
    </w:p>
    <w:p w14:paraId="5114DE87" w14:textId="5D6F76BA" w:rsidR="00BD265B" w:rsidRDefault="00BD265B" w:rsidP="005062D0">
      <w:pPr>
        <w:pStyle w:val="NormalWeb"/>
        <w:spacing w:before="0" w:beforeAutospacing="0" w:after="240" w:afterAutospacing="0" w:line="360" w:lineRule="atLeast"/>
        <w:rPr>
          <w:rFonts w:ascii="Arial" w:hAnsi="Arial" w:cs="Arial"/>
          <w:color w:val="000000"/>
        </w:rPr>
      </w:pPr>
      <w:r>
        <w:rPr>
          <w:rFonts w:ascii="Arial" w:hAnsi="Arial" w:cs="Arial"/>
          <w:color w:val="000000"/>
        </w:rPr>
        <w:t>‘</w:t>
      </w:r>
      <w:r w:rsidRPr="005062D0">
        <w:rPr>
          <w:rFonts w:ascii="Arial" w:hAnsi="Arial" w:cs="Arial"/>
          <w:color w:val="000000"/>
        </w:rPr>
        <w:t>Dyce v Lady James Hay</w:t>
      </w:r>
      <w:r>
        <w:rPr>
          <w:rFonts w:ascii="Arial" w:hAnsi="Arial" w:cs="Arial"/>
          <w:color w:val="000000"/>
        </w:rPr>
        <w:t>’</w:t>
      </w:r>
      <w:r w:rsidRPr="005062D0">
        <w:rPr>
          <w:rFonts w:ascii="Arial" w:hAnsi="Arial" w:cs="Arial"/>
          <w:color w:val="000000"/>
        </w:rPr>
        <w:t xml:space="preserve"> (1852)1 Macq 305</w:t>
      </w:r>
      <w:r>
        <w:rPr>
          <w:rFonts w:ascii="Arial" w:hAnsi="Arial" w:cs="Arial"/>
          <w:color w:val="000000"/>
        </w:rPr>
        <w:t xml:space="preserve">, </w:t>
      </w:r>
      <w:r w:rsidRPr="005062D0">
        <w:rPr>
          <w:rFonts w:ascii="Arial" w:hAnsi="Arial" w:cs="Arial"/>
          <w:i/>
          <w:iCs/>
          <w:color w:val="000000"/>
        </w:rPr>
        <w:t>Robert Dyce v. The Right Hon. Elizabeth Forbes (Lady James Hay), and Husband [1852] UKHL 1_Paterson_83 (28 April 1852)</w:t>
      </w:r>
      <w:r w:rsidRPr="005062D0">
        <w:rPr>
          <w:rFonts w:ascii="Arial" w:hAnsi="Arial" w:cs="Arial"/>
          <w:color w:val="000000"/>
        </w:rPr>
        <w:t xml:space="preserve">. [online] www.bailii.org. Available at: </w:t>
      </w:r>
      <w:hyperlink r:id="rId6" w:history="1">
        <w:r w:rsidRPr="005062D0">
          <w:rPr>
            <w:rStyle w:val="Hyperlink"/>
            <w:rFonts w:ascii="Arial" w:hAnsi="Arial" w:cs="Arial"/>
          </w:rPr>
          <w:t>https://www.bailii.org/cgi-bin/format.cgi?doc=/uk/cases/UKHL/1852/1_Paterson_83.html&amp;query=(Dyce)+AND+(v)+AND+(Lady)+AND+(James)+AND+(Hay)+AND+((1852)1)+AND+(Macq)+AND+(305)</w:t>
        </w:r>
      </w:hyperlink>
      <w:r w:rsidRPr="005062D0">
        <w:rPr>
          <w:rFonts w:ascii="Arial" w:hAnsi="Arial" w:cs="Arial"/>
          <w:color w:val="000000"/>
        </w:rPr>
        <w:t>, (Accessed: 3</w:t>
      </w:r>
      <w:r w:rsidRPr="005062D0">
        <w:rPr>
          <w:rFonts w:ascii="Arial" w:hAnsi="Arial" w:cs="Arial"/>
          <w:color w:val="000000"/>
          <w:vertAlign w:val="superscript"/>
        </w:rPr>
        <w:t>rd</w:t>
      </w:r>
      <w:r w:rsidRPr="005062D0">
        <w:rPr>
          <w:rFonts w:ascii="Arial" w:hAnsi="Arial" w:cs="Arial"/>
          <w:color w:val="000000"/>
        </w:rPr>
        <w:t xml:space="preserve"> December 2023). </w:t>
      </w:r>
    </w:p>
    <w:p w14:paraId="28A9CF1D" w14:textId="3A9A27DC" w:rsidR="00BD265B" w:rsidRDefault="00BD265B" w:rsidP="00BD265B">
      <w:pPr>
        <w:pStyle w:val="NormalWeb"/>
        <w:spacing w:before="0" w:beforeAutospacing="0" w:after="240" w:afterAutospacing="0" w:line="360" w:lineRule="atLeast"/>
        <w:rPr>
          <w:rFonts w:ascii="Arial" w:hAnsi="Arial" w:cs="Arial"/>
          <w:color w:val="000000"/>
        </w:rPr>
      </w:pPr>
      <w:r>
        <w:rPr>
          <w:rFonts w:ascii="Arial" w:hAnsi="Arial" w:cs="Arial"/>
          <w:color w:val="000000"/>
        </w:rPr>
        <w:t>‘</w:t>
      </w:r>
      <w:r w:rsidRPr="00BD265B">
        <w:rPr>
          <w:rFonts w:ascii="Arial" w:hAnsi="Arial" w:cs="Arial"/>
          <w:color w:val="000000"/>
        </w:rPr>
        <w:t>Graham Charles Botham and Others v TSB Bank Plc</w:t>
      </w:r>
      <w:r>
        <w:rPr>
          <w:rFonts w:ascii="Arial" w:hAnsi="Arial" w:cs="Arial"/>
          <w:color w:val="000000"/>
        </w:rPr>
        <w:t>’</w:t>
      </w:r>
      <w:r w:rsidRPr="00BD265B">
        <w:rPr>
          <w:rFonts w:ascii="Arial" w:hAnsi="Arial" w:cs="Arial"/>
          <w:color w:val="000000"/>
        </w:rPr>
        <w:t>.</w:t>
      </w:r>
      <w:r w:rsidRPr="001918E1">
        <w:rPr>
          <w:rFonts w:ascii="Arial" w:hAnsi="Arial" w:cs="Arial"/>
          <w:color w:val="000000"/>
        </w:rPr>
        <w:t xml:space="preserve"> [online] Available at: </w:t>
      </w:r>
      <w:hyperlink r:id="rId7" w:history="1">
        <w:r w:rsidRPr="001918E1">
          <w:rPr>
            <w:rStyle w:val="Hyperlink"/>
            <w:rFonts w:ascii="Arial" w:hAnsi="Arial" w:cs="Arial"/>
          </w:rPr>
          <w:t>https://vlex.co.uk/vid/graham-charles-botham-and-793677069</w:t>
        </w:r>
      </w:hyperlink>
      <w:r w:rsidRPr="001918E1">
        <w:rPr>
          <w:rFonts w:ascii="Arial" w:hAnsi="Arial" w:cs="Arial"/>
          <w:color w:val="000000"/>
        </w:rPr>
        <w:t>, (Accessed: 15</w:t>
      </w:r>
      <w:r w:rsidRPr="001918E1">
        <w:rPr>
          <w:rFonts w:ascii="Arial" w:hAnsi="Arial" w:cs="Arial"/>
          <w:color w:val="000000"/>
          <w:vertAlign w:val="superscript"/>
        </w:rPr>
        <w:t>th</w:t>
      </w:r>
      <w:r w:rsidRPr="001918E1">
        <w:rPr>
          <w:rFonts w:ascii="Arial" w:hAnsi="Arial" w:cs="Arial"/>
          <w:color w:val="000000"/>
        </w:rPr>
        <w:t xml:space="preserve"> December 2023).</w:t>
      </w:r>
    </w:p>
    <w:p w14:paraId="157B5EDC" w14:textId="02DA34EE" w:rsidR="00BD265B" w:rsidRPr="00654A87" w:rsidRDefault="00BD265B" w:rsidP="00BD265B">
      <w:pPr>
        <w:pStyle w:val="NormalWeb"/>
        <w:spacing w:before="0" w:beforeAutospacing="0" w:after="240" w:afterAutospacing="0" w:line="360" w:lineRule="atLeast"/>
        <w:rPr>
          <w:rFonts w:ascii="Arial" w:hAnsi="Arial" w:cs="Arial"/>
          <w:color w:val="000000"/>
        </w:rPr>
      </w:pPr>
      <w:r w:rsidRPr="00654A87">
        <w:rPr>
          <w:rFonts w:ascii="Arial" w:hAnsi="Arial" w:cs="Arial"/>
          <w:color w:val="000000"/>
        </w:rPr>
        <w:t xml:space="preserve">House of Lords (2007), </w:t>
      </w:r>
      <w:r w:rsidRPr="00BD265B">
        <w:rPr>
          <w:rFonts w:ascii="Arial" w:hAnsi="Arial" w:cs="Arial"/>
          <w:i/>
          <w:iCs/>
          <w:color w:val="000000"/>
        </w:rPr>
        <w:t>‘Moncrieff v Jamieson’</w:t>
      </w:r>
      <w:r w:rsidRPr="00654A87">
        <w:rPr>
          <w:rFonts w:ascii="Arial" w:hAnsi="Arial" w:cs="Arial"/>
          <w:color w:val="000000"/>
        </w:rPr>
        <w:t xml:space="preserve">, publications.parliament.uk, [online], Available at: </w:t>
      </w:r>
      <w:hyperlink r:id="rId8" w:history="1">
        <w:r w:rsidRPr="00654A87">
          <w:rPr>
            <w:rStyle w:val="Hyperlink"/>
            <w:rFonts w:ascii="Arial" w:hAnsi="Arial" w:cs="Arial"/>
          </w:rPr>
          <w:t>https://publications.parliament.uk/pa/ld200607/ldjudgmt/jd071017/jamie-1.htm</w:t>
        </w:r>
      </w:hyperlink>
      <w:r w:rsidRPr="00654A87">
        <w:rPr>
          <w:rFonts w:ascii="Arial" w:hAnsi="Arial" w:cs="Arial"/>
          <w:color w:val="000000"/>
        </w:rPr>
        <w:t>, (Accessed: 14</w:t>
      </w:r>
      <w:r w:rsidRPr="00654A87">
        <w:rPr>
          <w:rFonts w:ascii="Arial" w:hAnsi="Arial" w:cs="Arial"/>
          <w:color w:val="000000"/>
          <w:vertAlign w:val="superscript"/>
        </w:rPr>
        <w:t>th</w:t>
      </w:r>
      <w:r w:rsidRPr="00654A87">
        <w:rPr>
          <w:rFonts w:ascii="Arial" w:hAnsi="Arial" w:cs="Arial"/>
          <w:color w:val="000000"/>
        </w:rPr>
        <w:t xml:space="preserve"> December 2023).</w:t>
      </w:r>
    </w:p>
    <w:p w14:paraId="38F2D0CD" w14:textId="060BA00E" w:rsidR="00BD265B" w:rsidRDefault="00BD265B" w:rsidP="005062D0">
      <w:pPr>
        <w:pStyle w:val="NormalWeb"/>
        <w:spacing w:before="0" w:beforeAutospacing="0" w:after="240" w:afterAutospacing="0" w:line="360" w:lineRule="atLeast"/>
        <w:rPr>
          <w:rFonts w:ascii="Arial" w:hAnsi="Arial" w:cs="Arial"/>
        </w:rPr>
      </w:pPr>
      <w:r>
        <w:rPr>
          <w:rFonts w:ascii="Arial" w:hAnsi="Arial" w:cs="Arial"/>
          <w:color w:val="000000"/>
        </w:rPr>
        <w:t xml:space="preserve">House of Lords, </w:t>
      </w:r>
      <w:r w:rsidRPr="00BD265B">
        <w:rPr>
          <w:rFonts w:ascii="Arial" w:hAnsi="Arial" w:cs="Arial"/>
          <w:i/>
          <w:iCs/>
          <w:color w:val="000000"/>
        </w:rPr>
        <w:t>‘</w:t>
      </w:r>
      <w:r w:rsidRPr="003116A6">
        <w:rPr>
          <w:rFonts w:ascii="Arial" w:hAnsi="Arial" w:cs="Arial"/>
          <w:i/>
          <w:iCs/>
        </w:rPr>
        <w:t>Elitestone Ltd v Morris</w:t>
      </w:r>
      <w:r w:rsidRPr="00BD265B">
        <w:rPr>
          <w:rFonts w:ascii="Arial" w:hAnsi="Arial" w:cs="Arial"/>
          <w:i/>
          <w:iCs/>
        </w:rPr>
        <w:t>’</w:t>
      </w:r>
      <w:r>
        <w:rPr>
          <w:rFonts w:ascii="Arial" w:hAnsi="Arial" w:cs="Arial"/>
        </w:rPr>
        <w:t xml:space="preserve">, publications.parliament.uk, [online], Available at: </w:t>
      </w:r>
      <w:hyperlink r:id="rId9" w:history="1">
        <w:r w:rsidRPr="00912E08">
          <w:rPr>
            <w:rStyle w:val="Hyperlink"/>
            <w:rFonts w:ascii="Arial" w:hAnsi="Arial" w:cs="Arial"/>
          </w:rPr>
          <w:t>https://publications.parliament.uk/pa/ld199697/ldjudgmt/jd970501/elites01.htm</w:t>
        </w:r>
      </w:hyperlink>
      <w:r>
        <w:rPr>
          <w:rFonts w:ascii="Arial" w:hAnsi="Arial" w:cs="Arial"/>
        </w:rPr>
        <w:t>, (Accessed: 15</w:t>
      </w:r>
      <w:r w:rsidRPr="00AB0439">
        <w:rPr>
          <w:rFonts w:ascii="Arial" w:hAnsi="Arial" w:cs="Arial"/>
          <w:vertAlign w:val="superscript"/>
        </w:rPr>
        <w:t>th</w:t>
      </w:r>
      <w:r>
        <w:rPr>
          <w:rFonts w:ascii="Arial" w:hAnsi="Arial" w:cs="Arial"/>
        </w:rPr>
        <w:t xml:space="preserve"> December 2023). </w:t>
      </w:r>
    </w:p>
    <w:p w14:paraId="564108C3" w14:textId="53B4D918" w:rsidR="00BD265B" w:rsidRPr="00654A87" w:rsidRDefault="00BD265B" w:rsidP="00BD265B">
      <w:pPr>
        <w:pStyle w:val="NormalWeb"/>
        <w:spacing w:before="0" w:beforeAutospacing="0" w:after="240" w:afterAutospacing="0" w:line="360" w:lineRule="atLeast"/>
        <w:rPr>
          <w:rFonts w:ascii="Arial" w:hAnsi="Arial" w:cs="Arial"/>
          <w:color w:val="000000"/>
        </w:rPr>
      </w:pPr>
      <w:r>
        <w:rPr>
          <w:rFonts w:ascii="Arial" w:hAnsi="Arial" w:cs="Arial"/>
        </w:rPr>
        <w:t>‘</w:t>
      </w:r>
      <w:r w:rsidRPr="00654A87">
        <w:rPr>
          <w:rFonts w:ascii="Arial" w:hAnsi="Arial" w:cs="Arial"/>
        </w:rPr>
        <w:t>London and Blenheim Estates v Ladbroke Retail Parks</w:t>
      </w:r>
      <w:r>
        <w:rPr>
          <w:rFonts w:ascii="Arial" w:hAnsi="Arial" w:cs="Arial"/>
        </w:rPr>
        <w:t>’</w:t>
      </w:r>
      <w:r w:rsidRPr="00654A87">
        <w:rPr>
          <w:rFonts w:ascii="Arial" w:hAnsi="Arial" w:cs="Arial"/>
        </w:rPr>
        <w:t xml:space="preserve"> (1992) 1 WLR 1278. </w:t>
      </w:r>
      <w:r w:rsidRPr="00654A87">
        <w:rPr>
          <w:rFonts w:ascii="Arial" w:hAnsi="Arial" w:cs="Arial"/>
          <w:color w:val="000000"/>
        </w:rPr>
        <w:t>www.oxbridgenotes.co.uk.</w:t>
      </w:r>
      <w:r w:rsidRPr="00654A87">
        <w:rPr>
          <w:rStyle w:val="apple-converted-space"/>
          <w:rFonts w:ascii="Arial" w:hAnsi="Arial" w:cs="Arial"/>
          <w:color w:val="000000"/>
        </w:rPr>
        <w:t> </w:t>
      </w:r>
      <w:r w:rsidRPr="00654A87">
        <w:rPr>
          <w:rFonts w:ascii="Arial" w:hAnsi="Arial" w:cs="Arial"/>
          <w:i/>
          <w:iCs/>
          <w:color w:val="000000"/>
        </w:rPr>
        <w:t>Easements | Oxbridge Notes</w:t>
      </w:r>
      <w:r w:rsidRPr="00654A87">
        <w:rPr>
          <w:rFonts w:ascii="Arial" w:hAnsi="Arial" w:cs="Arial"/>
          <w:color w:val="000000"/>
        </w:rPr>
        <w:t xml:space="preserve">. [online] Available at: </w:t>
      </w:r>
      <w:hyperlink r:id="rId10" w:history="1">
        <w:r w:rsidRPr="00654A87">
          <w:rPr>
            <w:rStyle w:val="Hyperlink"/>
            <w:rFonts w:ascii="Arial" w:hAnsi="Arial" w:cs="Arial"/>
          </w:rPr>
          <w:t>https://www.oxbridgenotes.co.uk/revision_notes/law-land-law/samples/easements-30244a94-fdb1-4c82-b2db-1120fdaabf7e</w:t>
        </w:r>
      </w:hyperlink>
      <w:r w:rsidRPr="00654A87">
        <w:rPr>
          <w:rFonts w:ascii="Arial" w:hAnsi="Arial" w:cs="Arial"/>
          <w:color w:val="000000"/>
        </w:rPr>
        <w:t>, (Accessed: 14</w:t>
      </w:r>
      <w:r w:rsidRPr="00654A87">
        <w:rPr>
          <w:rFonts w:ascii="Arial" w:hAnsi="Arial" w:cs="Arial"/>
          <w:color w:val="000000"/>
          <w:vertAlign w:val="superscript"/>
        </w:rPr>
        <w:t>th</w:t>
      </w:r>
      <w:r w:rsidRPr="00654A87">
        <w:rPr>
          <w:rFonts w:ascii="Arial" w:hAnsi="Arial" w:cs="Arial"/>
          <w:color w:val="000000"/>
        </w:rPr>
        <w:t xml:space="preserve"> December 2023).</w:t>
      </w:r>
    </w:p>
    <w:p w14:paraId="17F9F4D6" w14:textId="1997593F" w:rsidR="00BD265B" w:rsidRPr="00BD3586" w:rsidRDefault="00BD265B" w:rsidP="00BD3586">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Chen. W, (2020), </w:t>
      </w:r>
      <w:proofErr w:type="spellStart"/>
      <w:r w:rsidRPr="00BD265B">
        <w:rPr>
          <w:rFonts w:ascii="Arial" w:hAnsi="Arial" w:cs="Arial"/>
          <w:i/>
          <w:iCs/>
          <w:color w:val="000000"/>
        </w:rPr>
        <w:t>‘Re</w:t>
      </w:r>
      <w:proofErr w:type="spellEnd"/>
      <w:r w:rsidRPr="00BD265B">
        <w:rPr>
          <w:rFonts w:ascii="Arial" w:hAnsi="Arial" w:cs="Arial"/>
          <w:i/>
          <w:iCs/>
          <w:color w:val="000000"/>
        </w:rPr>
        <w:t xml:space="preserve"> Ellenborough Park [1956] Ch 131’ - Case Summary</w:t>
      </w:r>
      <w:r>
        <w:rPr>
          <w:rFonts w:ascii="Arial" w:hAnsi="Arial" w:cs="Arial"/>
          <w:color w:val="000000"/>
        </w:rPr>
        <w:t xml:space="preserve">, </w:t>
      </w:r>
      <w:r w:rsidRPr="00BD3586">
        <w:rPr>
          <w:rFonts w:ascii="Arial" w:hAnsi="Arial" w:cs="Arial"/>
          <w:color w:val="000000"/>
        </w:rPr>
        <w:t xml:space="preserve">[online] lawprof.co. Available at: </w:t>
      </w:r>
      <w:hyperlink r:id="rId11" w:history="1">
        <w:r w:rsidRPr="00BD3586">
          <w:rPr>
            <w:rStyle w:val="Hyperlink"/>
            <w:rFonts w:ascii="Arial" w:hAnsi="Arial" w:cs="Arial"/>
          </w:rPr>
          <w:t>https://lawprof.co/land/easements-cases/re-ellenborough-park-1956-ch-131/</w:t>
        </w:r>
      </w:hyperlink>
      <w:r w:rsidRPr="00BD3586">
        <w:rPr>
          <w:rFonts w:ascii="Arial" w:hAnsi="Arial" w:cs="Arial"/>
          <w:color w:val="000000"/>
        </w:rPr>
        <w:t>, (Accessed: 3</w:t>
      </w:r>
      <w:r w:rsidRPr="00BD3586">
        <w:rPr>
          <w:rFonts w:ascii="Arial" w:hAnsi="Arial" w:cs="Arial"/>
          <w:color w:val="000000"/>
          <w:vertAlign w:val="superscript"/>
        </w:rPr>
        <w:t>rd</w:t>
      </w:r>
      <w:r w:rsidRPr="00BD3586">
        <w:rPr>
          <w:rFonts w:ascii="Arial" w:hAnsi="Arial" w:cs="Arial"/>
          <w:color w:val="000000"/>
        </w:rPr>
        <w:t xml:space="preserve"> December 2023). </w:t>
      </w:r>
    </w:p>
    <w:p w14:paraId="767ADCCA" w14:textId="7B57FB3A" w:rsidR="00BD265B" w:rsidRDefault="00BD265B" w:rsidP="00BD265B">
      <w:pPr>
        <w:rPr>
          <w:rFonts w:ascii="Arial" w:hAnsi="Arial" w:cs="Arial"/>
        </w:rPr>
      </w:pPr>
      <w:r>
        <w:rPr>
          <w:rFonts w:ascii="Arial" w:hAnsi="Arial" w:cs="Arial"/>
        </w:rPr>
        <w:t>The Supreme Court (2018), ‘</w:t>
      </w:r>
      <w:r w:rsidRPr="002F5DFD">
        <w:rPr>
          <w:rFonts w:ascii="Arial" w:hAnsi="Arial" w:cs="Arial"/>
          <w:i/>
          <w:iCs/>
        </w:rPr>
        <w:t>Regency Villas Title Ltd and others</w:t>
      </w:r>
      <w:r>
        <w:rPr>
          <w:rFonts w:ascii="Arial" w:hAnsi="Arial" w:cs="Arial"/>
          <w:i/>
          <w:iCs/>
        </w:rPr>
        <w:t>’</w:t>
      </w:r>
      <w:r w:rsidRPr="002F5DFD">
        <w:rPr>
          <w:rFonts w:ascii="Arial" w:hAnsi="Arial" w:cs="Arial"/>
          <w:i/>
          <w:iCs/>
        </w:rPr>
        <w:t xml:space="preserve"> (Respondents/Cross-Appellants) v Diamond Resorts (Europe) Ltd and others (Appellants/Cross- Respondents),</w:t>
      </w:r>
      <w:r>
        <w:rPr>
          <w:rFonts w:ascii="Arial" w:hAnsi="Arial" w:cs="Arial"/>
        </w:rPr>
        <w:t xml:space="preserve"> supremecourt.uk, [online], Available at: </w:t>
      </w:r>
      <w:hyperlink r:id="rId12" w:history="1">
        <w:r w:rsidRPr="00996E66">
          <w:rPr>
            <w:rStyle w:val="Hyperlink"/>
            <w:rFonts w:ascii="Arial" w:hAnsi="Arial" w:cs="Arial"/>
          </w:rPr>
          <w:t>https://www.supremecourt.uk/cases/docs/uksc-2017-0083-judgment.pdf</w:t>
        </w:r>
      </w:hyperlink>
      <w:r>
        <w:rPr>
          <w:rFonts w:ascii="Arial" w:hAnsi="Arial" w:cs="Arial"/>
        </w:rPr>
        <w:t>, (Accessed: 4</w:t>
      </w:r>
      <w:r w:rsidRPr="002F5DFD">
        <w:rPr>
          <w:rFonts w:ascii="Arial" w:hAnsi="Arial" w:cs="Arial"/>
          <w:vertAlign w:val="superscript"/>
        </w:rPr>
        <w:t>th</w:t>
      </w:r>
      <w:r>
        <w:rPr>
          <w:rFonts w:ascii="Arial" w:hAnsi="Arial" w:cs="Arial"/>
        </w:rPr>
        <w:t xml:space="preserve"> December 2023). </w:t>
      </w:r>
    </w:p>
    <w:p w14:paraId="794DEC42" w14:textId="77777777" w:rsidR="00752F08" w:rsidRDefault="00752F08" w:rsidP="00BD265B">
      <w:pPr>
        <w:rPr>
          <w:rFonts w:ascii="Arial" w:hAnsi="Arial" w:cs="Arial"/>
        </w:rPr>
      </w:pPr>
    </w:p>
    <w:p w14:paraId="0B8A9206" w14:textId="150F0F36" w:rsidR="00BD265B" w:rsidRDefault="00BD265B" w:rsidP="00BD265B">
      <w:pPr>
        <w:pStyle w:val="NormalWeb"/>
        <w:spacing w:before="0" w:beforeAutospacing="0" w:after="240" w:afterAutospacing="0" w:line="360" w:lineRule="atLeast"/>
        <w:rPr>
          <w:rFonts w:ascii="Arial" w:hAnsi="Arial" w:cs="Arial"/>
          <w:color w:val="000000"/>
        </w:rPr>
      </w:pPr>
      <w:r>
        <w:rPr>
          <w:rFonts w:ascii="Arial" w:hAnsi="Arial" w:cs="Arial"/>
          <w:color w:val="000000"/>
        </w:rPr>
        <w:t>‘</w:t>
      </w:r>
      <w:r w:rsidRPr="00BD265B">
        <w:rPr>
          <w:rFonts w:ascii="Arial" w:hAnsi="Arial" w:cs="Arial"/>
          <w:color w:val="000000"/>
        </w:rPr>
        <w:t>Wright v Macadam</w:t>
      </w:r>
      <w:r>
        <w:rPr>
          <w:rFonts w:ascii="Arial" w:hAnsi="Arial" w:cs="Arial"/>
          <w:color w:val="000000"/>
        </w:rPr>
        <w:t>’</w:t>
      </w:r>
      <w:r w:rsidRPr="00BD265B">
        <w:rPr>
          <w:rFonts w:ascii="Arial" w:hAnsi="Arial" w:cs="Arial"/>
          <w:color w:val="000000"/>
        </w:rPr>
        <w:t xml:space="preserve"> [1949] 2 KB 744</w:t>
      </w:r>
      <w:r w:rsidRPr="00654A87">
        <w:rPr>
          <w:rFonts w:ascii="Arial" w:hAnsi="Arial" w:cs="Arial"/>
          <w:i/>
          <w:iCs/>
          <w:color w:val="000000"/>
        </w:rPr>
        <w:t xml:space="preserve">, </w:t>
      </w:r>
      <w:r w:rsidRPr="00654A87">
        <w:rPr>
          <w:rFonts w:ascii="Arial" w:hAnsi="Arial" w:cs="Arial"/>
          <w:color w:val="000000"/>
        </w:rPr>
        <w:t>Oxbridge Notes. (2020).</w:t>
      </w:r>
      <w:r w:rsidRPr="00654A87">
        <w:rPr>
          <w:rStyle w:val="apple-converted-space"/>
          <w:rFonts w:ascii="Arial" w:hAnsi="Arial" w:cs="Arial"/>
          <w:color w:val="000000"/>
        </w:rPr>
        <w:t> </w:t>
      </w:r>
      <w:r w:rsidRPr="00654A87">
        <w:rPr>
          <w:rFonts w:ascii="Arial" w:hAnsi="Arial" w:cs="Arial"/>
          <w:i/>
          <w:iCs/>
          <w:color w:val="000000"/>
        </w:rPr>
        <w:t>Wright v Macadam [1949] 2 KB 744 - Case Summary</w:t>
      </w:r>
      <w:r w:rsidRPr="00654A87">
        <w:rPr>
          <w:rFonts w:ascii="Arial" w:hAnsi="Arial" w:cs="Arial"/>
          <w:color w:val="000000"/>
        </w:rPr>
        <w:t xml:space="preserve">. [online] Available at: </w:t>
      </w:r>
      <w:hyperlink r:id="rId13" w:history="1">
        <w:r w:rsidRPr="00654A87">
          <w:rPr>
            <w:rStyle w:val="Hyperlink"/>
            <w:rFonts w:ascii="Arial" w:hAnsi="Arial" w:cs="Arial"/>
          </w:rPr>
          <w:t>https://www.oxbridgenotes.co.uk/law_cases/wright-v-macadam</w:t>
        </w:r>
      </w:hyperlink>
      <w:r w:rsidRPr="00654A87">
        <w:rPr>
          <w:rFonts w:ascii="Arial" w:hAnsi="Arial" w:cs="Arial"/>
          <w:color w:val="000000"/>
        </w:rPr>
        <w:t>, (Accessed: 14</w:t>
      </w:r>
      <w:r w:rsidRPr="00654A87">
        <w:rPr>
          <w:rFonts w:ascii="Arial" w:hAnsi="Arial" w:cs="Arial"/>
          <w:color w:val="000000"/>
          <w:vertAlign w:val="superscript"/>
        </w:rPr>
        <w:t>th</w:t>
      </w:r>
      <w:r w:rsidRPr="00654A87">
        <w:rPr>
          <w:rFonts w:ascii="Arial" w:hAnsi="Arial" w:cs="Arial"/>
          <w:color w:val="000000"/>
        </w:rPr>
        <w:t xml:space="preserve"> December 2023). </w:t>
      </w:r>
    </w:p>
    <w:p w14:paraId="734F1349" w14:textId="77777777" w:rsidR="00BD265B" w:rsidRPr="00BD265B" w:rsidRDefault="00BD265B" w:rsidP="005062D0">
      <w:pPr>
        <w:pStyle w:val="NormalWeb"/>
        <w:spacing w:before="0" w:beforeAutospacing="0" w:after="240" w:afterAutospacing="0" w:line="360" w:lineRule="atLeast"/>
        <w:rPr>
          <w:rFonts w:ascii="Arial" w:hAnsi="Arial" w:cs="Arial"/>
        </w:rPr>
      </w:pPr>
    </w:p>
    <w:p w14:paraId="22AEA7DD" w14:textId="65F985B3" w:rsidR="00BD265B" w:rsidRPr="00BD265B" w:rsidRDefault="00BD265B" w:rsidP="005062D0">
      <w:pPr>
        <w:pStyle w:val="NormalWeb"/>
        <w:spacing w:before="0" w:beforeAutospacing="0" w:after="240" w:afterAutospacing="0" w:line="360" w:lineRule="atLeast"/>
        <w:rPr>
          <w:rFonts w:ascii="Arial" w:hAnsi="Arial" w:cs="Arial"/>
          <w:b/>
          <w:bCs/>
          <w:color w:val="000000"/>
          <w:u w:val="single"/>
        </w:rPr>
      </w:pPr>
      <w:r w:rsidRPr="00BD265B">
        <w:rPr>
          <w:rFonts w:ascii="Arial" w:hAnsi="Arial" w:cs="Arial"/>
          <w:b/>
          <w:bCs/>
          <w:color w:val="000000"/>
          <w:u w:val="single"/>
        </w:rPr>
        <w:t xml:space="preserve">Legislation: </w:t>
      </w:r>
    </w:p>
    <w:p w14:paraId="55E61AAC" w14:textId="308B03B6" w:rsidR="00BE0EDE" w:rsidRDefault="005062D0" w:rsidP="00BD3586">
      <w:pPr>
        <w:pStyle w:val="NormalWeb"/>
        <w:spacing w:before="0" w:beforeAutospacing="0" w:after="240" w:afterAutospacing="0" w:line="360" w:lineRule="atLeast"/>
        <w:rPr>
          <w:rFonts w:ascii="Arial" w:hAnsi="Arial" w:cs="Arial"/>
        </w:rPr>
      </w:pPr>
      <w:r>
        <w:rPr>
          <w:rFonts w:ascii="Arial" w:hAnsi="Arial" w:cs="Arial"/>
        </w:rPr>
        <w:t xml:space="preserve">Law of Property Act </w:t>
      </w:r>
      <w:r w:rsidR="00BE0EDE">
        <w:rPr>
          <w:rFonts w:ascii="Arial" w:hAnsi="Arial" w:cs="Arial"/>
        </w:rPr>
        <w:t xml:space="preserve">1925 </w:t>
      </w:r>
      <w:r w:rsidRPr="00B12F02">
        <w:rPr>
          <w:rFonts w:ascii="Arial" w:hAnsi="Arial" w:cs="Arial"/>
        </w:rPr>
        <w:t>section 205</w:t>
      </w:r>
      <w:r w:rsidR="00BE0EDE">
        <w:rPr>
          <w:rFonts w:ascii="Arial" w:hAnsi="Arial" w:cs="Arial"/>
        </w:rPr>
        <w:t xml:space="preserve">, Available at: </w:t>
      </w:r>
      <w:hyperlink r:id="rId14" w:history="1">
        <w:r w:rsidR="00BE0EDE" w:rsidRPr="00996E66">
          <w:rPr>
            <w:rStyle w:val="Hyperlink"/>
            <w:rFonts w:ascii="Arial" w:hAnsi="Arial" w:cs="Arial"/>
          </w:rPr>
          <w:t>https://www.legislation.gov.uk/ukpga/Geo5/15-16/20/section/205</w:t>
        </w:r>
      </w:hyperlink>
      <w:r w:rsidR="00BE0EDE">
        <w:rPr>
          <w:rFonts w:ascii="Arial" w:hAnsi="Arial" w:cs="Arial"/>
        </w:rPr>
        <w:t>, (Accessed: 3</w:t>
      </w:r>
      <w:r w:rsidR="00BE0EDE" w:rsidRPr="00BE0EDE">
        <w:rPr>
          <w:rFonts w:ascii="Arial" w:hAnsi="Arial" w:cs="Arial"/>
          <w:vertAlign w:val="superscript"/>
        </w:rPr>
        <w:t>rd</w:t>
      </w:r>
      <w:r w:rsidR="00BE0EDE">
        <w:rPr>
          <w:rFonts w:ascii="Arial" w:hAnsi="Arial" w:cs="Arial"/>
        </w:rPr>
        <w:t xml:space="preserve"> December 2023). </w:t>
      </w:r>
    </w:p>
    <w:p w14:paraId="04072F14" w14:textId="5006E276" w:rsidR="00047688" w:rsidRPr="00047688" w:rsidRDefault="00BD265B" w:rsidP="00047688">
      <w:pPr>
        <w:pStyle w:val="NormalWeb"/>
        <w:spacing w:before="0" w:beforeAutospacing="0" w:after="240" w:afterAutospacing="0" w:line="360" w:lineRule="atLeast"/>
        <w:rPr>
          <w:rFonts w:ascii="Arial" w:hAnsi="Arial" w:cs="Arial"/>
          <w:b/>
          <w:bCs/>
          <w:u w:val="single"/>
        </w:rPr>
      </w:pPr>
      <w:r w:rsidRPr="00BD265B">
        <w:rPr>
          <w:rFonts w:ascii="Arial" w:hAnsi="Arial" w:cs="Arial"/>
          <w:b/>
          <w:bCs/>
          <w:u w:val="single"/>
        </w:rPr>
        <w:t xml:space="preserve">References: </w:t>
      </w:r>
    </w:p>
    <w:p w14:paraId="22A5BA0E" w14:textId="77777777" w:rsidR="00047688" w:rsidRPr="00BD265B" w:rsidRDefault="00047688" w:rsidP="002F5DFD">
      <w:pPr>
        <w:rPr>
          <w:rFonts w:ascii="Arial" w:hAnsi="Arial" w:cs="Arial"/>
        </w:rPr>
      </w:pPr>
    </w:p>
    <w:p w14:paraId="4ADF6FDF" w14:textId="77777777" w:rsidR="00047688" w:rsidRPr="00BD265B" w:rsidRDefault="00047688" w:rsidP="000253E6">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 xml:space="preserve">Bevan, C. (2021). </w:t>
      </w:r>
      <w:r w:rsidRPr="00BD265B">
        <w:rPr>
          <w:rFonts w:ascii="Arial" w:hAnsi="Arial" w:cs="Arial"/>
          <w:i/>
          <w:iCs/>
          <w:color w:val="000000"/>
        </w:rPr>
        <w:t>The Law of Fixtures and chattels: recalibration, Rationalisation and Reform.</w:t>
      </w:r>
      <w:r w:rsidRPr="00BD265B">
        <w:rPr>
          <w:rStyle w:val="apple-converted-space"/>
          <w:rFonts w:ascii="Arial" w:hAnsi="Arial" w:cs="Arial"/>
          <w:color w:val="000000"/>
        </w:rPr>
        <w:t> </w:t>
      </w:r>
      <w:r w:rsidRPr="00BD265B">
        <w:rPr>
          <w:rFonts w:ascii="Arial" w:hAnsi="Arial" w:cs="Arial"/>
          <w:i/>
          <w:iCs/>
          <w:color w:val="000000"/>
        </w:rPr>
        <w:t>Legal Studies</w:t>
      </w:r>
      <w:r w:rsidRPr="00BD265B">
        <w:rPr>
          <w:rFonts w:ascii="Arial" w:hAnsi="Arial" w:cs="Arial"/>
          <w:color w:val="000000"/>
        </w:rPr>
        <w:t xml:space="preserve">, 42(2), pp.1–18. Available at: </w:t>
      </w:r>
      <w:hyperlink r:id="rId15" w:history="1">
        <w:r w:rsidRPr="00BD265B">
          <w:rPr>
            <w:rStyle w:val="Hyperlink"/>
            <w:rFonts w:ascii="Arial" w:hAnsi="Arial" w:cs="Arial"/>
          </w:rPr>
          <w:t>https://www.cambridge.org/core/journals/legal-studies/article/law-of-fixtures-and-chattels-recalibration-rationalisation-and-reform/EE9FDF059B385809C97DC5EC6B8BCD75</w:t>
        </w:r>
      </w:hyperlink>
      <w:r w:rsidRPr="00BD265B">
        <w:rPr>
          <w:rFonts w:ascii="Arial" w:hAnsi="Arial" w:cs="Arial"/>
          <w:color w:val="000000"/>
        </w:rPr>
        <w:t>, (Accessed: 15</w:t>
      </w:r>
      <w:r w:rsidRPr="00BD265B">
        <w:rPr>
          <w:rFonts w:ascii="Arial" w:hAnsi="Arial" w:cs="Arial"/>
          <w:color w:val="000000"/>
          <w:vertAlign w:val="superscript"/>
        </w:rPr>
        <w:t>th</w:t>
      </w:r>
      <w:r w:rsidRPr="00BD265B">
        <w:rPr>
          <w:rFonts w:ascii="Arial" w:hAnsi="Arial" w:cs="Arial"/>
          <w:color w:val="000000"/>
        </w:rPr>
        <w:t xml:space="preserve"> December 2023). </w:t>
      </w:r>
    </w:p>
    <w:p w14:paraId="78D38E1B" w14:textId="332A979E" w:rsidR="00047688" w:rsidRDefault="00047688">
      <w:pPr>
        <w:rPr>
          <w:rFonts w:ascii="Arial" w:hAnsi="Arial" w:cs="Arial"/>
        </w:rPr>
      </w:pPr>
      <w:r w:rsidRPr="00BD265B">
        <w:rPr>
          <w:rFonts w:ascii="Arial" w:hAnsi="Arial" w:cs="Arial"/>
        </w:rPr>
        <w:t xml:space="preserve">Clarke, A (2020), </w:t>
      </w:r>
      <w:r w:rsidRPr="00BD265B">
        <w:rPr>
          <w:rFonts w:ascii="Arial" w:hAnsi="Arial" w:cs="Arial"/>
          <w:i/>
          <w:iCs/>
        </w:rPr>
        <w:t>Principles of Property Law</w:t>
      </w:r>
      <w:r w:rsidRPr="00BD265B">
        <w:rPr>
          <w:rFonts w:ascii="Arial" w:hAnsi="Arial" w:cs="Arial"/>
        </w:rPr>
        <w:t xml:space="preserve">, Cambridge University Press. </w:t>
      </w:r>
    </w:p>
    <w:p w14:paraId="04075E92" w14:textId="77777777" w:rsidR="00047688" w:rsidRPr="00BD265B" w:rsidRDefault="00047688">
      <w:pPr>
        <w:rPr>
          <w:rFonts w:ascii="Arial" w:hAnsi="Arial" w:cs="Arial"/>
        </w:rPr>
      </w:pPr>
    </w:p>
    <w:p w14:paraId="66FFA8AD" w14:textId="77777777" w:rsidR="00047688" w:rsidRPr="00BD265B" w:rsidRDefault="00047688" w:rsidP="003B3553">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Graw, S. (2000). Fixtures and the ‘Purpose of Annexation’ Test.</w:t>
      </w:r>
      <w:r w:rsidRPr="00BD265B">
        <w:rPr>
          <w:rStyle w:val="apple-converted-space"/>
          <w:rFonts w:ascii="Arial" w:hAnsi="Arial" w:cs="Arial"/>
          <w:color w:val="000000"/>
        </w:rPr>
        <w:t> </w:t>
      </w:r>
      <w:r w:rsidRPr="00BD265B">
        <w:rPr>
          <w:rFonts w:ascii="Arial" w:hAnsi="Arial" w:cs="Arial"/>
          <w:i/>
          <w:iCs/>
          <w:color w:val="000000"/>
        </w:rPr>
        <w:t>Queensland Lawyer</w:t>
      </w:r>
      <w:r w:rsidRPr="00BD265B">
        <w:rPr>
          <w:rFonts w:ascii="Arial" w:hAnsi="Arial" w:cs="Arial"/>
          <w:color w:val="000000"/>
        </w:rPr>
        <w:t xml:space="preserve">, [online] 21, pp.32–39. Available at: </w:t>
      </w:r>
      <w:hyperlink r:id="rId16" w:history="1">
        <w:r w:rsidRPr="00BD265B">
          <w:rPr>
            <w:rStyle w:val="Hyperlink"/>
            <w:rFonts w:ascii="Arial" w:hAnsi="Arial" w:cs="Arial"/>
          </w:rPr>
          <w:t>https://researchonline.jcu.edu.au/13034/</w:t>
        </w:r>
      </w:hyperlink>
      <w:r w:rsidRPr="00BD265B">
        <w:rPr>
          <w:rFonts w:ascii="Arial" w:hAnsi="Arial" w:cs="Arial"/>
          <w:color w:val="000000"/>
        </w:rPr>
        <w:t>, (Accessed: 15</w:t>
      </w:r>
      <w:r w:rsidRPr="00BD265B">
        <w:rPr>
          <w:rFonts w:ascii="Arial" w:hAnsi="Arial" w:cs="Arial"/>
          <w:color w:val="000000"/>
          <w:vertAlign w:val="superscript"/>
        </w:rPr>
        <w:t>th</w:t>
      </w:r>
      <w:r w:rsidRPr="00BD265B">
        <w:rPr>
          <w:rFonts w:ascii="Arial" w:hAnsi="Arial" w:cs="Arial"/>
          <w:color w:val="000000"/>
        </w:rPr>
        <w:t xml:space="preserve"> December 2023). </w:t>
      </w:r>
    </w:p>
    <w:p w14:paraId="78F6F340" w14:textId="2EEEE690" w:rsidR="00047688" w:rsidRDefault="00047688">
      <w:pPr>
        <w:rPr>
          <w:rFonts w:ascii="Arial" w:hAnsi="Arial" w:cs="Arial"/>
        </w:rPr>
      </w:pPr>
      <w:r w:rsidRPr="00BD265B">
        <w:rPr>
          <w:rFonts w:ascii="Arial" w:hAnsi="Arial" w:cs="Arial"/>
        </w:rPr>
        <w:t xml:space="preserve">Harris, C and </w:t>
      </w:r>
      <w:proofErr w:type="spellStart"/>
      <w:r w:rsidRPr="00BD265B">
        <w:rPr>
          <w:rFonts w:ascii="Arial" w:hAnsi="Arial" w:cs="Arial"/>
        </w:rPr>
        <w:t>Rodell</w:t>
      </w:r>
      <w:proofErr w:type="spellEnd"/>
      <w:r w:rsidRPr="00BD265B">
        <w:rPr>
          <w:rFonts w:ascii="Arial" w:hAnsi="Arial" w:cs="Arial"/>
        </w:rPr>
        <w:t xml:space="preserve">, A (2022), </w:t>
      </w:r>
      <w:r w:rsidRPr="00BD265B">
        <w:rPr>
          <w:rFonts w:ascii="Arial" w:hAnsi="Arial" w:cs="Arial"/>
          <w:i/>
          <w:iCs/>
        </w:rPr>
        <w:t>Property Law and Practice</w:t>
      </w:r>
      <w:r w:rsidRPr="00BD265B">
        <w:rPr>
          <w:rFonts w:ascii="Arial" w:hAnsi="Arial" w:cs="Arial"/>
        </w:rPr>
        <w:t xml:space="preserve">, College of Law Publishing. </w:t>
      </w:r>
    </w:p>
    <w:p w14:paraId="1E0FE2AE" w14:textId="6277E1CF" w:rsidR="0041594B" w:rsidRDefault="0041594B">
      <w:pPr>
        <w:rPr>
          <w:rFonts w:ascii="Arial" w:hAnsi="Arial" w:cs="Arial"/>
        </w:rPr>
      </w:pPr>
    </w:p>
    <w:p w14:paraId="2C1EAFAC" w14:textId="03197BE5" w:rsidR="0041594B" w:rsidRDefault="0041594B">
      <w:pPr>
        <w:rPr>
          <w:rFonts w:ascii="Arial" w:hAnsi="Arial" w:cs="Arial"/>
        </w:rPr>
      </w:pPr>
      <w:r>
        <w:rPr>
          <w:rFonts w:ascii="Arial" w:hAnsi="Arial" w:cs="Arial"/>
        </w:rPr>
        <w:t xml:space="preserve">Heart, T, Clarke, S and </w:t>
      </w:r>
      <w:proofErr w:type="spellStart"/>
      <w:r>
        <w:rPr>
          <w:rFonts w:ascii="Arial" w:hAnsi="Arial" w:cs="Arial"/>
        </w:rPr>
        <w:t>Fazzani</w:t>
      </w:r>
      <w:proofErr w:type="spellEnd"/>
      <w:r>
        <w:rPr>
          <w:rFonts w:ascii="Arial" w:hAnsi="Arial" w:cs="Arial"/>
        </w:rPr>
        <w:t xml:space="preserve">, L (2013), Intellectual Property Law, Palgrave Macmillan. </w:t>
      </w:r>
    </w:p>
    <w:p w14:paraId="6D3A944B" w14:textId="77777777" w:rsidR="00752F08" w:rsidRPr="00BD265B" w:rsidRDefault="00752F08">
      <w:pPr>
        <w:rPr>
          <w:rFonts w:ascii="Arial" w:hAnsi="Arial" w:cs="Arial"/>
        </w:rPr>
      </w:pPr>
    </w:p>
    <w:p w14:paraId="34DEC880" w14:textId="77777777" w:rsidR="00047688" w:rsidRPr="00BD265B" w:rsidRDefault="00047688" w:rsidP="001918E1">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Hill, S. (2023).</w:t>
      </w:r>
      <w:r w:rsidRPr="00BD265B">
        <w:rPr>
          <w:rStyle w:val="apple-converted-space"/>
          <w:rFonts w:ascii="Arial" w:hAnsi="Arial" w:cs="Arial"/>
          <w:color w:val="000000"/>
        </w:rPr>
        <w:t> </w:t>
      </w:r>
      <w:r w:rsidRPr="00BD265B">
        <w:rPr>
          <w:rFonts w:ascii="Arial" w:hAnsi="Arial" w:cs="Arial"/>
          <w:i/>
          <w:iCs/>
          <w:color w:val="000000"/>
        </w:rPr>
        <w:t>Affixing Objects to Land/Buildings - Losing Title to the Objects</w:t>
      </w:r>
      <w:r w:rsidRPr="00BD265B">
        <w:rPr>
          <w:rFonts w:ascii="Arial" w:hAnsi="Arial" w:cs="Arial"/>
          <w:color w:val="000000"/>
        </w:rPr>
        <w:t xml:space="preserve">. [online] 33 Bedford Row. Available at: </w:t>
      </w:r>
      <w:hyperlink r:id="rId17" w:history="1">
        <w:r w:rsidRPr="00BD265B">
          <w:rPr>
            <w:rStyle w:val="Hyperlink"/>
            <w:rFonts w:ascii="Arial" w:hAnsi="Arial" w:cs="Arial"/>
          </w:rPr>
          <w:t>https://www.33bedfordrow.co.uk/insights/articles/affixing-objects-to-land-or-buildings-losing-title-to-the-objects</w:t>
        </w:r>
      </w:hyperlink>
      <w:r w:rsidRPr="00BD265B">
        <w:rPr>
          <w:rFonts w:ascii="Arial" w:hAnsi="Arial" w:cs="Arial"/>
          <w:color w:val="000000"/>
        </w:rPr>
        <w:t>, (Accessed: 15</w:t>
      </w:r>
      <w:r w:rsidRPr="00BD265B">
        <w:rPr>
          <w:rFonts w:ascii="Arial" w:hAnsi="Arial" w:cs="Arial"/>
          <w:color w:val="000000"/>
          <w:vertAlign w:val="superscript"/>
        </w:rPr>
        <w:t>th</w:t>
      </w:r>
      <w:r w:rsidRPr="00BD265B">
        <w:rPr>
          <w:rFonts w:ascii="Arial" w:hAnsi="Arial" w:cs="Arial"/>
          <w:color w:val="000000"/>
        </w:rPr>
        <w:t xml:space="preserve"> December 2023). </w:t>
      </w:r>
    </w:p>
    <w:p w14:paraId="61BE9FDA" w14:textId="77777777" w:rsidR="00047688" w:rsidRPr="00BD265B" w:rsidRDefault="00047688" w:rsidP="002F5DFD">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lastRenderedPageBreak/>
        <w:t>Hughes, P (2019).</w:t>
      </w:r>
      <w:r w:rsidRPr="00BD265B">
        <w:rPr>
          <w:rStyle w:val="apple-converted-space"/>
          <w:rFonts w:ascii="Arial" w:hAnsi="Arial" w:cs="Arial"/>
          <w:color w:val="000000"/>
        </w:rPr>
        <w:t> </w:t>
      </w:r>
      <w:r w:rsidRPr="00BD265B">
        <w:rPr>
          <w:rFonts w:ascii="Arial" w:hAnsi="Arial" w:cs="Arial"/>
          <w:i/>
          <w:iCs/>
          <w:color w:val="000000"/>
        </w:rPr>
        <w:t>Car parking-a legal right?</w:t>
      </w:r>
      <w:r w:rsidRPr="00BD265B">
        <w:rPr>
          <w:rStyle w:val="apple-converted-space"/>
          <w:rFonts w:ascii="Arial" w:hAnsi="Arial" w:cs="Arial"/>
          <w:color w:val="000000"/>
        </w:rPr>
        <w:t> </w:t>
      </w:r>
      <w:r w:rsidRPr="00BD265B">
        <w:rPr>
          <w:rFonts w:ascii="Arial" w:hAnsi="Arial" w:cs="Arial"/>
          <w:color w:val="000000"/>
        </w:rPr>
        <w:t xml:space="preserve">[online] Hughes Paddison. Available at: </w:t>
      </w:r>
      <w:hyperlink r:id="rId18" w:anchor=":~:text=It%20is%20very%20common%2C%20therefore" w:history="1">
        <w:r w:rsidRPr="00BD265B">
          <w:rPr>
            <w:rStyle w:val="Hyperlink"/>
            <w:rFonts w:ascii="Arial" w:hAnsi="Arial" w:cs="Arial"/>
          </w:rPr>
          <w:t>https://www.hughes-paddison.co.uk/site/blog/commercial_property/car-parkinga-legal-right#:~:text=It%20is%20very%20common%2C%20therefore</w:t>
        </w:r>
      </w:hyperlink>
      <w:r w:rsidRPr="00BD265B">
        <w:rPr>
          <w:rFonts w:ascii="Arial" w:hAnsi="Arial" w:cs="Arial"/>
          <w:color w:val="000000"/>
        </w:rPr>
        <w:t>, (Accessed: 4</w:t>
      </w:r>
      <w:r w:rsidRPr="00BD265B">
        <w:rPr>
          <w:rFonts w:ascii="Arial" w:hAnsi="Arial" w:cs="Arial"/>
          <w:color w:val="000000"/>
          <w:vertAlign w:val="superscript"/>
        </w:rPr>
        <w:t>th</w:t>
      </w:r>
      <w:r w:rsidRPr="00BD265B">
        <w:rPr>
          <w:rFonts w:ascii="Arial" w:hAnsi="Arial" w:cs="Arial"/>
          <w:color w:val="000000"/>
        </w:rPr>
        <w:t xml:space="preserve"> December 2023). </w:t>
      </w:r>
    </w:p>
    <w:p w14:paraId="690767BA" w14:textId="77777777" w:rsidR="00047688" w:rsidRPr="00BD265B" w:rsidRDefault="00047688" w:rsidP="003B3553">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Luther, P. (2004).</w:t>
      </w:r>
      <w:r w:rsidRPr="00BD265B">
        <w:rPr>
          <w:rStyle w:val="apple-converted-space"/>
          <w:rFonts w:ascii="Arial" w:hAnsi="Arial" w:cs="Arial"/>
          <w:color w:val="000000"/>
        </w:rPr>
        <w:t> </w:t>
      </w:r>
      <w:r w:rsidRPr="00BD265B">
        <w:rPr>
          <w:rStyle w:val="apple-converted-space"/>
          <w:rFonts w:ascii="Arial" w:hAnsi="Arial" w:cs="Arial"/>
          <w:i/>
          <w:iCs/>
          <w:color w:val="000000"/>
        </w:rPr>
        <w:t>Fixtures and Chattels: A Question of more or less…</w:t>
      </w:r>
      <w:r w:rsidRPr="00BD265B">
        <w:rPr>
          <w:rStyle w:val="apple-converted-space"/>
          <w:rFonts w:ascii="Arial" w:hAnsi="Arial" w:cs="Arial"/>
          <w:color w:val="000000"/>
        </w:rPr>
        <w:t xml:space="preserve">, </w:t>
      </w:r>
      <w:r w:rsidRPr="00BD265B">
        <w:rPr>
          <w:rFonts w:ascii="Arial" w:hAnsi="Arial" w:cs="Arial"/>
          <w:color w:val="000000"/>
        </w:rPr>
        <w:t xml:space="preserve">[online] academic.oup.com. Available at: </w:t>
      </w:r>
      <w:hyperlink r:id="rId19" w:history="1">
        <w:r w:rsidRPr="00BD265B">
          <w:rPr>
            <w:rStyle w:val="Hyperlink"/>
            <w:rFonts w:ascii="Arial" w:hAnsi="Arial" w:cs="Arial"/>
          </w:rPr>
          <w:t>https://academic.oup.com/ojls/article/24/4/597/1519390?login=true</w:t>
        </w:r>
      </w:hyperlink>
      <w:r w:rsidRPr="00BD265B">
        <w:rPr>
          <w:rFonts w:ascii="Arial" w:hAnsi="Arial" w:cs="Arial"/>
          <w:color w:val="000000"/>
        </w:rPr>
        <w:t>, (Accessed: 15</w:t>
      </w:r>
      <w:r w:rsidRPr="00BD265B">
        <w:rPr>
          <w:rFonts w:ascii="Arial" w:hAnsi="Arial" w:cs="Arial"/>
          <w:color w:val="000000"/>
          <w:vertAlign w:val="superscript"/>
        </w:rPr>
        <w:t>th</w:t>
      </w:r>
      <w:r w:rsidRPr="00BD265B">
        <w:rPr>
          <w:rFonts w:ascii="Arial" w:hAnsi="Arial" w:cs="Arial"/>
          <w:color w:val="000000"/>
        </w:rPr>
        <w:t xml:space="preserve"> December 2023). </w:t>
      </w:r>
    </w:p>
    <w:p w14:paraId="5C233C3C" w14:textId="77777777" w:rsidR="00047688" w:rsidRPr="00BD265B" w:rsidRDefault="00047688" w:rsidP="00547120">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Morrish Solicitors (2016).</w:t>
      </w:r>
      <w:r w:rsidRPr="00BD265B">
        <w:rPr>
          <w:rStyle w:val="apple-converted-space"/>
          <w:rFonts w:ascii="Arial" w:hAnsi="Arial" w:cs="Arial"/>
          <w:color w:val="000000"/>
        </w:rPr>
        <w:t> </w:t>
      </w:r>
      <w:r w:rsidRPr="00BD265B">
        <w:rPr>
          <w:rFonts w:ascii="Arial" w:hAnsi="Arial" w:cs="Arial"/>
          <w:i/>
          <w:iCs/>
          <w:color w:val="000000"/>
        </w:rPr>
        <w:t>What is the difference between a Chattel and a Fixture?</w:t>
      </w:r>
      <w:r w:rsidRPr="00BD265B">
        <w:rPr>
          <w:rStyle w:val="apple-converted-space"/>
          <w:rFonts w:ascii="Arial" w:hAnsi="Arial" w:cs="Arial"/>
          <w:color w:val="000000"/>
        </w:rPr>
        <w:t> </w:t>
      </w:r>
      <w:r w:rsidRPr="00BD265B">
        <w:rPr>
          <w:rFonts w:ascii="Arial" w:hAnsi="Arial" w:cs="Arial"/>
          <w:color w:val="000000"/>
        </w:rPr>
        <w:t xml:space="preserve">[online] Morrish Solicitors. Available at: </w:t>
      </w:r>
      <w:hyperlink r:id="rId20" w:anchor=":~:text=Chattels%20are%20items%20of%20personal" w:history="1">
        <w:r w:rsidRPr="00BD265B">
          <w:rPr>
            <w:rStyle w:val="Hyperlink"/>
            <w:rFonts w:ascii="Arial" w:hAnsi="Arial" w:cs="Arial"/>
          </w:rPr>
          <w:t>https://www.morrishsolicitors.com/what-is-the-difference-between-chattel-and-fixture/#:~:text=Chattels%20are%20items%20of%20personal</w:t>
        </w:r>
      </w:hyperlink>
      <w:r w:rsidRPr="00BD265B">
        <w:rPr>
          <w:rFonts w:ascii="Arial" w:hAnsi="Arial" w:cs="Arial"/>
          <w:color w:val="000000"/>
        </w:rPr>
        <w:t>, (Accessed: 14</w:t>
      </w:r>
      <w:r w:rsidRPr="00BD265B">
        <w:rPr>
          <w:rFonts w:ascii="Arial" w:hAnsi="Arial" w:cs="Arial"/>
          <w:color w:val="000000"/>
          <w:vertAlign w:val="superscript"/>
        </w:rPr>
        <w:t>th</w:t>
      </w:r>
      <w:r w:rsidRPr="00BD265B">
        <w:rPr>
          <w:rFonts w:ascii="Arial" w:hAnsi="Arial" w:cs="Arial"/>
          <w:color w:val="000000"/>
        </w:rPr>
        <w:t xml:space="preserve"> December 2023). </w:t>
      </w:r>
    </w:p>
    <w:p w14:paraId="4ECAB8B1" w14:textId="77777777" w:rsidR="00047688" w:rsidRPr="00BD265B" w:rsidRDefault="00047688" w:rsidP="00772F4A">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Oxford University Press (2023).</w:t>
      </w:r>
      <w:r w:rsidRPr="00BD265B">
        <w:rPr>
          <w:rStyle w:val="apple-converted-space"/>
          <w:rFonts w:ascii="Arial" w:hAnsi="Arial" w:cs="Arial"/>
          <w:color w:val="000000"/>
        </w:rPr>
        <w:t> </w:t>
      </w:r>
      <w:r w:rsidRPr="00BD265B">
        <w:rPr>
          <w:rFonts w:ascii="Arial" w:hAnsi="Arial" w:cs="Arial"/>
          <w:i/>
          <w:iCs/>
          <w:color w:val="000000"/>
        </w:rPr>
        <w:t>Chapter 1 Interactive key cases - Land Law Concentrate 8e Student Resources - Learning Link</w:t>
      </w:r>
      <w:r w:rsidRPr="00BD265B">
        <w:rPr>
          <w:rFonts w:ascii="Arial" w:hAnsi="Arial" w:cs="Arial"/>
          <w:color w:val="000000"/>
        </w:rPr>
        <w:t xml:space="preserve">. [online] learninglink.oup.com. Available at: </w:t>
      </w:r>
      <w:hyperlink r:id="rId21" w:history="1">
        <w:r w:rsidRPr="00BD265B">
          <w:rPr>
            <w:rStyle w:val="Hyperlink"/>
            <w:rFonts w:ascii="Arial" w:hAnsi="Arial" w:cs="Arial"/>
          </w:rPr>
          <w:t>https://learninglink.oup.com/access/content/sayles-concentrate8e-student-resources/sayles-concentrate8e-chapter-1-interactive-key-cases</w:t>
        </w:r>
      </w:hyperlink>
      <w:r w:rsidRPr="00BD265B">
        <w:rPr>
          <w:rFonts w:ascii="Arial" w:hAnsi="Arial" w:cs="Arial"/>
          <w:color w:val="000000"/>
        </w:rPr>
        <w:t>, (Accessed: 15</w:t>
      </w:r>
      <w:r w:rsidRPr="00BD265B">
        <w:rPr>
          <w:rFonts w:ascii="Arial" w:hAnsi="Arial" w:cs="Arial"/>
          <w:color w:val="000000"/>
          <w:vertAlign w:val="superscript"/>
        </w:rPr>
        <w:t>th</w:t>
      </w:r>
      <w:r w:rsidRPr="00BD265B">
        <w:rPr>
          <w:rFonts w:ascii="Arial" w:hAnsi="Arial" w:cs="Arial"/>
          <w:color w:val="000000"/>
        </w:rPr>
        <w:t xml:space="preserve"> December 2023). </w:t>
      </w:r>
    </w:p>
    <w:p w14:paraId="521C318C" w14:textId="77777777" w:rsidR="00047688" w:rsidRPr="00BD265B" w:rsidRDefault="00047688">
      <w:pPr>
        <w:rPr>
          <w:rFonts w:ascii="Arial" w:hAnsi="Arial" w:cs="Arial"/>
        </w:rPr>
      </w:pPr>
      <w:r w:rsidRPr="00BD265B">
        <w:rPr>
          <w:rFonts w:ascii="Arial" w:hAnsi="Arial" w:cs="Arial"/>
        </w:rPr>
        <w:t xml:space="preserve">Richards, M (2020), </w:t>
      </w:r>
      <w:r w:rsidRPr="00BD265B">
        <w:rPr>
          <w:rFonts w:ascii="Arial" w:hAnsi="Arial" w:cs="Arial"/>
          <w:i/>
          <w:iCs/>
        </w:rPr>
        <w:t>Property Law</w:t>
      </w:r>
      <w:r w:rsidRPr="00BD265B">
        <w:rPr>
          <w:rFonts w:ascii="Arial" w:hAnsi="Arial" w:cs="Arial"/>
        </w:rPr>
        <w:t xml:space="preserve">, Fourteenth Edition, Oxford University Press. </w:t>
      </w:r>
    </w:p>
    <w:p w14:paraId="1EA59A22" w14:textId="49B4F8D2" w:rsidR="00047688" w:rsidRDefault="00047688" w:rsidP="00654A87">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 xml:space="preserve">Tanfield Chambers (2017), </w:t>
      </w:r>
      <w:r w:rsidRPr="00BD265B">
        <w:rPr>
          <w:rFonts w:ascii="Arial" w:hAnsi="Arial" w:cs="Arial"/>
          <w:i/>
          <w:iCs/>
          <w:color w:val="000000"/>
        </w:rPr>
        <w:t>Can a parking right be an easement?</w:t>
      </w:r>
      <w:r w:rsidRPr="00BD265B">
        <w:rPr>
          <w:rStyle w:val="apple-converted-space"/>
          <w:rFonts w:ascii="Arial" w:hAnsi="Arial" w:cs="Arial"/>
          <w:color w:val="000000"/>
        </w:rPr>
        <w:t> </w:t>
      </w:r>
      <w:r w:rsidRPr="00BD265B">
        <w:rPr>
          <w:rFonts w:ascii="Arial" w:hAnsi="Arial" w:cs="Arial"/>
          <w:color w:val="000000"/>
        </w:rPr>
        <w:t xml:space="preserve">[online] Tanfield Chambers. Available at: </w:t>
      </w:r>
      <w:hyperlink r:id="rId22" w:history="1">
        <w:r w:rsidRPr="00BD265B">
          <w:rPr>
            <w:rStyle w:val="Hyperlink"/>
            <w:rFonts w:ascii="Arial" w:hAnsi="Arial" w:cs="Arial"/>
          </w:rPr>
          <w:t>https://www.tanfieldchambers.co.uk/2017/11/10/can-a-parking-right-be-an-easement/</w:t>
        </w:r>
      </w:hyperlink>
      <w:r w:rsidRPr="00BD265B">
        <w:rPr>
          <w:rFonts w:ascii="Arial" w:hAnsi="Arial" w:cs="Arial"/>
          <w:color w:val="000000"/>
        </w:rPr>
        <w:t>, (Accessed: 14</w:t>
      </w:r>
      <w:r w:rsidRPr="00BD265B">
        <w:rPr>
          <w:rFonts w:ascii="Arial" w:hAnsi="Arial" w:cs="Arial"/>
          <w:color w:val="000000"/>
          <w:vertAlign w:val="superscript"/>
        </w:rPr>
        <w:t>th</w:t>
      </w:r>
      <w:r w:rsidRPr="00BD265B">
        <w:rPr>
          <w:rFonts w:ascii="Arial" w:hAnsi="Arial" w:cs="Arial"/>
          <w:color w:val="000000"/>
        </w:rPr>
        <w:t xml:space="preserve"> December 2023). </w:t>
      </w:r>
    </w:p>
    <w:p w14:paraId="3EBA5DB1" w14:textId="77E88979" w:rsidR="0041594B" w:rsidRPr="00BD265B" w:rsidRDefault="0041594B" w:rsidP="00654A87">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Thomas, M (2020), </w:t>
      </w:r>
      <w:r w:rsidRPr="0041594B">
        <w:rPr>
          <w:rFonts w:ascii="Arial" w:hAnsi="Arial" w:cs="Arial"/>
          <w:i/>
          <w:iCs/>
          <w:color w:val="000000"/>
        </w:rPr>
        <w:t>Blackstone’s Statutes on Property Law 2020-2021</w:t>
      </w:r>
      <w:r>
        <w:rPr>
          <w:rFonts w:ascii="Arial" w:hAnsi="Arial" w:cs="Arial"/>
          <w:color w:val="000000"/>
        </w:rPr>
        <w:t xml:space="preserve">, Twenty Eighth Edition, Oxford University Press. </w:t>
      </w:r>
    </w:p>
    <w:p w14:paraId="5216CEC3" w14:textId="77777777" w:rsidR="00047688" w:rsidRPr="00BD265B" w:rsidRDefault="00047688" w:rsidP="00133C75">
      <w:pPr>
        <w:pStyle w:val="NormalWeb"/>
        <w:spacing w:before="0" w:beforeAutospacing="0" w:after="240" w:afterAutospacing="0" w:line="360" w:lineRule="atLeast"/>
        <w:rPr>
          <w:rFonts w:ascii="Arial" w:hAnsi="Arial" w:cs="Arial"/>
          <w:color w:val="000000"/>
        </w:rPr>
      </w:pPr>
      <w:r w:rsidRPr="00BD265B">
        <w:rPr>
          <w:rFonts w:ascii="Arial" w:hAnsi="Arial" w:cs="Arial"/>
          <w:color w:val="000000"/>
        </w:rPr>
        <w:t xml:space="preserve">Thomas, S. (2015). Mortgages, Fixtures, Fittings and Security over Personal Property 66(4), 343-65. </w:t>
      </w:r>
    </w:p>
    <w:p w14:paraId="6E6D24FB" w14:textId="77777777" w:rsidR="00AB0439" w:rsidRPr="001918E1" w:rsidRDefault="00AB0439" w:rsidP="001918E1">
      <w:pPr>
        <w:pStyle w:val="NormalWeb"/>
        <w:spacing w:before="0" w:beforeAutospacing="0" w:after="240" w:afterAutospacing="0" w:line="360" w:lineRule="atLeast"/>
        <w:rPr>
          <w:rFonts w:ascii="Arial" w:hAnsi="Arial" w:cs="Arial"/>
          <w:color w:val="000000"/>
        </w:rPr>
      </w:pPr>
    </w:p>
    <w:p w14:paraId="4E8E94B2" w14:textId="77777777" w:rsidR="001918E1" w:rsidRDefault="001918E1" w:rsidP="001918E1">
      <w:pPr>
        <w:pStyle w:val="NormalWeb"/>
        <w:spacing w:before="0" w:beforeAutospacing="0" w:after="240" w:afterAutospacing="0" w:line="360" w:lineRule="atLeast"/>
        <w:rPr>
          <w:color w:val="000000"/>
        </w:rPr>
      </w:pPr>
    </w:p>
    <w:p w14:paraId="29E53EAB" w14:textId="77777777" w:rsidR="001918E1" w:rsidRDefault="001918E1" w:rsidP="001918E1">
      <w:pPr>
        <w:pStyle w:val="NormalWeb"/>
        <w:spacing w:before="0" w:beforeAutospacing="0" w:after="240" w:afterAutospacing="0" w:line="360" w:lineRule="atLeast"/>
        <w:rPr>
          <w:color w:val="000000"/>
        </w:rPr>
      </w:pPr>
    </w:p>
    <w:p w14:paraId="12F9B768" w14:textId="77777777" w:rsidR="00772F4A" w:rsidRDefault="00772F4A" w:rsidP="00772F4A">
      <w:pPr>
        <w:pStyle w:val="NormalWeb"/>
        <w:spacing w:before="0" w:beforeAutospacing="0" w:after="240" w:afterAutospacing="0" w:line="360" w:lineRule="atLeast"/>
        <w:rPr>
          <w:color w:val="000000"/>
        </w:rPr>
      </w:pPr>
    </w:p>
    <w:p w14:paraId="1906E045" w14:textId="77777777" w:rsidR="003B3553" w:rsidRDefault="003B3553" w:rsidP="003B3553">
      <w:pPr>
        <w:pStyle w:val="NormalWeb"/>
        <w:spacing w:before="0" w:beforeAutospacing="0" w:after="240" w:afterAutospacing="0" w:line="360" w:lineRule="atLeast"/>
        <w:rPr>
          <w:color w:val="000000"/>
        </w:rPr>
      </w:pPr>
    </w:p>
    <w:p w14:paraId="045AF788" w14:textId="77777777" w:rsidR="003B3553" w:rsidRDefault="003B3553" w:rsidP="003B3553">
      <w:pPr>
        <w:pStyle w:val="NormalWeb"/>
        <w:spacing w:before="0" w:beforeAutospacing="0" w:after="240" w:afterAutospacing="0" w:line="360" w:lineRule="atLeast"/>
        <w:rPr>
          <w:color w:val="000000"/>
        </w:rPr>
      </w:pPr>
    </w:p>
    <w:p w14:paraId="75B13ACF" w14:textId="77777777" w:rsidR="003B3553" w:rsidRPr="000253E6" w:rsidRDefault="003B3553" w:rsidP="000253E6">
      <w:pPr>
        <w:pStyle w:val="NormalWeb"/>
        <w:spacing w:before="0" w:beforeAutospacing="0" w:after="240" w:afterAutospacing="0" w:line="360" w:lineRule="atLeast"/>
        <w:rPr>
          <w:rFonts w:ascii="Arial" w:hAnsi="Arial" w:cs="Arial"/>
          <w:color w:val="000000"/>
        </w:rPr>
      </w:pPr>
    </w:p>
    <w:p w14:paraId="1FB171D5" w14:textId="77777777" w:rsidR="000253E6" w:rsidRDefault="000253E6" w:rsidP="000253E6">
      <w:pPr>
        <w:pStyle w:val="NormalWeb"/>
        <w:spacing w:before="0" w:beforeAutospacing="0" w:after="240" w:afterAutospacing="0" w:line="360" w:lineRule="atLeast"/>
        <w:rPr>
          <w:color w:val="000000"/>
        </w:rPr>
      </w:pPr>
    </w:p>
    <w:p w14:paraId="370F9041" w14:textId="77777777" w:rsidR="000253E6" w:rsidRPr="00547120" w:rsidRDefault="000253E6" w:rsidP="00547120">
      <w:pPr>
        <w:pStyle w:val="NormalWeb"/>
        <w:spacing w:before="0" w:beforeAutospacing="0" w:after="240" w:afterAutospacing="0" w:line="360" w:lineRule="atLeast"/>
        <w:rPr>
          <w:rFonts w:ascii="Arial" w:hAnsi="Arial" w:cs="Arial"/>
          <w:color w:val="000000"/>
        </w:rPr>
      </w:pPr>
    </w:p>
    <w:p w14:paraId="2B5956C0" w14:textId="77777777" w:rsidR="00547120" w:rsidRDefault="00547120" w:rsidP="00547120">
      <w:pPr>
        <w:pStyle w:val="NormalWeb"/>
        <w:spacing w:before="0" w:beforeAutospacing="0" w:after="240" w:afterAutospacing="0" w:line="360" w:lineRule="atLeast"/>
        <w:rPr>
          <w:color w:val="000000"/>
        </w:rPr>
      </w:pPr>
    </w:p>
    <w:p w14:paraId="0D757F77" w14:textId="72CCDFF3" w:rsidR="002F5DFD" w:rsidRDefault="002F5DFD" w:rsidP="002F5DFD">
      <w:pPr>
        <w:pStyle w:val="NormalWeb"/>
        <w:spacing w:before="0" w:beforeAutospacing="0" w:after="240" w:afterAutospacing="0" w:line="360" w:lineRule="atLeast"/>
        <w:rPr>
          <w:color w:val="000000"/>
        </w:rPr>
      </w:pPr>
    </w:p>
    <w:p w14:paraId="6D238D40" w14:textId="77777777" w:rsidR="002F5DFD" w:rsidRDefault="002F5DFD" w:rsidP="002F5DFD">
      <w:pPr>
        <w:rPr>
          <w:rFonts w:ascii="Arial" w:hAnsi="Arial" w:cs="Arial"/>
        </w:rPr>
      </w:pPr>
    </w:p>
    <w:p w14:paraId="32721EB5" w14:textId="77777777" w:rsidR="002F5DFD" w:rsidRPr="002F5DFD" w:rsidRDefault="002F5DFD" w:rsidP="002F5DFD">
      <w:pPr>
        <w:rPr>
          <w:rFonts w:ascii="Arial" w:hAnsi="Arial" w:cs="Arial"/>
        </w:rPr>
      </w:pPr>
    </w:p>
    <w:p w14:paraId="679B82FF" w14:textId="77777777" w:rsidR="002F5DFD" w:rsidRPr="007C04B1" w:rsidRDefault="002F5DFD">
      <w:pPr>
        <w:rPr>
          <w:rFonts w:ascii="Arial" w:hAnsi="Arial" w:cs="Arial"/>
        </w:rPr>
      </w:pPr>
    </w:p>
    <w:sectPr w:rsidR="002F5DFD" w:rsidRPr="007C0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46573"/>
    <w:multiLevelType w:val="hybridMultilevel"/>
    <w:tmpl w:val="594C4B90"/>
    <w:lvl w:ilvl="0" w:tplc="296C7F26">
      <w:start w:val="1"/>
      <w:numFmt w:val="bullet"/>
      <w:lvlText w:val="▪"/>
      <w:lvlJc w:val="left"/>
      <w:pPr>
        <w:tabs>
          <w:tab w:val="num" w:pos="720"/>
        </w:tabs>
        <w:ind w:left="720" w:hanging="360"/>
      </w:pPr>
      <w:rPr>
        <w:rFonts w:ascii="Arial" w:hAnsi="Arial" w:hint="default"/>
      </w:rPr>
    </w:lvl>
    <w:lvl w:ilvl="1" w:tplc="4FB895C2" w:tentative="1">
      <w:start w:val="1"/>
      <w:numFmt w:val="bullet"/>
      <w:lvlText w:val="▪"/>
      <w:lvlJc w:val="left"/>
      <w:pPr>
        <w:tabs>
          <w:tab w:val="num" w:pos="1440"/>
        </w:tabs>
        <w:ind w:left="1440" w:hanging="360"/>
      </w:pPr>
      <w:rPr>
        <w:rFonts w:ascii="Arial" w:hAnsi="Arial" w:hint="default"/>
      </w:rPr>
    </w:lvl>
    <w:lvl w:ilvl="2" w:tplc="BD3ACCF8" w:tentative="1">
      <w:start w:val="1"/>
      <w:numFmt w:val="bullet"/>
      <w:lvlText w:val="▪"/>
      <w:lvlJc w:val="left"/>
      <w:pPr>
        <w:tabs>
          <w:tab w:val="num" w:pos="2160"/>
        </w:tabs>
        <w:ind w:left="2160" w:hanging="360"/>
      </w:pPr>
      <w:rPr>
        <w:rFonts w:ascii="Arial" w:hAnsi="Arial" w:hint="default"/>
      </w:rPr>
    </w:lvl>
    <w:lvl w:ilvl="3" w:tplc="E6B2BF20" w:tentative="1">
      <w:start w:val="1"/>
      <w:numFmt w:val="bullet"/>
      <w:lvlText w:val="▪"/>
      <w:lvlJc w:val="left"/>
      <w:pPr>
        <w:tabs>
          <w:tab w:val="num" w:pos="2880"/>
        </w:tabs>
        <w:ind w:left="2880" w:hanging="360"/>
      </w:pPr>
      <w:rPr>
        <w:rFonts w:ascii="Arial" w:hAnsi="Arial" w:hint="default"/>
      </w:rPr>
    </w:lvl>
    <w:lvl w:ilvl="4" w:tplc="C150A082" w:tentative="1">
      <w:start w:val="1"/>
      <w:numFmt w:val="bullet"/>
      <w:lvlText w:val="▪"/>
      <w:lvlJc w:val="left"/>
      <w:pPr>
        <w:tabs>
          <w:tab w:val="num" w:pos="3600"/>
        </w:tabs>
        <w:ind w:left="3600" w:hanging="360"/>
      </w:pPr>
      <w:rPr>
        <w:rFonts w:ascii="Arial" w:hAnsi="Arial" w:hint="default"/>
      </w:rPr>
    </w:lvl>
    <w:lvl w:ilvl="5" w:tplc="0D8C101E" w:tentative="1">
      <w:start w:val="1"/>
      <w:numFmt w:val="bullet"/>
      <w:lvlText w:val="▪"/>
      <w:lvlJc w:val="left"/>
      <w:pPr>
        <w:tabs>
          <w:tab w:val="num" w:pos="4320"/>
        </w:tabs>
        <w:ind w:left="4320" w:hanging="360"/>
      </w:pPr>
      <w:rPr>
        <w:rFonts w:ascii="Arial" w:hAnsi="Arial" w:hint="default"/>
      </w:rPr>
    </w:lvl>
    <w:lvl w:ilvl="6" w:tplc="9AAC60D4" w:tentative="1">
      <w:start w:val="1"/>
      <w:numFmt w:val="bullet"/>
      <w:lvlText w:val="▪"/>
      <w:lvlJc w:val="left"/>
      <w:pPr>
        <w:tabs>
          <w:tab w:val="num" w:pos="5040"/>
        </w:tabs>
        <w:ind w:left="5040" w:hanging="360"/>
      </w:pPr>
      <w:rPr>
        <w:rFonts w:ascii="Arial" w:hAnsi="Arial" w:hint="default"/>
      </w:rPr>
    </w:lvl>
    <w:lvl w:ilvl="7" w:tplc="F8685E94" w:tentative="1">
      <w:start w:val="1"/>
      <w:numFmt w:val="bullet"/>
      <w:lvlText w:val="▪"/>
      <w:lvlJc w:val="left"/>
      <w:pPr>
        <w:tabs>
          <w:tab w:val="num" w:pos="5760"/>
        </w:tabs>
        <w:ind w:left="5760" w:hanging="360"/>
      </w:pPr>
      <w:rPr>
        <w:rFonts w:ascii="Arial" w:hAnsi="Arial" w:hint="default"/>
      </w:rPr>
    </w:lvl>
    <w:lvl w:ilvl="8" w:tplc="DDF6D6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3D0A36"/>
    <w:multiLevelType w:val="hybridMultilevel"/>
    <w:tmpl w:val="244A7EFE"/>
    <w:lvl w:ilvl="0" w:tplc="DE4EFC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D45B5"/>
    <w:multiLevelType w:val="hybridMultilevel"/>
    <w:tmpl w:val="6B668F94"/>
    <w:lvl w:ilvl="0" w:tplc="CF72CD08">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1A5B51"/>
    <w:multiLevelType w:val="multilevel"/>
    <w:tmpl w:val="FBA69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F04526"/>
    <w:multiLevelType w:val="hybridMultilevel"/>
    <w:tmpl w:val="1EE0C64A"/>
    <w:lvl w:ilvl="0" w:tplc="B7581EC4">
      <w:start w:val="1"/>
      <w:numFmt w:val="bullet"/>
      <w:lvlText w:val="▪"/>
      <w:lvlJc w:val="left"/>
      <w:pPr>
        <w:tabs>
          <w:tab w:val="num" w:pos="720"/>
        </w:tabs>
        <w:ind w:left="720" w:hanging="360"/>
      </w:pPr>
      <w:rPr>
        <w:rFonts w:ascii="Arial" w:hAnsi="Arial" w:hint="default"/>
      </w:rPr>
    </w:lvl>
    <w:lvl w:ilvl="1" w:tplc="8B2692BC" w:tentative="1">
      <w:start w:val="1"/>
      <w:numFmt w:val="bullet"/>
      <w:lvlText w:val="▪"/>
      <w:lvlJc w:val="left"/>
      <w:pPr>
        <w:tabs>
          <w:tab w:val="num" w:pos="1440"/>
        </w:tabs>
        <w:ind w:left="1440" w:hanging="360"/>
      </w:pPr>
      <w:rPr>
        <w:rFonts w:ascii="Arial" w:hAnsi="Arial" w:hint="default"/>
      </w:rPr>
    </w:lvl>
    <w:lvl w:ilvl="2" w:tplc="DA5A5C22" w:tentative="1">
      <w:start w:val="1"/>
      <w:numFmt w:val="bullet"/>
      <w:lvlText w:val="▪"/>
      <w:lvlJc w:val="left"/>
      <w:pPr>
        <w:tabs>
          <w:tab w:val="num" w:pos="2160"/>
        </w:tabs>
        <w:ind w:left="2160" w:hanging="360"/>
      </w:pPr>
      <w:rPr>
        <w:rFonts w:ascii="Arial" w:hAnsi="Arial" w:hint="default"/>
      </w:rPr>
    </w:lvl>
    <w:lvl w:ilvl="3" w:tplc="124EC1A0" w:tentative="1">
      <w:start w:val="1"/>
      <w:numFmt w:val="bullet"/>
      <w:lvlText w:val="▪"/>
      <w:lvlJc w:val="left"/>
      <w:pPr>
        <w:tabs>
          <w:tab w:val="num" w:pos="2880"/>
        </w:tabs>
        <w:ind w:left="2880" w:hanging="360"/>
      </w:pPr>
      <w:rPr>
        <w:rFonts w:ascii="Arial" w:hAnsi="Arial" w:hint="default"/>
      </w:rPr>
    </w:lvl>
    <w:lvl w:ilvl="4" w:tplc="BDECBC20" w:tentative="1">
      <w:start w:val="1"/>
      <w:numFmt w:val="bullet"/>
      <w:lvlText w:val="▪"/>
      <w:lvlJc w:val="left"/>
      <w:pPr>
        <w:tabs>
          <w:tab w:val="num" w:pos="3600"/>
        </w:tabs>
        <w:ind w:left="3600" w:hanging="360"/>
      </w:pPr>
      <w:rPr>
        <w:rFonts w:ascii="Arial" w:hAnsi="Arial" w:hint="default"/>
      </w:rPr>
    </w:lvl>
    <w:lvl w:ilvl="5" w:tplc="C218A70E" w:tentative="1">
      <w:start w:val="1"/>
      <w:numFmt w:val="bullet"/>
      <w:lvlText w:val="▪"/>
      <w:lvlJc w:val="left"/>
      <w:pPr>
        <w:tabs>
          <w:tab w:val="num" w:pos="4320"/>
        </w:tabs>
        <w:ind w:left="4320" w:hanging="360"/>
      </w:pPr>
      <w:rPr>
        <w:rFonts w:ascii="Arial" w:hAnsi="Arial" w:hint="default"/>
      </w:rPr>
    </w:lvl>
    <w:lvl w:ilvl="6" w:tplc="3700773E" w:tentative="1">
      <w:start w:val="1"/>
      <w:numFmt w:val="bullet"/>
      <w:lvlText w:val="▪"/>
      <w:lvlJc w:val="left"/>
      <w:pPr>
        <w:tabs>
          <w:tab w:val="num" w:pos="5040"/>
        </w:tabs>
        <w:ind w:left="5040" w:hanging="360"/>
      </w:pPr>
      <w:rPr>
        <w:rFonts w:ascii="Arial" w:hAnsi="Arial" w:hint="default"/>
      </w:rPr>
    </w:lvl>
    <w:lvl w:ilvl="7" w:tplc="EC844BF8" w:tentative="1">
      <w:start w:val="1"/>
      <w:numFmt w:val="bullet"/>
      <w:lvlText w:val="▪"/>
      <w:lvlJc w:val="left"/>
      <w:pPr>
        <w:tabs>
          <w:tab w:val="num" w:pos="5760"/>
        </w:tabs>
        <w:ind w:left="5760" w:hanging="360"/>
      </w:pPr>
      <w:rPr>
        <w:rFonts w:ascii="Arial" w:hAnsi="Arial" w:hint="default"/>
      </w:rPr>
    </w:lvl>
    <w:lvl w:ilvl="8" w:tplc="C9846C4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085CDB"/>
    <w:multiLevelType w:val="multilevel"/>
    <w:tmpl w:val="19BC9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9A32E3"/>
    <w:multiLevelType w:val="multilevel"/>
    <w:tmpl w:val="B8D67C9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EA71B0"/>
    <w:multiLevelType w:val="hybridMultilevel"/>
    <w:tmpl w:val="6810979E"/>
    <w:lvl w:ilvl="0" w:tplc="1CAC4400">
      <w:start w:val="1"/>
      <w:numFmt w:val="bullet"/>
      <w:lvlText w:val="▪"/>
      <w:lvlJc w:val="left"/>
      <w:pPr>
        <w:tabs>
          <w:tab w:val="num" w:pos="720"/>
        </w:tabs>
        <w:ind w:left="720" w:hanging="360"/>
      </w:pPr>
      <w:rPr>
        <w:rFonts w:ascii="Arial" w:hAnsi="Arial" w:hint="default"/>
      </w:rPr>
    </w:lvl>
    <w:lvl w:ilvl="1" w:tplc="34CA9282" w:tentative="1">
      <w:start w:val="1"/>
      <w:numFmt w:val="bullet"/>
      <w:lvlText w:val="▪"/>
      <w:lvlJc w:val="left"/>
      <w:pPr>
        <w:tabs>
          <w:tab w:val="num" w:pos="1440"/>
        </w:tabs>
        <w:ind w:left="1440" w:hanging="360"/>
      </w:pPr>
      <w:rPr>
        <w:rFonts w:ascii="Arial" w:hAnsi="Arial" w:hint="default"/>
      </w:rPr>
    </w:lvl>
    <w:lvl w:ilvl="2" w:tplc="FA9852D2" w:tentative="1">
      <w:start w:val="1"/>
      <w:numFmt w:val="bullet"/>
      <w:lvlText w:val="▪"/>
      <w:lvlJc w:val="left"/>
      <w:pPr>
        <w:tabs>
          <w:tab w:val="num" w:pos="2160"/>
        </w:tabs>
        <w:ind w:left="2160" w:hanging="360"/>
      </w:pPr>
      <w:rPr>
        <w:rFonts w:ascii="Arial" w:hAnsi="Arial" w:hint="default"/>
      </w:rPr>
    </w:lvl>
    <w:lvl w:ilvl="3" w:tplc="D21C1D0A" w:tentative="1">
      <w:start w:val="1"/>
      <w:numFmt w:val="bullet"/>
      <w:lvlText w:val="▪"/>
      <w:lvlJc w:val="left"/>
      <w:pPr>
        <w:tabs>
          <w:tab w:val="num" w:pos="2880"/>
        </w:tabs>
        <w:ind w:left="2880" w:hanging="360"/>
      </w:pPr>
      <w:rPr>
        <w:rFonts w:ascii="Arial" w:hAnsi="Arial" w:hint="default"/>
      </w:rPr>
    </w:lvl>
    <w:lvl w:ilvl="4" w:tplc="48C6482C" w:tentative="1">
      <w:start w:val="1"/>
      <w:numFmt w:val="bullet"/>
      <w:lvlText w:val="▪"/>
      <w:lvlJc w:val="left"/>
      <w:pPr>
        <w:tabs>
          <w:tab w:val="num" w:pos="3600"/>
        </w:tabs>
        <w:ind w:left="3600" w:hanging="360"/>
      </w:pPr>
      <w:rPr>
        <w:rFonts w:ascii="Arial" w:hAnsi="Arial" w:hint="default"/>
      </w:rPr>
    </w:lvl>
    <w:lvl w:ilvl="5" w:tplc="0DF23D52" w:tentative="1">
      <w:start w:val="1"/>
      <w:numFmt w:val="bullet"/>
      <w:lvlText w:val="▪"/>
      <w:lvlJc w:val="left"/>
      <w:pPr>
        <w:tabs>
          <w:tab w:val="num" w:pos="4320"/>
        </w:tabs>
        <w:ind w:left="4320" w:hanging="360"/>
      </w:pPr>
      <w:rPr>
        <w:rFonts w:ascii="Arial" w:hAnsi="Arial" w:hint="default"/>
      </w:rPr>
    </w:lvl>
    <w:lvl w:ilvl="6" w:tplc="F118E40A" w:tentative="1">
      <w:start w:val="1"/>
      <w:numFmt w:val="bullet"/>
      <w:lvlText w:val="▪"/>
      <w:lvlJc w:val="left"/>
      <w:pPr>
        <w:tabs>
          <w:tab w:val="num" w:pos="5040"/>
        </w:tabs>
        <w:ind w:left="5040" w:hanging="360"/>
      </w:pPr>
      <w:rPr>
        <w:rFonts w:ascii="Arial" w:hAnsi="Arial" w:hint="default"/>
      </w:rPr>
    </w:lvl>
    <w:lvl w:ilvl="7" w:tplc="F51CF89E" w:tentative="1">
      <w:start w:val="1"/>
      <w:numFmt w:val="bullet"/>
      <w:lvlText w:val="▪"/>
      <w:lvlJc w:val="left"/>
      <w:pPr>
        <w:tabs>
          <w:tab w:val="num" w:pos="5760"/>
        </w:tabs>
        <w:ind w:left="5760" w:hanging="360"/>
      </w:pPr>
      <w:rPr>
        <w:rFonts w:ascii="Arial" w:hAnsi="Arial" w:hint="default"/>
      </w:rPr>
    </w:lvl>
    <w:lvl w:ilvl="8" w:tplc="5FE8E08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B673C9"/>
    <w:multiLevelType w:val="hybridMultilevel"/>
    <w:tmpl w:val="66261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06137"/>
    <w:multiLevelType w:val="multilevel"/>
    <w:tmpl w:val="AB06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C31055"/>
    <w:multiLevelType w:val="multilevel"/>
    <w:tmpl w:val="6EF4E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4C6430"/>
    <w:multiLevelType w:val="multilevel"/>
    <w:tmpl w:val="9DB4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676BBA"/>
    <w:multiLevelType w:val="hybridMultilevel"/>
    <w:tmpl w:val="1F66D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C6269A"/>
    <w:multiLevelType w:val="multilevel"/>
    <w:tmpl w:val="46FC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297962"/>
    <w:multiLevelType w:val="hybridMultilevel"/>
    <w:tmpl w:val="F0047C5A"/>
    <w:lvl w:ilvl="0" w:tplc="01A451A8">
      <w:start w:val="1"/>
      <w:numFmt w:val="bullet"/>
      <w:lvlText w:val="▪"/>
      <w:lvlJc w:val="left"/>
      <w:pPr>
        <w:tabs>
          <w:tab w:val="num" w:pos="720"/>
        </w:tabs>
        <w:ind w:left="720" w:hanging="360"/>
      </w:pPr>
      <w:rPr>
        <w:rFonts w:ascii="Arial" w:hAnsi="Arial" w:hint="default"/>
      </w:rPr>
    </w:lvl>
    <w:lvl w:ilvl="1" w:tplc="1F28B1EC" w:tentative="1">
      <w:start w:val="1"/>
      <w:numFmt w:val="bullet"/>
      <w:lvlText w:val="▪"/>
      <w:lvlJc w:val="left"/>
      <w:pPr>
        <w:tabs>
          <w:tab w:val="num" w:pos="1440"/>
        </w:tabs>
        <w:ind w:left="1440" w:hanging="360"/>
      </w:pPr>
      <w:rPr>
        <w:rFonts w:ascii="Arial" w:hAnsi="Arial" w:hint="default"/>
      </w:rPr>
    </w:lvl>
    <w:lvl w:ilvl="2" w:tplc="5FB63C38" w:tentative="1">
      <w:start w:val="1"/>
      <w:numFmt w:val="bullet"/>
      <w:lvlText w:val="▪"/>
      <w:lvlJc w:val="left"/>
      <w:pPr>
        <w:tabs>
          <w:tab w:val="num" w:pos="2160"/>
        </w:tabs>
        <w:ind w:left="2160" w:hanging="360"/>
      </w:pPr>
      <w:rPr>
        <w:rFonts w:ascii="Arial" w:hAnsi="Arial" w:hint="default"/>
      </w:rPr>
    </w:lvl>
    <w:lvl w:ilvl="3" w:tplc="977C0AE4" w:tentative="1">
      <w:start w:val="1"/>
      <w:numFmt w:val="bullet"/>
      <w:lvlText w:val="▪"/>
      <w:lvlJc w:val="left"/>
      <w:pPr>
        <w:tabs>
          <w:tab w:val="num" w:pos="2880"/>
        </w:tabs>
        <w:ind w:left="2880" w:hanging="360"/>
      </w:pPr>
      <w:rPr>
        <w:rFonts w:ascii="Arial" w:hAnsi="Arial" w:hint="default"/>
      </w:rPr>
    </w:lvl>
    <w:lvl w:ilvl="4" w:tplc="3E4EA190" w:tentative="1">
      <w:start w:val="1"/>
      <w:numFmt w:val="bullet"/>
      <w:lvlText w:val="▪"/>
      <w:lvlJc w:val="left"/>
      <w:pPr>
        <w:tabs>
          <w:tab w:val="num" w:pos="3600"/>
        </w:tabs>
        <w:ind w:left="3600" w:hanging="360"/>
      </w:pPr>
      <w:rPr>
        <w:rFonts w:ascii="Arial" w:hAnsi="Arial" w:hint="default"/>
      </w:rPr>
    </w:lvl>
    <w:lvl w:ilvl="5" w:tplc="9C0E39C2" w:tentative="1">
      <w:start w:val="1"/>
      <w:numFmt w:val="bullet"/>
      <w:lvlText w:val="▪"/>
      <w:lvlJc w:val="left"/>
      <w:pPr>
        <w:tabs>
          <w:tab w:val="num" w:pos="4320"/>
        </w:tabs>
        <w:ind w:left="4320" w:hanging="360"/>
      </w:pPr>
      <w:rPr>
        <w:rFonts w:ascii="Arial" w:hAnsi="Arial" w:hint="default"/>
      </w:rPr>
    </w:lvl>
    <w:lvl w:ilvl="6" w:tplc="38CE8C50" w:tentative="1">
      <w:start w:val="1"/>
      <w:numFmt w:val="bullet"/>
      <w:lvlText w:val="▪"/>
      <w:lvlJc w:val="left"/>
      <w:pPr>
        <w:tabs>
          <w:tab w:val="num" w:pos="5040"/>
        </w:tabs>
        <w:ind w:left="5040" w:hanging="360"/>
      </w:pPr>
      <w:rPr>
        <w:rFonts w:ascii="Arial" w:hAnsi="Arial" w:hint="default"/>
      </w:rPr>
    </w:lvl>
    <w:lvl w:ilvl="7" w:tplc="532C371E" w:tentative="1">
      <w:start w:val="1"/>
      <w:numFmt w:val="bullet"/>
      <w:lvlText w:val="▪"/>
      <w:lvlJc w:val="left"/>
      <w:pPr>
        <w:tabs>
          <w:tab w:val="num" w:pos="5760"/>
        </w:tabs>
        <w:ind w:left="5760" w:hanging="360"/>
      </w:pPr>
      <w:rPr>
        <w:rFonts w:ascii="Arial" w:hAnsi="Arial" w:hint="default"/>
      </w:rPr>
    </w:lvl>
    <w:lvl w:ilvl="8" w:tplc="F04C242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A7D16B1"/>
    <w:multiLevelType w:val="hybridMultilevel"/>
    <w:tmpl w:val="81AC3B64"/>
    <w:lvl w:ilvl="0" w:tplc="DF3EE282">
      <w:start w:val="1"/>
      <w:numFmt w:val="bullet"/>
      <w:lvlText w:val="▪"/>
      <w:lvlJc w:val="left"/>
      <w:pPr>
        <w:tabs>
          <w:tab w:val="num" w:pos="720"/>
        </w:tabs>
        <w:ind w:left="720" w:hanging="360"/>
      </w:pPr>
      <w:rPr>
        <w:rFonts w:ascii="Arial" w:hAnsi="Arial" w:hint="default"/>
      </w:rPr>
    </w:lvl>
    <w:lvl w:ilvl="1" w:tplc="53C2AF52" w:tentative="1">
      <w:start w:val="1"/>
      <w:numFmt w:val="bullet"/>
      <w:lvlText w:val="▪"/>
      <w:lvlJc w:val="left"/>
      <w:pPr>
        <w:tabs>
          <w:tab w:val="num" w:pos="1440"/>
        </w:tabs>
        <w:ind w:left="1440" w:hanging="360"/>
      </w:pPr>
      <w:rPr>
        <w:rFonts w:ascii="Arial" w:hAnsi="Arial" w:hint="default"/>
      </w:rPr>
    </w:lvl>
    <w:lvl w:ilvl="2" w:tplc="690A1680" w:tentative="1">
      <w:start w:val="1"/>
      <w:numFmt w:val="bullet"/>
      <w:lvlText w:val="▪"/>
      <w:lvlJc w:val="left"/>
      <w:pPr>
        <w:tabs>
          <w:tab w:val="num" w:pos="2160"/>
        </w:tabs>
        <w:ind w:left="2160" w:hanging="360"/>
      </w:pPr>
      <w:rPr>
        <w:rFonts w:ascii="Arial" w:hAnsi="Arial" w:hint="default"/>
      </w:rPr>
    </w:lvl>
    <w:lvl w:ilvl="3" w:tplc="A3441440" w:tentative="1">
      <w:start w:val="1"/>
      <w:numFmt w:val="bullet"/>
      <w:lvlText w:val="▪"/>
      <w:lvlJc w:val="left"/>
      <w:pPr>
        <w:tabs>
          <w:tab w:val="num" w:pos="2880"/>
        </w:tabs>
        <w:ind w:left="2880" w:hanging="360"/>
      </w:pPr>
      <w:rPr>
        <w:rFonts w:ascii="Arial" w:hAnsi="Arial" w:hint="default"/>
      </w:rPr>
    </w:lvl>
    <w:lvl w:ilvl="4" w:tplc="4BAA1426" w:tentative="1">
      <w:start w:val="1"/>
      <w:numFmt w:val="bullet"/>
      <w:lvlText w:val="▪"/>
      <w:lvlJc w:val="left"/>
      <w:pPr>
        <w:tabs>
          <w:tab w:val="num" w:pos="3600"/>
        </w:tabs>
        <w:ind w:left="3600" w:hanging="360"/>
      </w:pPr>
      <w:rPr>
        <w:rFonts w:ascii="Arial" w:hAnsi="Arial" w:hint="default"/>
      </w:rPr>
    </w:lvl>
    <w:lvl w:ilvl="5" w:tplc="57A02792" w:tentative="1">
      <w:start w:val="1"/>
      <w:numFmt w:val="bullet"/>
      <w:lvlText w:val="▪"/>
      <w:lvlJc w:val="left"/>
      <w:pPr>
        <w:tabs>
          <w:tab w:val="num" w:pos="4320"/>
        </w:tabs>
        <w:ind w:left="4320" w:hanging="360"/>
      </w:pPr>
      <w:rPr>
        <w:rFonts w:ascii="Arial" w:hAnsi="Arial" w:hint="default"/>
      </w:rPr>
    </w:lvl>
    <w:lvl w:ilvl="6" w:tplc="549C3BF8" w:tentative="1">
      <w:start w:val="1"/>
      <w:numFmt w:val="bullet"/>
      <w:lvlText w:val="▪"/>
      <w:lvlJc w:val="left"/>
      <w:pPr>
        <w:tabs>
          <w:tab w:val="num" w:pos="5040"/>
        </w:tabs>
        <w:ind w:left="5040" w:hanging="360"/>
      </w:pPr>
      <w:rPr>
        <w:rFonts w:ascii="Arial" w:hAnsi="Arial" w:hint="default"/>
      </w:rPr>
    </w:lvl>
    <w:lvl w:ilvl="7" w:tplc="07D27970" w:tentative="1">
      <w:start w:val="1"/>
      <w:numFmt w:val="bullet"/>
      <w:lvlText w:val="▪"/>
      <w:lvlJc w:val="left"/>
      <w:pPr>
        <w:tabs>
          <w:tab w:val="num" w:pos="5760"/>
        </w:tabs>
        <w:ind w:left="5760" w:hanging="360"/>
      </w:pPr>
      <w:rPr>
        <w:rFonts w:ascii="Arial" w:hAnsi="Arial" w:hint="default"/>
      </w:rPr>
    </w:lvl>
    <w:lvl w:ilvl="8" w:tplc="430815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C56743D"/>
    <w:multiLevelType w:val="multilevel"/>
    <w:tmpl w:val="50763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8B5318"/>
    <w:multiLevelType w:val="hybridMultilevel"/>
    <w:tmpl w:val="000623D8"/>
    <w:lvl w:ilvl="0" w:tplc="76040EF2">
      <w:start w:val="1"/>
      <w:numFmt w:val="bullet"/>
      <w:lvlText w:val="▪"/>
      <w:lvlJc w:val="left"/>
      <w:pPr>
        <w:tabs>
          <w:tab w:val="num" w:pos="720"/>
        </w:tabs>
        <w:ind w:left="720" w:hanging="360"/>
      </w:pPr>
      <w:rPr>
        <w:rFonts w:ascii="Arial" w:hAnsi="Arial" w:hint="default"/>
      </w:rPr>
    </w:lvl>
    <w:lvl w:ilvl="1" w:tplc="C160F3EA" w:tentative="1">
      <w:start w:val="1"/>
      <w:numFmt w:val="bullet"/>
      <w:lvlText w:val="▪"/>
      <w:lvlJc w:val="left"/>
      <w:pPr>
        <w:tabs>
          <w:tab w:val="num" w:pos="1440"/>
        </w:tabs>
        <w:ind w:left="1440" w:hanging="360"/>
      </w:pPr>
      <w:rPr>
        <w:rFonts w:ascii="Arial" w:hAnsi="Arial" w:hint="default"/>
      </w:rPr>
    </w:lvl>
    <w:lvl w:ilvl="2" w:tplc="14D45D24" w:tentative="1">
      <w:start w:val="1"/>
      <w:numFmt w:val="bullet"/>
      <w:lvlText w:val="▪"/>
      <w:lvlJc w:val="left"/>
      <w:pPr>
        <w:tabs>
          <w:tab w:val="num" w:pos="2160"/>
        </w:tabs>
        <w:ind w:left="2160" w:hanging="360"/>
      </w:pPr>
      <w:rPr>
        <w:rFonts w:ascii="Arial" w:hAnsi="Arial" w:hint="default"/>
      </w:rPr>
    </w:lvl>
    <w:lvl w:ilvl="3" w:tplc="B0E0FB8E" w:tentative="1">
      <w:start w:val="1"/>
      <w:numFmt w:val="bullet"/>
      <w:lvlText w:val="▪"/>
      <w:lvlJc w:val="left"/>
      <w:pPr>
        <w:tabs>
          <w:tab w:val="num" w:pos="2880"/>
        </w:tabs>
        <w:ind w:left="2880" w:hanging="360"/>
      </w:pPr>
      <w:rPr>
        <w:rFonts w:ascii="Arial" w:hAnsi="Arial" w:hint="default"/>
      </w:rPr>
    </w:lvl>
    <w:lvl w:ilvl="4" w:tplc="283A8328" w:tentative="1">
      <w:start w:val="1"/>
      <w:numFmt w:val="bullet"/>
      <w:lvlText w:val="▪"/>
      <w:lvlJc w:val="left"/>
      <w:pPr>
        <w:tabs>
          <w:tab w:val="num" w:pos="3600"/>
        </w:tabs>
        <w:ind w:left="3600" w:hanging="360"/>
      </w:pPr>
      <w:rPr>
        <w:rFonts w:ascii="Arial" w:hAnsi="Arial" w:hint="default"/>
      </w:rPr>
    </w:lvl>
    <w:lvl w:ilvl="5" w:tplc="35100E68" w:tentative="1">
      <w:start w:val="1"/>
      <w:numFmt w:val="bullet"/>
      <w:lvlText w:val="▪"/>
      <w:lvlJc w:val="left"/>
      <w:pPr>
        <w:tabs>
          <w:tab w:val="num" w:pos="4320"/>
        </w:tabs>
        <w:ind w:left="4320" w:hanging="360"/>
      </w:pPr>
      <w:rPr>
        <w:rFonts w:ascii="Arial" w:hAnsi="Arial" w:hint="default"/>
      </w:rPr>
    </w:lvl>
    <w:lvl w:ilvl="6" w:tplc="FA40F65E" w:tentative="1">
      <w:start w:val="1"/>
      <w:numFmt w:val="bullet"/>
      <w:lvlText w:val="▪"/>
      <w:lvlJc w:val="left"/>
      <w:pPr>
        <w:tabs>
          <w:tab w:val="num" w:pos="5040"/>
        </w:tabs>
        <w:ind w:left="5040" w:hanging="360"/>
      </w:pPr>
      <w:rPr>
        <w:rFonts w:ascii="Arial" w:hAnsi="Arial" w:hint="default"/>
      </w:rPr>
    </w:lvl>
    <w:lvl w:ilvl="7" w:tplc="028C10A2" w:tentative="1">
      <w:start w:val="1"/>
      <w:numFmt w:val="bullet"/>
      <w:lvlText w:val="▪"/>
      <w:lvlJc w:val="left"/>
      <w:pPr>
        <w:tabs>
          <w:tab w:val="num" w:pos="5760"/>
        </w:tabs>
        <w:ind w:left="5760" w:hanging="360"/>
      </w:pPr>
      <w:rPr>
        <w:rFonts w:ascii="Arial" w:hAnsi="Arial" w:hint="default"/>
      </w:rPr>
    </w:lvl>
    <w:lvl w:ilvl="8" w:tplc="52109F54" w:tentative="1">
      <w:start w:val="1"/>
      <w:numFmt w:val="bullet"/>
      <w:lvlText w:val="▪"/>
      <w:lvlJc w:val="left"/>
      <w:pPr>
        <w:tabs>
          <w:tab w:val="num" w:pos="6480"/>
        </w:tabs>
        <w:ind w:left="6480" w:hanging="360"/>
      </w:pPr>
      <w:rPr>
        <w:rFonts w:ascii="Arial" w:hAnsi="Arial" w:hint="default"/>
      </w:rPr>
    </w:lvl>
  </w:abstractNum>
  <w:num w:numId="1" w16cid:durableId="1356535684">
    <w:abstractNumId w:val="8"/>
  </w:num>
  <w:num w:numId="2" w16cid:durableId="458307593">
    <w:abstractNumId w:val="12"/>
  </w:num>
  <w:num w:numId="3" w16cid:durableId="2135517994">
    <w:abstractNumId w:val="1"/>
  </w:num>
  <w:num w:numId="4" w16cid:durableId="952053061">
    <w:abstractNumId w:val="3"/>
  </w:num>
  <w:num w:numId="5" w16cid:durableId="1696077446">
    <w:abstractNumId w:val="11"/>
  </w:num>
  <w:num w:numId="6" w16cid:durableId="1333803413">
    <w:abstractNumId w:val="9"/>
  </w:num>
  <w:num w:numId="7" w16cid:durableId="1097671812">
    <w:abstractNumId w:val="6"/>
  </w:num>
  <w:num w:numId="8" w16cid:durableId="448864406">
    <w:abstractNumId w:val="13"/>
  </w:num>
  <w:num w:numId="9" w16cid:durableId="1641575640">
    <w:abstractNumId w:val="16"/>
  </w:num>
  <w:num w:numId="10" w16cid:durableId="1570531861">
    <w:abstractNumId w:val="10"/>
  </w:num>
  <w:num w:numId="11" w16cid:durableId="398553415">
    <w:abstractNumId w:val="17"/>
  </w:num>
  <w:num w:numId="12" w16cid:durableId="1024984979">
    <w:abstractNumId w:val="5"/>
  </w:num>
  <w:num w:numId="13" w16cid:durableId="1552887096">
    <w:abstractNumId w:val="2"/>
  </w:num>
  <w:num w:numId="14" w16cid:durableId="9568965">
    <w:abstractNumId w:val="0"/>
  </w:num>
  <w:num w:numId="15" w16cid:durableId="1053238018">
    <w:abstractNumId w:val="14"/>
  </w:num>
  <w:num w:numId="16" w16cid:durableId="1078133289">
    <w:abstractNumId w:val="4"/>
  </w:num>
  <w:num w:numId="17" w16cid:durableId="927732084">
    <w:abstractNumId w:val="15"/>
  </w:num>
  <w:num w:numId="18" w16cid:durableId="5666927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A93"/>
    <w:rsid w:val="00015EC2"/>
    <w:rsid w:val="000253E6"/>
    <w:rsid w:val="000413BD"/>
    <w:rsid w:val="00044B0F"/>
    <w:rsid w:val="00047688"/>
    <w:rsid w:val="00097349"/>
    <w:rsid w:val="000B4A93"/>
    <w:rsid w:val="000C3C9A"/>
    <w:rsid w:val="000D05F1"/>
    <w:rsid w:val="000F7480"/>
    <w:rsid w:val="00100ED7"/>
    <w:rsid w:val="00122D15"/>
    <w:rsid w:val="00133C75"/>
    <w:rsid w:val="00135007"/>
    <w:rsid w:val="00157C68"/>
    <w:rsid w:val="00172856"/>
    <w:rsid w:val="00176B40"/>
    <w:rsid w:val="00180C8C"/>
    <w:rsid w:val="001918E1"/>
    <w:rsid w:val="001C6915"/>
    <w:rsid w:val="001E0568"/>
    <w:rsid w:val="001E54D4"/>
    <w:rsid w:val="00204A95"/>
    <w:rsid w:val="0020705A"/>
    <w:rsid w:val="002132B1"/>
    <w:rsid w:val="00231594"/>
    <w:rsid w:val="002454AA"/>
    <w:rsid w:val="002571B2"/>
    <w:rsid w:val="00262A29"/>
    <w:rsid w:val="00262E2E"/>
    <w:rsid w:val="002978EF"/>
    <w:rsid w:val="002B42A2"/>
    <w:rsid w:val="002C169C"/>
    <w:rsid w:val="002C3F4D"/>
    <w:rsid w:val="002F1FAB"/>
    <w:rsid w:val="002F5DFD"/>
    <w:rsid w:val="003076F6"/>
    <w:rsid w:val="003116A6"/>
    <w:rsid w:val="00396099"/>
    <w:rsid w:val="003B1543"/>
    <w:rsid w:val="003B3553"/>
    <w:rsid w:val="003C17E1"/>
    <w:rsid w:val="00406F8B"/>
    <w:rsid w:val="0041594B"/>
    <w:rsid w:val="00420FBC"/>
    <w:rsid w:val="004358E5"/>
    <w:rsid w:val="004365FB"/>
    <w:rsid w:val="004909B6"/>
    <w:rsid w:val="004932DE"/>
    <w:rsid w:val="004933D7"/>
    <w:rsid w:val="004A12DE"/>
    <w:rsid w:val="004C3219"/>
    <w:rsid w:val="005062D0"/>
    <w:rsid w:val="00534AD1"/>
    <w:rsid w:val="00547120"/>
    <w:rsid w:val="00565D99"/>
    <w:rsid w:val="0059577F"/>
    <w:rsid w:val="005973E5"/>
    <w:rsid w:val="00654A87"/>
    <w:rsid w:val="00675F22"/>
    <w:rsid w:val="00677F93"/>
    <w:rsid w:val="006848B1"/>
    <w:rsid w:val="00696408"/>
    <w:rsid w:val="006B291A"/>
    <w:rsid w:val="007012BC"/>
    <w:rsid w:val="00703FA4"/>
    <w:rsid w:val="00735E73"/>
    <w:rsid w:val="00747D8C"/>
    <w:rsid w:val="00752F08"/>
    <w:rsid w:val="00771818"/>
    <w:rsid w:val="00772F4A"/>
    <w:rsid w:val="007920B2"/>
    <w:rsid w:val="007C04B1"/>
    <w:rsid w:val="007C1B2B"/>
    <w:rsid w:val="0080113C"/>
    <w:rsid w:val="00803A35"/>
    <w:rsid w:val="008553CB"/>
    <w:rsid w:val="008813FA"/>
    <w:rsid w:val="008E1A17"/>
    <w:rsid w:val="008E3C7B"/>
    <w:rsid w:val="00906C72"/>
    <w:rsid w:val="0094416E"/>
    <w:rsid w:val="009A13DD"/>
    <w:rsid w:val="009A2CAB"/>
    <w:rsid w:val="009A4D81"/>
    <w:rsid w:val="009D7ACF"/>
    <w:rsid w:val="009E30AC"/>
    <w:rsid w:val="00A460F7"/>
    <w:rsid w:val="00A53C16"/>
    <w:rsid w:val="00A704DB"/>
    <w:rsid w:val="00AA14CE"/>
    <w:rsid w:val="00AA3BC6"/>
    <w:rsid w:val="00AB0439"/>
    <w:rsid w:val="00AD2356"/>
    <w:rsid w:val="00AF75DA"/>
    <w:rsid w:val="00B12F02"/>
    <w:rsid w:val="00B37D09"/>
    <w:rsid w:val="00B5354E"/>
    <w:rsid w:val="00B53F03"/>
    <w:rsid w:val="00BA1E60"/>
    <w:rsid w:val="00BA6303"/>
    <w:rsid w:val="00BD265B"/>
    <w:rsid w:val="00BD3586"/>
    <w:rsid w:val="00BE0EDE"/>
    <w:rsid w:val="00C3790F"/>
    <w:rsid w:val="00C43C07"/>
    <w:rsid w:val="00C76A3C"/>
    <w:rsid w:val="00C812EB"/>
    <w:rsid w:val="00CC17C2"/>
    <w:rsid w:val="00CD0C97"/>
    <w:rsid w:val="00CF3F0C"/>
    <w:rsid w:val="00D50C76"/>
    <w:rsid w:val="00D91C74"/>
    <w:rsid w:val="00D97BD2"/>
    <w:rsid w:val="00DB2D55"/>
    <w:rsid w:val="00DC2D96"/>
    <w:rsid w:val="00DC3FAA"/>
    <w:rsid w:val="00DE1577"/>
    <w:rsid w:val="00DE1866"/>
    <w:rsid w:val="00DF7544"/>
    <w:rsid w:val="00E32CBC"/>
    <w:rsid w:val="00E74548"/>
    <w:rsid w:val="00E822FF"/>
    <w:rsid w:val="00E87B35"/>
    <w:rsid w:val="00EE4C58"/>
    <w:rsid w:val="00F0677F"/>
    <w:rsid w:val="00F21B7B"/>
    <w:rsid w:val="00F25555"/>
    <w:rsid w:val="00F33D8D"/>
    <w:rsid w:val="00F51A26"/>
    <w:rsid w:val="00F51D56"/>
    <w:rsid w:val="00F84A41"/>
    <w:rsid w:val="00FD2560"/>
    <w:rsid w:val="00FE0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E071AF"/>
  <w15:chartTrackingRefBased/>
  <w15:docId w15:val="{3F178AEF-1708-834C-801A-E644564D4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2EB"/>
  </w:style>
  <w:style w:type="paragraph" w:styleId="Heading2">
    <w:name w:val="heading 2"/>
    <w:basedOn w:val="Normal"/>
    <w:link w:val="Heading2Char"/>
    <w:uiPriority w:val="9"/>
    <w:qFormat/>
    <w:rsid w:val="00BD358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5">
    <w:name w:val="heading 5"/>
    <w:basedOn w:val="Normal"/>
    <w:next w:val="Normal"/>
    <w:link w:val="Heading5Char"/>
    <w:uiPriority w:val="9"/>
    <w:unhideWhenUsed/>
    <w:qFormat/>
    <w:rsid w:val="006B291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D55"/>
    <w:pPr>
      <w:ind w:left="720"/>
      <w:contextualSpacing/>
    </w:pPr>
  </w:style>
  <w:style w:type="paragraph" w:customStyle="1" w:styleId="paragraph">
    <w:name w:val="paragraph"/>
    <w:basedOn w:val="Normal"/>
    <w:rsid w:val="005973E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973E5"/>
  </w:style>
  <w:style w:type="character" w:customStyle="1" w:styleId="eop">
    <w:name w:val="eop"/>
    <w:basedOn w:val="DefaultParagraphFont"/>
    <w:rsid w:val="005973E5"/>
  </w:style>
  <w:style w:type="character" w:customStyle="1" w:styleId="apple-converted-space">
    <w:name w:val="apple-converted-space"/>
    <w:basedOn w:val="DefaultParagraphFont"/>
    <w:rsid w:val="007C04B1"/>
  </w:style>
  <w:style w:type="paragraph" w:customStyle="1" w:styleId="pb-2">
    <w:name w:val="pb-2"/>
    <w:basedOn w:val="Normal"/>
    <w:rsid w:val="00696408"/>
    <w:pPr>
      <w:spacing w:before="100" w:beforeAutospacing="1" w:after="100" w:afterAutospacing="1"/>
    </w:pPr>
    <w:rPr>
      <w:rFonts w:ascii="Times New Roman" w:eastAsia="Times New Roman" w:hAnsi="Times New Roman" w:cs="Times New Roman"/>
      <w:lang w:eastAsia="en-GB"/>
    </w:rPr>
  </w:style>
  <w:style w:type="character" w:customStyle="1" w:styleId="issue-underline">
    <w:name w:val="issue-underline"/>
    <w:basedOn w:val="DefaultParagraphFont"/>
    <w:rsid w:val="00696408"/>
  </w:style>
  <w:style w:type="paragraph" w:styleId="NormalWeb">
    <w:name w:val="Normal (Web)"/>
    <w:basedOn w:val="Normal"/>
    <w:uiPriority w:val="99"/>
    <w:unhideWhenUsed/>
    <w:rsid w:val="00BD358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D3586"/>
    <w:rPr>
      <w:color w:val="0563C1" w:themeColor="hyperlink"/>
      <w:u w:val="single"/>
    </w:rPr>
  </w:style>
  <w:style w:type="character" w:styleId="UnresolvedMention">
    <w:name w:val="Unresolved Mention"/>
    <w:basedOn w:val="DefaultParagraphFont"/>
    <w:uiPriority w:val="99"/>
    <w:semiHidden/>
    <w:unhideWhenUsed/>
    <w:rsid w:val="00BD3586"/>
    <w:rPr>
      <w:color w:val="605E5C"/>
      <w:shd w:val="clear" w:color="auto" w:fill="E1DFDD"/>
    </w:rPr>
  </w:style>
  <w:style w:type="character" w:customStyle="1" w:styleId="Heading2Char">
    <w:name w:val="Heading 2 Char"/>
    <w:basedOn w:val="DefaultParagraphFont"/>
    <w:link w:val="Heading2"/>
    <w:uiPriority w:val="9"/>
    <w:rsid w:val="00BD3586"/>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BD3586"/>
  </w:style>
  <w:style w:type="character" w:customStyle="1" w:styleId="mw-editsection">
    <w:name w:val="mw-editsection"/>
    <w:basedOn w:val="DefaultParagraphFont"/>
    <w:rsid w:val="00BD3586"/>
  </w:style>
  <w:style w:type="character" w:customStyle="1" w:styleId="mw-editsection-bracket">
    <w:name w:val="mw-editsection-bracket"/>
    <w:basedOn w:val="DefaultParagraphFont"/>
    <w:rsid w:val="00BD3586"/>
  </w:style>
  <w:style w:type="character" w:customStyle="1" w:styleId="mw-collapsible-text">
    <w:name w:val="mw-collapsible-text"/>
    <w:basedOn w:val="DefaultParagraphFont"/>
    <w:rsid w:val="00BD3586"/>
  </w:style>
  <w:style w:type="paragraph" w:customStyle="1" w:styleId="nv-view">
    <w:name w:val="nv-view"/>
    <w:basedOn w:val="Normal"/>
    <w:rsid w:val="00BD3586"/>
    <w:pPr>
      <w:spacing w:before="100" w:beforeAutospacing="1" w:after="100" w:afterAutospacing="1"/>
    </w:pPr>
    <w:rPr>
      <w:rFonts w:ascii="Times New Roman" w:eastAsia="Times New Roman" w:hAnsi="Times New Roman" w:cs="Times New Roman"/>
      <w:lang w:eastAsia="en-GB"/>
    </w:rPr>
  </w:style>
  <w:style w:type="paragraph" w:customStyle="1" w:styleId="nv-talk">
    <w:name w:val="nv-talk"/>
    <w:basedOn w:val="Normal"/>
    <w:rsid w:val="00BD3586"/>
    <w:pPr>
      <w:spacing w:before="100" w:beforeAutospacing="1" w:after="100" w:afterAutospacing="1"/>
    </w:pPr>
    <w:rPr>
      <w:rFonts w:ascii="Times New Roman" w:eastAsia="Times New Roman" w:hAnsi="Times New Roman" w:cs="Times New Roman"/>
      <w:lang w:eastAsia="en-GB"/>
    </w:rPr>
  </w:style>
  <w:style w:type="paragraph" w:customStyle="1" w:styleId="nv-edit">
    <w:name w:val="nv-edit"/>
    <w:basedOn w:val="Normal"/>
    <w:rsid w:val="00BD3586"/>
    <w:pPr>
      <w:spacing w:before="100" w:beforeAutospacing="1" w:after="100" w:afterAutospacing="1"/>
    </w:pPr>
    <w:rPr>
      <w:rFonts w:ascii="Times New Roman" w:eastAsia="Times New Roman" w:hAnsi="Times New Roman" w:cs="Times New Roman"/>
      <w:lang w:eastAsia="en-GB"/>
    </w:rPr>
  </w:style>
  <w:style w:type="character" w:customStyle="1" w:styleId="mw-cite-backlink">
    <w:name w:val="mw-cite-backlink"/>
    <w:basedOn w:val="DefaultParagraphFont"/>
    <w:rsid w:val="00BD3586"/>
  </w:style>
  <w:style w:type="character" w:customStyle="1" w:styleId="cite-accessibility-label">
    <w:name w:val="cite-accessibility-label"/>
    <w:basedOn w:val="DefaultParagraphFont"/>
    <w:rsid w:val="00BD3586"/>
  </w:style>
  <w:style w:type="character" w:customStyle="1" w:styleId="reference-text">
    <w:name w:val="reference-text"/>
    <w:basedOn w:val="DefaultParagraphFont"/>
    <w:rsid w:val="00BD3586"/>
  </w:style>
  <w:style w:type="character" w:styleId="HTMLCite">
    <w:name w:val="HTML Cite"/>
    <w:basedOn w:val="DefaultParagraphFont"/>
    <w:uiPriority w:val="99"/>
    <w:semiHidden/>
    <w:unhideWhenUsed/>
    <w:rsid w:val="00BD3586"/>
    <w:rPr>
      <w:i/>
      <w:iCs/>
    </w:rPr>
  </w:style>
  <w:style w:type="character" w:styleId="Strong">
    <w:name w:val="Strong"/>
    <w:basedOn w:val="DefaultParagraphFont"/>
    <w:uiPriority w:val="22"/>
    <w:qFormat/>
    <w:rsid w:val="00231594"/>
    <w:rPr>
      <w:b/>
      <w:bCs/>
    </w:rPr>
  </w:style>
  <w:style w:type="character" w:styleId="FollowedHyperlink">
    <w:name w:val="FollowedHyperlink"/>
    <w:basedOn w:val="DefaultParagraphFont"/>
    <w:uiPriority w:val="99"/>
    <w:semiHidden/>
    <w:unhideWhenUsed/>
    <w:rsid w:val="00FD2560"/>
    <w:rPr>
      <w:color w:val="954F72" w:themeColor="followedHyperlink"/>
      <w:u w:val="single"/>
    </w:rPr>
  </w:style>
  <w:style w:type="character" w:styleId="Emphasis">
    <w:name w:val="Emphasis"/>
    <w:basedOn w:val="DefaultParagraphFont"/>
    <w:uiPriority w:val="20"/>
    <w:qFormat/>
    <w:rsid w:val="00C3790F"/>
    <w:rPr>
      <w:i/>
      <w:iCs/>
    </w:rPr>
  </w:style>
  <w:style w:type="character" w:customStyle="1" w:styleId="Heading5Char">
    <w:name w:val="Heading 5 Char"/>
    <w:basedOn w:val="DefaultParagraphFont"/>
    <w:link w:val="Heading5"/>
    <w:uiPriority w:val="9"/>
    <w:rsid w:val="006B291A"/>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0428">
      <w:bodyDiv w:val="1"/>
      <w:marLeft w:val="0"/>
      <w:marRight w:val="0"/>
      <w:marTop w:val="0"/>
      <w:marBottom w:val="0"/>
      <w:divBdr>
        <w:top w:val="none" w:sz="0" w:space="0" w:color="auto"/>
        <w:left w:val="none" w:sz="0" w:space="0" w:color="auto"/>
        <w:bottom w:val="none" w:sz="0" w:space="0" w:color="auto"/>
        <w:right w:val="none" w:sz="0" w:space="0" w:color="auto"/>
      </w:divBdr>
      <w:divsChild>
        <w:div w:id="20009820">
          <w:marLeft w:val="0"/>
          <w:marRight w:val="0"/>
          <w:marTop w:val="0"/>
          <w:marBottom w:val="0"/>
          <w:divBdr>
            <w:top w:val="none" w:sz="0" w:space="0" w:color="auto"/>
            <w:left w:val="none" w:sz="0" w:space="0" w:color="auto"/>
            <w:bottom w:val="none" w:sz="0" w:space="0" w:color="auto"/>
            <w:right w:val="none" w:sz="0" w:space="0" w:color="auto"/>
          </w:divBdr>
          <w:divsChild>
            <w:div w:id="2024084243">
              <w:marLeft w:val="240"/>
              <w:marRight w:val="0"/>
              <w:marTop w:val="0"/>
              <w:marBottom w:val="240"/>
              <w:divBdr>
                <w:top w:val="single" w:sz="6" w:space="2" w:color="A2A9B1"/>
                <w:left w:val="single" w:sz="6" w:space="2" w:color="A2A9B1"/>
                <w:bottom w:val="single" w:sz="6" w:space="2" w:color="A2A9B1"/>
                <w:right w:val="single" w:sz="6" w:space="2" w:color="A2A9B1"/>
              </w:divBdr>
              <w:divsChild>
                <w:div w:id="1682008924">
                  <w:marLeft w:val="0"/>
                  <w:marRight w:val="120"/>
                  <w:marTop w:val="0"/>
                  <w:marBottom w:val="0"/>
                  <w:divBdr>
                    <w:top w:val="none" w:sz="0" w:space="0" w:color="auto"/>
                    <w:left w:val="none" w:sz="0" w:space="0" w:color="auto"/>
                    <w:bottom w:val="none" w:sz="0" w:space="0" w:color="auto"/>
                    <w:right w:val="none" w:sz="0" w:space="0" w:color="auto"/>
                  </w:divBdr>
                </w:div>
                <w:div w:id="1414546094">
                  <w:marLeft w:val="960"/>
                  <w:marRight w:val="960"/>
                  <w:marTop w:val="0"/>
                  <w:marBottom w:val="0"/>
                  <w:divBdr>
                    <w:top w:val="none" w:sz="0" w:space="0" w:color="auto"/>
                    <w:left w:val="none" w:sz="0" w:space="0" w:color="auto"/>
                    <w:bottom w:val="none" w:sz="0" w:space="0" w:color="auto"/>
                    <w:right w:val="none" w:sz="0" w:space="0" w:color="auto"/>
                  </w:divBdr>
                </w:div>
                <w:div w:id="425925212">
                  <w:marLeft w:val="0"/>
                  <w:marRight w:val="0"/>
                  <w:marTop w:val="0"/>
                  <w:marBottom w:val="0"/>
                  <w:divBdr>
                    <w:top w:val="none" w:sz="0" w:space="0" w:color="auto"/>
                    <w:left w:val="none" w:sz="0" w:space="0" w:color="auto"/>
                    <w:bottom w:val="none" w:sz="0" w:space="0" w:color="auto"/>
                    <w:right w:val="none" w:sz="0" w:space="0" w:color="auto"/>
                  </w:divBdr>
                </w:div>
                <w:div w:id="1394549248">
                  <w:marLeft w:val="0"/>
                  <w:marRight w:val="0"/>
                  <w:marTop w:val="0"/>
                  <w:marBottom w:val="0"/>
                  <w:divBdr>
                    <w:top w:val="none" w:sz="0" w:space="0" w:color="auto"/>
                    <w:left w:val="none" w:sz="0" w:space="0" w:color="auto"/>
                    <w:bottom w:val="none" w:sz="0" w:space="0" w:color="auto"/>
                    <w:right w:val="none" w:sz="0" w:space="0" w:color="auto"/>
                  </w:divBdr>
                </w:div>
                <w:div w:id="2125535794">
                  <w:marLeft w:val="0"/>
                  <w:marRight w:val="0"/>
                  <w:marTop w:val="0"/>
                  <w:marBottom w:val="0"/>
                  <w:divBdr>
                    <w:top w:val="none" w:sz="0" w:space="0" w:color="auto"/>
                    <w:left w:val="none" w:sz="0" w:space="0" w:color="auto"/>
                    <w:bottom w:val="none" w:sz="0" w:space="0" w:color="auto"/>
                    <w:right w:val="none" w:sz="0" w:space="0" w:color="auto"/>
                  </w:divBdr>
                </w:div>
                <w:div w:id="2138570776">
                  <w:marLeft w:val="0"/>
                  <w:marRight w:val="0"/>
                  <w:marTop w:val="0"/>
                  <w:marBottom w:val="0"/>
                  <w:divBdr>
                    <w:top w:val="none" w:sz="0" w:space="0" w:color="auto"/>
                    <w:left w:val="none" w:sz="0" w:space="0" w:color="auto"/>
                    <w:bottom w:val="none" w:sz="0" w:space="0" w:color="auto"/>
                    <w:right w:val="none" w:sz="0" w:space="0" w:color="auto"/>
                  </w:divBdr>
                </w:div>
                <w:div w:id="393090552">
                  <w:marLeft w:val="0"/>
                  <w:marRight w:val="0"/>
                  <w:marTop w:val="0"/>
                  <w:marBottom w:val="0"/>
                  <w:divBdr>
                    <w:top w:val="none" w:sz="0" w:space="0" w:color="auto"/>
                    <w:left w:val="none" w:sz="0" w:space="0" w:color="auto"/>
                    <w:bottom w:val="none" w:sz="0" w:space="0" w:color="auto"/>
                    <w:right w:val="none" w:sz="0" w:space="0" w:color="auto"/>
                  </w:divBdr>
                </w:div>
                <w:div w:id="1450582823">
                  <w:marLeft w:val="0"/>
                  <w:marRight w:val="0"/>
                  <w:marTop w:val="0"/>
                  <w:marBottom w:val="0"/>
                  <w:divBdr>
                    <w:top w:val="none" w:sz="0" w:space="0" w:color="auto"/>
                    <w:left w:val="none" w:sz="0" w:space="0" w:color="auto"/>
                    <w:bottom w:val="none" w:sz="0" w:space="0" w:color="auto"/>
                    <w:right w:val="none" w:sz="0" w:space="0" w:color="auto"/>
                  </w:divBdr>
                </w:div>
                <w:div w:id="372078533">
                  <w:marLeft w:val="0"/>
                  <w:marRight w:val="0"/>
                  <w:marTop w:val="0"/>
                  <w:marBottom w:val="0"/>
                  <w:divBdr>
                    <w:top w:val="none" w:sz="0" w:space="0" w:color="auto"/>
                    <w:left w:val="none" w:sz="0" w:space="0" w:color="auto"/>
                    <w:bottom w:val="none" w:sz="0" w:space="0" w:color="auto"/>
                    <w:right w:val="none" w:sz="0" w:space="0" w:color="auto"/>
                  </w:divBdr>
                </w:div>
                <w:div w:id="1690450738">
                  <w:marLeft w:val="0"/>
                  <w:marRight w:val="0"/>
                  <w:marTop w:val="0"/>
                  <w:marBottom w:val="0"/>
                  <w:divBdr>
                    <w:top w:val="none" w:sz="0" w:space="0" w:color="auto"/>
                    <w:left w:val="none" w:sz="0" w:space="0" w:color="auto"/>
                    <w:bottom w:val="none" w:sz="0" w:space="0" w:color="auto"/>
                    <w:right w:val="none" w:sz="0" w:space="0" w:color="auto"/>
                  </w:divBdr>
                </w:div>
                <w:div w:id="98985824">
                  <w:marLeft w:val="0"/>
                  <w:marRight w:val="0"/>
                  <w:marTop w:val="0"/>
                  <w:marBottom w:val="0"/>
                  <w:divBdr>
                    <w:top w:val="none" w:sz="0" w:space="0" w:color="auto"/>
                    <w:left w:val="none" w:sz="0" w:space="0" w:color="auto"/>
                    <w:bottom w:val="none" w:sz="0" w:space="0" w:color="auto"/>
                    <w:right w:val="none" w:sz="0" w:space="0" w:color="auto"/>
                  </w:divBdr>
                </w:div>
                <w:div w:id="1653174081">
                  <w:marLeft w:val="0"/>
                  <w:marRight w:val="0"/>
                  <w:marTop w:val="0"/>
                  <w:marBottom w:val="0"/>
                  <w:divBdr>
                    <w:top w:val="none" w:sz="0" w:space="0" w:color="auto"/>
                    <w:left w:val="none" w:sz="0" w:space="0" w:color="auto"/>
                    <w:bottom w:val="none" w:sz="0" w:space="0" w:color="auto"/>
                    <w:right w:val="none" w:sz="0" w:space="0" w:color="auto"/>
                  </w:divBdr>
                </w:div>
                <w:div w:id="1181161593">
                  <w:marLeft w:val="0"/>
                  <w:marRight w:val="0"/>
                  <w:marTop w:val="0"/>
                  <w:marBottom w:val="0"/>
                  <w:divBdr>
                    <w:top w:val="none" w:sz="0" w:space="0" w:color="auto"/>
                    <w:left w:val="none" w:sz="0" w:space="0" w:color="auto"/>
                    <w:bottom w:val="none" w:sz="0" w:space="0" w:color="auto"/>
                    <w:right w:val="none" w:sz="0" w:space="0" w:color="auto"/>
                  </w:divBdr>
                </w:div>
                <w:div w:id="2033803641">
                  <w:marLeft w:val="0"/>
                  <w:marRight w:val="0"/>
                  <w:marTop w:val="0"/>
                  <w:marBottom w:val="0"/>
                  <w:divBdr>
                    <w:top w:val="none" w:sz="0" w:space="0" w:color="auto"/>
                    <w:left w:val="none" w:sz="0" w:space="0" w:color="auto"/>
                    <w:bottom w:val="none" w:sz="0" w:space="0" w:color="auto"/>
                    <w:right w:val="none" w:sz="0" w:space="0" w:color="auto"/>
                  </w:divBdr>
                </w:div>
                <w:div w:id="32928913">
                  <w:marLeft w:val="0"/>
                  <w:marRight w:val="0"/>
                  <w:marTop w:val="0"/>
                  <w:marBottom w:val="0"/>
                  <w:divBdr>
                    <w:top w:val="none" w:sz="0" w:space="0" w:color="auto"/>
                    <w:left w:val="none" w:sz="0" w:space="0" w:color="auto"/>
                    <w:bottom w:val="none" w:sz="0" w:space="0" w:color="auto"/>
                    <w:right w:val="none" w:sz="0" w:space="0" w:color="auto"/>
                  </w:divBdr>
                </w:div>
                <w:div w:id="432090578">
                  <w:marLeft w:val="0"/>
                  <w:marRight w:val="0"/>
                  <w:marTop w:val="0"/>
                  <w:marBottom w:val="0"/>
                  <w:divBdr>
                    <w:top w:val="none" w:sz="0" w:space="0" w:color="auto"/>
                    <w:left w:val="none" w:sz="0" w:space="0" w:color="auto"/>
                    <w:bottom w:val="none" w:sz="0" w:space="0" w:color="auto"/>
                    <w:right w:val="none" w:sz="0" w:space="0" w:color="auto"/>
                  </w:divBdr>
                </w:div>
                <w:div w:id="1800100415">
                  <w:marLeft w:val="0"/>
                  <w:marRight w:val="0"/>
                  <w:marTop w:val="0"/>
                  <w:marBottom w:val="0"/>
                  <w:divBdr>
                    <w:top w:val="none" w:sz="0" w:space="0" w:color="auto"/>
                    <w:left w:val="none" w:sz="0" w:space="0" w:color="auto"/>
                    <w:bottom w:val="none" w:sz="0" w:space="0" w:color="auto"/>
                    <w:right w:val="none" w:sz="0" w:space="0" w:color="auto"/>
                  </w:divBdr>
                </w:div>
                <w:div w:id="1027676961">
                  <w:marLeft w:val="0"/>
                  <w:marRight w:val="0"/>
                  <w:marTop w:val="0"/>
                  <w:marBottom w:val="0"/>
                  <w:divBdr>
                    <w:top w:val="none" w:sz="0" w:space="0" w:color="auto"/>
                    <w:left w:val="none" w:sz="0" w:space="0" w:color="auto"/>
                    <w:bottom w:val="none" w:sz="0" w:space="0" w:color="auto"/>
                    <w:right w:val="none" w:sz="0" w:space="0" w:color="auto"/>
                  </w:divBdr>
                </w:div>
                <w:div w:id="1232889680">
                  <w:marLeft w:val="0"/>
                  <w:marRight w:val="0"/>
                  <w:marTop w:val="0"/>
                  <w:marBottom w:val="0"/>
                  <w:divBdr>
                    <w:top w:val="none" w:sz="0" w:space="0" w:color="auto"/>
                    <w:left w:val="none" w:sz="0" w:space="0" w:color="auto"/>
                    <w:bottom w:val="none" w:sz="0" w:space="0" w:color="auto"/>
                    <w:right w:val="none" w:sz="0" w:space="0" w:color="auto"/>
                  </w:divBdr>
                </w:div>
                <w:div w:id="426385058">
                  <w:marLeft w:val="0"/>
                  <w:marRight w:val="0"/>
                  <w:marTop w:val="0"/>
                  <w:marBottom w:val="0"/>
                  <w:divBdr>
                    <w:top w:val="none" w:sz="0" w:space="0" w:color="auto"/>
                    <w:left w:val="none" w:sz="0" w:space="0" w:color="auto"/>
                    <w:bottom w:val="none" w:sz="0" w:space="0" w:color="auto"/>
                    <w:right w:val="none" w:sz="0" w:space="0" w:color="auto"/>
                  </w:divBdr>
                </w:div>
                <w:div w:id="1117719617">
                  <w:marLeft w:val="0"/>
                  <w:marRight w:val="0"/>
                  <w:marTop w:val="0"/>
                  <w:marBottom w:val="0"/>
                  <w:divBdr>
                    <w:top w:val="none" w:sz="0" w:space="0" w:color="auto"/>
                    <w:left w:val="none" w:sz="0" w:space="0" w:color="auto"/>
                    <w:bottom w:val="none" w:sz="0" w:space="0" w:color="auto"/>
                    <w:right w:val="none" w:sz="0" w:space="0" w:color="auto"/>
                  </w:divBdr>
                </w:div>
                <w:div w:id="763842516">
                  <w:marLeft w:val="0"/>
                  <w:marRight w:val="0"/>
                  <w:marTop w:val="0"/>
                  <w:marBottom w:val="0"/>
                  <w:divBdr>
                    <w:top w:val="none" w:sz="0" w:space="0" w:color="auto"/>
                    <w:left w:val="none" w:sz="0" w:space="0" w:color="auto"/>
                    <w:bottom w:val="none" w:sz="0" w:space="0" w:color="auto"/>
                    <w:right w:val="none" w:sz="0" w:space="0" w:color="auto"/>
                  </w:divBdr>
                </w:div>
                <w:div w:id="663239099">
                  <w:marLeft w:val="0"/>
                  <w:marRight w:val="0"/>
                  <w:marTop w:val="0"/>
                  <w:marBottom w:val="0"/>
                  <w:divBdr>
                    <w:top w:val="none" w:sz="0" w:space="0" w:color="auto"/>
                    <w:left w:val="none" w:sz="0" w:space="0" w:color="auto"/>
                    <w:bottom w:val="none" w:sz="0" w:space="0" w:color="auto"/>
                    <w:right w:val="none" w:sz="0" w:space="0" w:color="auto"/>
                  </w:divBdr>
                </w:div>
              </w:divsChild>
            </w:div>
            <w:div w:id="1994874412">
              <w:marLeft w:val="0"/>
              <w:marRight w:val="0"/>
              <w:marTop w:val="72"/>
              <w:marBottom w:val="120"/>
              <w:divBdr>
                <w:top w:val="none" w:sz="0" w:space="0" w:color="auto"/>
                <w:left w:val="none" w:sz="0" w:space="0" w:color="auto"/>
                <w:bottom w:val="none" w:sz="0" w:space="0" w:color="auto"/>
                <w:right w:val="none" w:sz="0" w:space="0" w:color="auto"/>
              </w:divBdr>
            </w:div>
          </w:divsChild>
        </w:div>
      </w:divsChild>
    </w:div>
    <w:div w:id="100498364">
      <w:bodyDiv w:val="1"/>
      <w:marLeft w:val="0"/>
      <w:marRight w:val="0"/>
      <w:marTop w:val="0"/>
      <w:marBottom w:val="0"/>
      <w:divBdr>
        <w:top w:val="none" w:sz="0" w:space="0" w:color="auto"/>
        <w:left w:val="none" w:sz="0" w:space="0" w:color="auto"/>
        <w:bottom w:val="none" w:sz="0" w:space="0" w:color="auto"/>
        <w:right w:val="none" w:sz="0" w:space="0" w:color="auto"/>
      </w:divBdr>
      <w:divsChild>
        <w:div w:id="258950242">
          <w:marLeft w:val="0"/>
          <w:marRight w:val="0"/>
          <w:marTop w:val="0"/>
          <w:marBottom w:val="0"/>
          <w:divBdr>
            <w:top w:val="none" w:sz="0" w:space="0" w:color="auto"/>
            <w:left w:val="none" w:sz="0" w:space="0" w:color="auto"/>
            <w:bottom w:val="none" w:sz="0" w:space="0" w:color="auto"/>
            <w:right w:val="none" w:sz="0" w:space="0" w:color="auto"/>
          </w:divBdr>
        </w:div>
      </w:divsChild>
    </w:div>
    <w:div w:id="132990176">
      <w:bodyDiv w:val="1"/>
      <w:marLeft w:val="0"/>
      <w:marRight w:val="0"/>
      <w:marTop w:val="0"/>
      <w:marBottom w:val="0"/>
      <w:divBdr>
        <w:top w:val="none" w:sz="0" w:space="0" w:color="auto"/>
        <w:left w:val="none" w:sz="0" w:space="0" w:color="auto"/>
        <w:bottom w:val="none" w:sz="0" w:space="0" w:color="auto"/>
        <w:right w:val="none" w:sz="0" w:space="0" w:color="auto"/>
      </w:divBdr>
    </w:div>
    <w:div w:id="171188561">
      <w:bodyDiv w:val="1"/>
      <w:marLeft w:val="0"/>
      <w:marRight w:val="0"/>
      <w:marTop w:val="0"/>
      <w:marBottom w:val="0"/>
      <w:divBdr>
        <w:top w:val="none" w:sz="0" w:space="0" w:color="auto"/>
        <w:left w:val="none" w:sz="0" w:space="0" w:color="auto"/>
        <w:bottom w:val="none" w:sz="0" w:space="0" w:color="auto"/>
        <w:right w:val="none" w:sz="0" w:space="0" w:color="auto"/>
      </w:divBdr>
    </w:div>
    <w:div w:id="223491560">
      <w:bodyDiv w:val="1"/>
      <w:marLeft w:val="0"/>
      <w:marRight w:val="0"/>
      <w:marTop w:val="0"/>
      <w:marBottom w:val="0"/>
      <w:divBdr>
        <w:top w:val="none" w:sz="0" w:space="0" w:color="auto"/>
        <w:left w:val="none" w:sz="0" w:space="0" w:color="auto"/>
        <w:bottom w:val="none" w:sz="0" w:space="0" w:color="auto"/>
        <w:right w:val="none" w:sz="0" w:space="0" w:color="auto"/>
      </w:divBdr>
    </w:div>
    <w:div w:id="281687601">
      <w:bodyDiv w:val="1"/>
      <w:marLeft w:val="0"/>
      <w:marRight w:val="0"/>
      <w:marTop w:val="0"/>
      <w:marBottom w:val="0"/>
      <w:divBdr>
        <w:top w:val="none" w:sz="0" w:space="0" w:color="auto"/>
        <w:left w:val="none" w:sz="0" w:space="0" w:color="auto"/>
        <w:bottom w:val="none" w:sz="0" w:space="0" w:color="auto"/>
        <w:right w:val="none" w:sz="0" w:space="0" w:color="auto"/>
      </w:divBdr>
      <w:divsChild>
        <w:div w:id="824198740">
          <w:marLeft w:val="0"/>
          <w:marRight w:val="0"/>
          <w:marTop w:val="0"/>
          <w:marBottom w:val="0"/>
          <w:divBdr>
            <w:top w:val="none" w:sz="0" w:space="0" w:color="auto"/>
            <w:left w:val="none" w:sz="0" w:space="0" w:color="auto"/>
            <w:bottom w:val="none" w:sz="0" w:space="0" w:color="auto"/>
            <w:right w:val="none" w:sz="0" w:space="0" w:color="auto"/>
          </w:divBdr>
        </w:div>
      </w:divsChild>
    </w:div>
    <w:div w:id="282418738">
      <w:bodyDiv w:val="1"/>
      <w:marLeft w:val="0"/>
      <w:marRight w:val="0"/>
      <w:marTop w:val="0"/>
      <w:marBottom w:val="0"/>
      <w:divBdr>
        <w:top w:val="none" w:sz="0" w:space="0" w:color="auto"/>
        <w:left w:val="none" w:sz="0" w:space="0" w:color="auto"/>
        <w:bottom w:val="none" w:sz="0" w:space="0" w:color="auto"/>
        <w:right w:val="none" w:sz="0" w:space="0" w:color="auto"/>
      </w:divBdr>
    </w:div>
    <w:div w:id="315378345">
      <w:bodyDiv w:val="1"/>
      <w:marLeft w:val="0"/>
      <w:marRight w:val="0"/>
      <w:marTop w:val="0"/>
      <w:marBottom w:val="0"/>
      <w:divBdr>
        <w:top w:val="none" w:sz="0" w:space="0" w:color="auto"/>
        <w:left w:val="none" w:sz="0" w:space="0" w:color="auto"/>
        <w:bottom w:val="none" w:sz="0" w:space="0" w:color="auto"/>
        <w:right w:val="none" w:sz="0" w:space="0" w:color="auto"/>
      </w:divBdr>
      <w:divsChild>
        <w:div w:id="2134327261">
          <w:marLeft w:val="0"/>
          <w:marRight w:val="0"/>
          <w:marTop w:val="0"/>
          <w:marBottom w:val="0"/>
          <w:divBdr>
            <w:top w:val="none" w:sz="0" w:space="0" w:color="auto"/>
            <w:left w:val="none" w:sz="0" w:space="0" w:color="auto"/>
            <w:bottom w:val="none" w:sz="0" w:space="0" w:color="auto"/>
            <w:right w:val="none" w:sz="0" w:space="0" w:color="auto"/>
          </w:divBdr>
        </w:div>
      </w:divsChild>
    </w:div>
    <w:div w:id="381099047">
      <w:bodyDiv w:val="1"/>
      <w:marLeft w:val="0"/>
      <w:marRight w:val="0"/>
      <w:marTop w:val="0"/>
      <w:marBottom w:val="0"/>
      <w:divBdr>
        <w:top w:val="none" w:sz="0" w:space="0" w:color="auto"/>
        <w:left w:val="none" w:sz="0" w:space="0" w:color="auto"/>
        <w:bottom w:val="none" w:sz="0" w:space="0" w:color="auto"/>
        <w:right w:val="none" w:sz="0" w:space="0" w:color="auto"/>
      </w:divBdr>
    </w:div>
    <w:div w:id="448664720">
      <w:bodyDiv w:val="1"/>
      <w:marLeft w:val="0"/>
      <w:marRight w:val="0"/>
      <w:marTop w:val="0"/>
      <w:marBottom w:val="0"/>
      <w:divBdr>
        <w:top w:val="none" w:sz="0" w:space="0" w:color="auto"/>
        <w:left w:val="none" w:sz="0" w:space="0" w:color="auto"/>
        <w:bottom w:val="none" w:sz="0" w:space="0" w:color="auto"/>
        <w:right w:val="none" w:sz="0" w:space="0" w:color="auto"/>
      </w:divBdr>
    </w:div>
    <w:div w:id="458687116">
      <w:bodyDiv w:val="1"/>
      <w:marLeft w:val="0"/>
      <w:marRight w:val="0"/>
      <w:marTop w:val="0"/>
      <w:marBottom w:val="0"/>
      <w:divBdr>
        <w:top w:val="none" w:sz="0" w:space="0" w:color="auto"/>
        <w:left w:val="none" w:sz="0" w:space="0" w:color="auto"/>
        <w:bottom w:val="none" w:sz="0" w:space="0" w:color="auto"/>
        <w:right w:val="none" w:sz="0" w:space="0" w:color="auto"/>
      </w:divBdr>
      <w:divsChild>
        <w:div w:id="2133553644">
          <w:marLeft w:val="0"/>
          <w:marRight w:val="0"/>
          <w:marTop w:val="0"/>
          <w:marBottom w:val="0"/>
          <w:divBdr>
            <w:top w:val="none" w:sz="0" w:space="0" w:color="auto"/>
            <w:left w:val="none" w:sz="0" w:space="0" w:color="auto"/>
            <w:bottom w:val="none" w:sz="0" w:space="0" w:color="auto"/>
            <w:right w:val="none" w:sz="0" w:space="0" w:color="auto"/>
          </w:divBdr>
        </w:div>
      </w:divsChild>
    </w:div>
    <w:div w:id="480922958">
      <w:bodyDiv w:val="1"/>
      <w:marLeft w:val="0"/>
      <w:marRight w:val="0"/>
      <w:marTop w:val="0"/>
      <w:marBottom w:val="0"/>
      <w:divBdr>
        <w:top w:val="none" w:sz="0" w:space="0" w:color="auto"/>
        <w:left w:val="none" w:sz="0" w:space="0" w:color="auto"/>
        <w:bottom w:val="none" w:sz="0" w:space="0" w:color="auto"/>
        <w:right w:val="none" w:sz="0" w:space="0" w:color="auto"/>
      </w:divBdr>
      <w:divsChild>
        <w:div w:id="1766145712">
          <w:marLeft w:val="0"/>
          <w:marRight w:val="0"/>
          <w:marTop w:val="0"/>
          <w:marBottom w:val="0"/>
          <w:divBdr>
            <w:top w:val="none" w:sz="0" w:space="0" w:color="auto"/>
            <w:left w:val="none" w:sz="0" w:space="0" w:color="auto"/>
            <w:bottom w:val="none" w:sz="0" w:space="0" w:color="auto"/>
            <w:right w:val="none" w:sz="0" w:space="0" w:color="auto"/>
          </w:divBdr>
        </w:div>
        <w:div w:id="32584163">
          <w:marLeft w:val="0"/>
          <w:marRight w:val="0"/>
          <w:marTop w:val="0"/>
          <w:marBottom w:val="0"/>
          <w:divBdr>
            <w:top w:val="none" w:sz="0" w:space="0" w:color="auto"/>
            <w:left w:val="none" w:sz="0" w:space="0" w:color="auto"/>
            <w:bottom w:val="none" w:sz="0" w:space="0" w:color="auto"/>
            <w:right w:val="none" w:sz="0" w:space="0" w:color="auto"/>
          </w:divBdr>
        </w:div>
        <w:div w:id="2028019588">
          <w:marLeft w:val="0"/>
          <w:marRight w:val="0"/>
          <w:marTop w:val="0"/>
          <w:marBottom w:val="0"/>
          <w:divBdr>
            <w:top w:val="none" w:sz="0" w:space="0" w:color="auto"/>
            <w:left w:val="none" w:sz="0" w:space="0" w:color="auto"/>
            <w:bottom w:val="none" w:sz="0" w:space="0" w:color="auto"/>
            <w:right w:val="none" w:sz="0" w:space="0" w:color="auto"/>
          </w:divBdr>
        </w:div>
        <w:div w:id="271015803">
          <w:marLeft w:val="0"/>
          <w:marRight w:val="0"/>
          <w:marTop w:val="0"/>
          <w:marBottom w:val="0"/>
          <w:divBdr>
            <w:top w:val="none" w:sz="0" w:space="0" w:color="auto"/>
            <w:left w:val="none" w:sz="0" w:space="0" w:color="auto"/>
            <w:bottom w:val="none" w:sz="0" w:space="0" w:color="auto"/>
            <w:right w:val="none" w:sz="0" w:space="0" w:color="auto"/>
          </w:divBdr>
        </w:div>
        <w:div w:id="251672244">
          <w:marLeft w:val="0"/>
          <w:marRight w:val="0"/>
          <w:marTop w:val="0"/>
          <w:marBottom w:val="0"/>
          <w:divBdr>
            <w:top w:val="none" w:sz="0" w:space="0" w:color="auto"/>
            <w:left w:val="none" w:sz="0" w:space="0" w:color="auto"/>
            <w:bottom w:val="none" w:sz="0" w:space="0" w:color="auto"/>
            <w:right w:val="none" w:sz="0" w:space="0" w:color="auto"/>
          </w:divBdr>
        </w:div>
        <w:div w:id="818307663">
          <w:marLeft w:val="0"/>
          <w:marRight w:val="0"/>
          <w:marTop w:val="0"/>
          <w:marBottom w:val="0"/>
          <w:divBdr>
            <w:top w:val="none" w:sz="0" w:space="0" w:color="auto"/>
            <w:left w:val="none" w:sz="0" w:space="0" w:color="auto"/>
            <w:bottom w:val="none" w:sz="0" w:space="0" w:color="auto"/>
            <w:right w:val="none" w:sz="0" w:space="0" w:color="auto"/>
          </w:divBdr>
        </w:div>
        <w:div w:id="624115229">
          <w:marLeft w:val="0"/>
          <w:marRight w:val="0"/>
          <w:marTop w:val="0"/>
          <w:marBottom w:val="0"/>
          <w:divBdr>
            <w:top w:val="none" w:sz="0" w:space="0" w:color="auto"/>
            <w:left w:val="none" w:sz="0" w:space="0" w:color="auto"/>
            <w:bottom w:val="none" w:sz="0" w:space="0" w:color="auto"/>
            <w:right w:val="none" w:sz="0" w:space="0" w:color="auto"/>
          </w:divBdr>
        </w:div>
        <w:div w:id="1971862194">
          <w:marLeft w:val="0"/>
          <w:marRight w:val="0"/>
          <w:marTop w:val="0"/>
          <w:marBottom w:val="0"/>
          <w:divBdr>
            <w:top w:val="none" w:sz="0" w:space="0" w:color="auto"/>
            <w:left w:val="none" w:sz="0" w:space="0" w:color="auto"/>
            <w:bottom w:val="none" w:sz="0" w:space="0" w:color="auto"/>
            <w:right w:val="none" w:sz="0" w:space="0" w:color="auto"/>
          </w:divBdr>
        </w:div>
        <w:div w:id="1467046724">
          <w:marLeft w:val="0"/>
          <w:marRight w:val="0"/>
          <w:marTop w:val="0"/>
          <w:marBottom w:val="0"/>
          <w:divBdr>
            <w:top w:val="none" w:sz="0" w:space="0" w:color="auto"/>
            <w:left w:val="none" w:sz="0" w:space="0" w:color="auto"/>
            <w:bottom w:val="none" w:sz="0" w:space="0" w:color="auto"/>
            <w:right w:val="none" w:sz="0" w:space="0" w:color="auto"/>
          </w:divBdr>
        </w:div>
        <w:div w:id="1976371475">
          <w:marLeft w:val="0"/>
          <w:marRight w:val="0"/>
          <w:marTop w:val="0"/>
          <w:marBottom w:val="0"/>
          <w:divBdr>
            <w:top w:val="none" w:sz="0" w:space="0" w:color="auto"/>
            <w:left w:val="none" w:sz="0" w:space="0" w:color="auto"/>
            <w:bottom w:val="none" w:sz="0" w:space="0" w:color="auto"/>
            <w:right w:val="none" w:sz="0" w:space="0" w:color="auto"/>
          </w:divBdr>
        </w:div>
        <w:div w:id="445196695">
          <w:marLeft w:val="0"/>
          <w:marRight w:val="0"/>
          <w:marTop w:val="0"/>
          <w:marBottom w:val="0"/>
          <w:divBdr>
            <w:top w:val="none" w:sz="0" w:space="0" w:color="auto"/>
            <w:left w:val="none" w:sz="0" w:space="0" w:color="auto"/>
            <w:bottom w:val="none" w:sz="0" w:space="0" w:color="auto"/>
            <w:right w:val="none" w:sz="0" w:space="0" w:color="auto"/>
          </w:divBdr>
        </w:div>
        <w:div w:id="232857109">
          <w:marLeft w:val="0"/>
          <w:marRight w:val="0"/>
          <w:marTop w:val="0"/>
          <w:marBottom w:val="0"/>
          <w:divBdr>
            <w:top w:val="none" w:sz="0" w:space="0" w:color="auto"/>
            <w:left w:val="none" w:sz="0" w:space="0" w:color="auto"/>
            <w:bottom w:val="none" w:sz="0" w:space="0" w:color="auto"/>
            <w:right w:val="none" w:sz="0" w:space="0" w:color="auto"/>
          </w:divBdr>
        </w:div>
        <w:div w:id="239025855">
          <w:marLeft w:val="0"/>
          <w:marRight w:val="0"/>
          <w:marTop w:val="0"/>
          <w:marBottom w:val="0"/>
          <w:divBdr>
            <w:top w:val="none" w:sz="0" w:space="0" w:color="auto"/>
            <w:left w:val="none" w:sz="0" w:space="0" w:color="auto"/>
            <w:bottom w:val="none" w:sz="0" w:space="0" w:color="auto"/>
            <w:right w:val="none" w:sz="0" w:space="0" w:color="auto"/>
          </w:divBdr>
        </w:div>
        <w:div w:id="1349677674">
          <w:marLeft w:val="0"/>
          <w:marRight w:val="0"/>
          <w:marTop w:val="0"/>
          <w:marBottom w:val="0"/>
          <w:divBdr>
            <w:top w:val="none" w:sz="0" w:space="0" w:color="auto"/>
            <w:left w:val="none" w:sz="0" w:space="0" w:color="auto"/>
            <w:bottom w:val="none" w:sz="0" w:space="0" w:color="auto"/>
            <w:right w:val="none" w:sz="0" w:space="0" w:color="auto"/>
          </w:divBdr>
        </w:div>
        <w:div w:id="1728844789">
          <w:marLeft w:val="0"/>
          <w:marRight w:val="0"/>
          <w:marTop w:val="0"/>
          <w:marBottom w:val="0"/>
          <w:divBdr>
            <w:top w:val="none" w:sz="0" w:space="0" w:color="auto"/>
            <w:left w:val="none" w:sz="0" w:space="0" w:color="auto"/>
            <w:bottom w:val="none" w:sz="0" w:space="0" w:color="auto"/>
            <w:right w:val="none" w:sz="0" w:space="0" w:color="auto"/>
          </w:divBdr>
        </w:div>
        <w:div w:id="487135002">
          <w:marLeft w:val="0"/>
          <w:marRight w:val="0"/>
          <w:marTop w:val="0"/>
          <w:marBottom w:val="0"/>
          <w:divBdr>
            <w:top w:val="none" w:sz="0" w:space="0" w:color="auto"/>
            <w:left w:val="none" w:sz="0" w:space="0" w:color="auto"/>
            <w:bottom w:val="none" w:sz="0" w:space="0" w:color="auto"/>
            <w:right w:val="none" w:sz="0" w:space="0" w:color="auto"/>
          </w:divBdr>
        </w:div>
        <w:div w:id="1304851996">
          <w:marLeft w:val="0"/>
          <w:marRight w:val="0"/>
          <w:marTop w:val="0"/>
          <w:marBottom w:val="0"/>
          <w:divBdr>
            <w:top w:val="none" w:sz="0" w:space="0" w:color="auto"/>
            <w:left w:val="none" w:sz="0" w:space="0" w:color="auto"/>
            <w:bottom w:val="none" w:sz="0" w:space="0" w:color="auto"/>
            <w:right w:val="none" w:sz="0" w:space="0" w:color="auto"/>
          </w:divBdr>
        </w:div>
        <w:div w:id="708457993">
          <w:marLeft w:val="0"/>
          <w:marRight w:val="0"/>
          <w:marTop w:val="0"/>
          <w:marBottom w:val="0"/>
          <w:divBdr>
            <w:top w:val="none" w:sz="0" w:space="0" w:color="auto"/>
            <w:left w:val="none" w:sz="0" w:space="0" w:color="auto"/>
            <w:bottom w:val="none" w:sz="0" w:space="0" w:color="auto"/>
            <w:right w:val="none" w:sz="0" w:space="0" w:color="auto"/>
          </w:divBdr>
        </w:div>
        <w:div w:id="353381426">
          <w:marLeft w:val="0"/>
          <w:marRight w:val="0"/>
          <w:marTop w:val="0"/>
          <w:marBottom w:val="0"/>
          <w:divBdr>
            <w:top w:val="none" w:sz="0" w:space="0" w:color="auto"/>
            <w:left w:val="none" w:sz="0" w:space="0" w:color="auto"/>
            <w:bottom w:val="none" w:sz="0" w:space="0" w:color="auto"/>
            <w:right w:val="none" w:sz="0" w:space="0" w:color="auto"/>
          </w:divBdr>
        </w:div>
        <w:div w:id="435908455">
          <w:marLeft w:val="0"/>
          <w:marRight w:val="0"/>
          <w:marTop w:val="0"/>
          <w:marBottom w:val="0"/>
          <w:divBdr>
            <w:top w:val="none" w:sz="0" w:space="0" w:color="auto"/>
            <w:left w:val="none" w:sz="0" w:space="0" w:color="auto"/>
            <w:bottom w:val="none" w:sz="0" w:space="0" w:color="auto"/>
            <w:right w:val="none" w:sz="0" w:space="0" w:color="auto"/>
          </w:divBdr>
        </w:div>
        <w:div w:id="2041932721">
          <w:marLeft w:val="0"/>
          <w:marRight w:val="0"/>
          <w:marTop w:val="0"/>
          <w:marBottom w:val="0"/>
          <w:divBdr>
            <w:top w:val="none" w:sz="0" w:space="0" w:color="auto"/>
            <w:left w:val="none" w:sz="0" w:space="0" w:color="auto"/>
            <w:bottom w:val="none" w:sz="0" w:space="0" w:color="auto"/>
            <w:right w:val="none" w:sz="0" w:space="0" w:color="auto"/>
          </w:divBdr>
        </w:div>
        <w:div w:id="536089449">
          <w:marLeft w:val="0"/>
          <w:marRight w:val="0"/>
          <w:marTop w:val="0"/>
          <w:marBottom w:val="0"/>
          <w:divBdr>
            <w:top w:val="none" w:sz="0" w:space="0" w:color="auto"/>
            <w:left w:val="none" w:sz="0" w:space="0" w:color="auto"/>
            <w:bottom w:val="none" w:sz="0" w:space="0" w:color="auto"/>
            <w:right w:val="none" w:sz="0" w:space="0" w:color="auto"/>
          </w:divBdr>
        </w:div>
        <w:div w:id="502281831">
          <w:marLeft w:val="0"/>
          <w:marRight w:val="0"/>
          <w:marTop w:val="0"/>
          <w:marBottom w:val="0"/>
          <w:divBdr>
            <w:top w:val="none" w:sz="0" w:space="0" w:color="auto"/>
            <w:left w:val="none" w:sz="0" w:space="0" w:color="auto"/>
            <w:bottom w:val="none" w:sz="0" w:space="0" w:color="auto"/>
            <w:right w:val="none" w:sz="0" w:space="0" w:color="auto"/>
          </w:divBdr>
        </w:div>
        <w:div w:id="862330102">
          <w:marLeft w:val="0"/>
          <w:marRight w:val="0"/>
          <w:marTop w:val="0"/>
          <w:marBottom w:val="0"/>
          <w:divBdr>
            <w:top w:val="none" w:sz="0" w:space="0" w:color="auto"/>
            <w:left w:val="none" w:sz="0" w:space="0" w:color="auto"/>
            <w:bottom w:val="none" w:sz="0" w:space="0" w:color="auto"/>
            <w:right w:val="none" w:sz="0" w:space="0" w:color="auto"/>
          </w:divBdr>
        </w:div>
        <w:div w:id="231308485">
          <w:marLeft w:val="0"/>
          <w:marRight w:val="0"/>
          <w:marTop w:val="0"/>
          <w:marBottom w:val="0"/>
          <w:divBdr>
            <w:top w:val="none" w:sz="0" w:space="0" w:color="auto"/>
            <w:left w:val="none" w:sz="0" w:space="0" w:color="auto"/>
            <w:bottom w:val="none" w:sz="0" w:space="0" w:color="auto"/>
            <w:right w:val="none" w:sz="0" w:space="0" w:color="auto"/>
          </w:divBdr>
        </w:div>
        <w:div w:id="1210800677">
          <w:marLeft w:val="0"/>
          <w:marRight w:val="0"/>
          <w:marTop w:val="0"/>
          <w:marBottom w:val="0"/>
          <w:divBdr>
            <w:top w:val="none" w:sz="0" w:space="0" w:color="auto"/>
            <w:left w:val="none" w:sz="0" w:space="0" w:color="auto"/>
            <w:bottom w:val="none" w:sz="0" w:space="0" w:color="auto"/>
            <w:right w:val="none" w:sz="0" w:space="0" w:color="auto"/>
          </w:divBdr>
        </w:div>
        <w:div w:id="1714309176">
          <w:marLeft w:val="0"/>
          <w:marRight w:val="0"/>
          <w:marTop w:val="0"/>
          <w:marBottom w:val="0"/>
          <w:divBdr>
            <w:top w:val="none" w:sz="0" w:space="0" w:color="auto"/>
            <w:left w:val="none" w:sz="0" w:space="0" w:color="auto"/>
            <w:bottom w:val="none" w:sz="0" w:space="0" w:color="auto"/>
            <w:right w:val="none" w:sz="0" w:space="0" w:color="auto"/>
          </w:divBdr>
        </w:div>
      </w:divsChild>
    </w:div>
    <w:div w:id="536167413">
      <w:bodyDiv w:val="1"/>
      <w:marLeft w:val="0"/>
      <w:marRight w:val="0"/>
      <w:marTop w:val="0"/>
      <w:marBottom w:val="0"/>
      <w:divBdr>
        <w:top w:val="none" w:sz="0" w:space="0" w:color="auto"/>
        <w:left w:val="none" w:sz="0" w:space="0" w:color="auto"/>
        <w:bottom w:val="none" w:sz="0" w:space="0" w:color="auto"/>
        <w:right w:val="none" w:sz="0" w:space="0" w:color="auto"/>
      </w:divBdr>
      <w:divsChild>
        <w:div w:id="340010735">
          <w:marLeft w:val="0"/>
          <w:marRight w:val="0"/>
          <w:marTop w:val="0"/>
          <w:marBottom w:val="0"/>
          <w:divBdr>
            <w:top w:val="none" w:sz="0" w:space="0" w:color="auto"/>
            <w:left w:val="none" w:sz="0" w:space="0" w:color="auto"/>
            <w:bottom w:val="none" w:sz="0" w:space="0" w:color="auto"/>
            <w:right w:val="none" w:sz="0" w:space="0" w:color="auto"/>
          </w:divBdr>
        </w:div>
      </w:divsChild>
    </w:div>
    <w:div w:id="633676354">
      <w:bodyDiv w:val="1"/>
      <w:marLeft w:val="0"/>
      <w:marRight w:val="0"/>
      <w:marTop w:val="0"/>
      <w:marBottom w:val="0"/>
      <w:divBdr>
        <w:top w:val="none" w:sz="0" w:space="0" w:color="auto"/>
        <w:left w:val="none" w:sz="0" w:space="0" w:color="auto"/>
        <w:bottom w:val="none" w:sz="0" w:space="0" w:color="auto"/>
        <w:right w:val="none" w:sz="0" w:space="0" w:color="auto"/>
      </w:divBdr>
      <w:divsChild>
        <w:div w:id="1730498149">
          <w:marLeft w:val="432"/>
          <w:marRight w:val="0"/>
          <w:marTop w:val="360"/>
          <w:marBottom w:val="0"/>
          <w:divBdr>
            <w:top w:val="none" w:sz="0" w:space="0" w:color="auto"/>
            <w:left w:val="none" w:sz="0" w:space="0" w:color="auto"/>
            <w:bottom w:val="none" w:sz="0" w:space="0" w:color="auto"/>
            <w:right w:val="none" w:sz="0" w:space="0" w:color="auto"/>
          </w:divBdr>
        </w:div>
      </w:divsChild>
    </w:div>
    <w:div w:id="646059038">
      <w:bodyDiv w:val="1"/>
      <w:marLeft w:val="0"/>
      <w:marRight w:val="0"/>
      <w:marTop w:val="0"/>
      <w:marBottom w:val="0"/>
      <w:divBdr>
        <w:top w:val="none" w:sz="0" w:space="0" w:color="auto"/>
        <w:left w:val="none" w:sz="0" w:space="0" w:color="auto"/>
        <w:bottom w:val="none" w:sz="0" w:space="0" w:color="auto"/>
        <w:right w:val="none" w:sz="0" w:space="0" w:color="auto"/>
      </w:divBdr>
      <w:divsChild>
        <w:div w:id="295646841">
          <w:marLeft w:val="432"/>
          <w:marRight w:val="0"/>
          <w:marTop w:val="360"/>
          <w:marBottom w:val="0"/>
          <w:divBdr>
            <w:top w:val="none" w:sz="0" w:space="0" w:color="auto"/>
            <w:left w:val="none" w:sz="0" w:space="0" w:color="auto"/>
            <w:bottom w:val="none" w:sz="0" w:space="0" w:color="auto"/>
            <w:right w:val="none" w:sz="0" w:space="0" w:color="auto"/>
          </w:divBdr>
        </w:div>
        <w:div w:id="225604776">
          <w:marLeft w:val="432"/>
          <w:marRight w:val="0"/>
          <w:marTop w:val="360"/>
          <w:marBottom w:val="0"/>
          <w:divBdr>
            <w:top w:val="none" w:sz="0" w:space="0" w:color="auto"/>
            <w:left w:val="none" w:sz="0" w:space="0" w:color="auto"/>
            <w:bottom w:val="none" w:sz="0" w:space="0" w:color="auto"/>
            <w:right w:val="none" w:sz="0" w:space="0" w:color="auto"/>
          </w:divBdr>
        </w:div>
        <w:div w:id="72702160">
          <w:marLeft w:val="432"/>
          <w:marRight w:val="0"/>
          <w:marTop w:val="360"/>
          <w:marBottom w:val="0"/>
          <w:divBdr>
            <w:top w:val="none" w:sz="0" w:space="0" w:color="auto"/>
            <w:left w:val="none" w:sz="0" w:space="0" w:color="auto"/>
            <w:bottom w:val="none" w:sz="0" w:space="0" w:color="auto"/>
            <w:right w:val="none" w:sz="0" w:space="0" w:color="auto"/>
          </w:divBdr>
        </w:div>
        <w:div w:id="1735397905">
          <w:marLeft w:val="432"/>
          <w:marRight w:val="0"/>
          <w:marTop w:val="360"/>
          <w:marBottom w:val="0"/>
          <w:divBdr>
            <w:top w:val="none" w:sz="0" w:space="0" w:color="auto"/>
            <w:left w:val="none" w:sz="0" w:space="0" w:color="auto"/>
            <w:bottom w:val="none" w:sz="0" w:space="0" w:color="auto"/>
            <w:right w:val="none" w:sz="0" w:space="0" w:color="auto"/>
          </w:divBdr>
        </w:div>
        <w:div w:id="1854878121">
          <w:marLeft w:val="432"/>
          <w:marRight w:val="0"/>
          <w:marTop w:val="360"/>
          <w:marBottom w:val="0"/>
          <w:divBdr>
            <w:top w:val="none" w:sz="0" w:space="0" w:color="auto"/>
            <w:left w:val="none" w:sz="0" w:space="0" w:color="auto"/>
            <w:bottom w:val="none" w:sz="0" w:space="0" w:color="auto"/>
            <w:right w:val="none" w:sz="0" w:space="0" w:color="auto"/>
          </w:divBdr>
        </w:div>
      </w:divsChild>
    </w:div>
    <w:div w:id="700129168">
      <w:bodyDiv w:val="1"/>
      <w:marLeft w:val="0"/>
      <w:marRight w:val="0"/>
      <w:marTop w:val="0"/>
      <w:marBottom w:val="0"/>
      <w:divBdr>
        <w:top w:val="none" w:sz="0" w:space="0" w:color="auto"/>
        <w:left w:val="none" w:sz="0" w:space="0" w:color="auto"/>
        <w:bottom w:val="none" w:sz="0" w:space="0" w:color="auto"/>
        <w:right w:val="none" w:sz="0" w:space="0" w:color="auto"/>
      </w:divBdr>
      <w:divsChild>
        <w:div w:id="1254587201">
          <w:marLeft w:val="0"/>
          <w:marRight w:val="0"/>
          <w:marTop w:val="0"/>
          <w:marBottom w:val="0"/>
          <w:divBdr>
            <w:top w:val="none" w:sz="0" w:space="0" w:color="auto"/>
            <w:left w:val="none" w:sz="0" w:space="0" w:color="auto"/>
            <w:bottom w:val="none" w:sz="0" w:space="0" w:color="auto"/>
            <w:right w:val="none" w:sz="0" w:space="0" w:color="auto"/>
          </w:divBdr>
        </w:div>
      </w:divsChild>
    </w:div>
    <w:div w:id="740130082">
      <w:bodyDiv w:val="1"/>
      <w:marLeft w:val="0"/>
      <w:marRight w:val="0"/>
      <w:marTop w:val="0"/>
      <w:marBottom w:val="0"/>
      <w:divBdr>
        <w:top w:val="none" w:sz="0" w:space="0" w:color="auto"/>
        <w:left w:val="none" w:sz="0" w:space="0" w:color="auto"/>
        <w:bottom w:val="none" w:sz="0" w:space="0" w:color="auto"/>
        <w:right w:val="none" w:sz="0" w:space="0" w:color="auto"/>
      </w:divBdr>
      <w:divsChild>
        <w:div w:id="1952126335">
          <w:marLeft w:val="0"/>
          <w:marRight w:val="0"/>
          <w:marTop w:val="0"/>
          <w:marBottom w:val="0"/>
          <w:divBdr>
            <w:top w:val="none" w:sz="0" w:space="0" w:color="auto"/>
            <w:left w:val="none" w:sz="0" w:space="0" w:color="auto"/>
            <w:bottom w:val="none" w:sz="0" w:space="0" w:color="auto"/>
            <w:right w:val="none" w:sz="0" w:space="0" w:color="auto"/>
          </w:divBdr>
        </w:div>
      </w:divsChild>
    </w:div>
    <w:div w:id="757598724">
      <w:bodyDiv w:val="1"/>
      <w:marLeft w:val="0"/>
      <w:marRight w:val="0"/>
      <w:marTop w:val="0"/>
      <w:marBottom w:val="0"/>
      <w:divBdr>
        <w:top w:val="none" w:sz="0" w:space="0" w:color="auto"/>
        <w:left w:val="none" w:sz="0" w:space="0" w:color="auto"/>
        <w:bottom w:val="none" w:sz="0" w:space="0" w:color="auto"/>
        <w:right w:val="none" w:sz="0" w:space="0" w:color="auto"/>
      </w:divBdr>
      <w:divsChild>
        <w:div w:id="514265721">
          <w:marLeft w:val="0"/>
          <w:marRight w:val="0"/>
          <w:marTop w:val="0"/>
          <w:marBottom w:val="0"/>
          <w:divBdr>
            <w:top w:val="none" w:sz="0" w:space="0" w:color="auto"/>
            <w:left w:val="none" w:sz="0" w:space="0" w:color="auto"/>
            <w:bottom w:val="none" w:sz="0" w:space="0" w:color="auto"/>
            <w:right w:val="none" w:sz="0" w:space="0" w:color="auto"/>
          </w:divBdr>
        </w:div>
      </w:divsChild>
    </w:div>
    <w:div w:id="859516257">
      <w:bodyDiv w:val="1"/>
      <w:marLeft w:val="0"/>
      <w:marRight w:val="0"/>
      <w:marTop w:val="0"/>
      <w:marBottom w:val="0"/>
      <w:divBdr>
        <w:top w:val="none" w:sz="0" w:space="0" w:color="auto"/>
        <w:left w:val="none" w:sz="0" w:space="0" w:color="auto"/>
        <w:bottom w:val="none" w:sz="0" w:space="0" w:color="auto"/>
        <w:right w:val="none" w:sz="0" w:space="0" w:color="auto"/>
      </w:divBdr>
    </w:div>
    <w:div w:id="890531435">
      <w:bodyDiv w:val="1"/>
      <w:marLeft w:val="0"/>
      <w:marRight w:val="0"/>
      <w:marTop w:val="0"/>
      <w:marBottom w:val="0"/>
      <w:divBdr>
        <w:top w:val="none" w:sz="0" w:space="0" w:color="auto"/>
        <w:left w:val="none" w:sz="0" w:space="0" w:color="auto"/>
        <w:bottom w:val="none" w:sz="0" w:space="0" w:color="auto"/>
        <w:right w:val="none" w:sz="0" w:space="0" w:color="auto"/>
      </w:divBdr>
    </w:div>
    <w:div w:id="891385371">
      <w:bodyDiv w:val="1"/>
      <w:marLeft w:val="0"/>
      <w:marRight w:val="0"/>
      <w:marTop w:val="0"/>
      <w:marBottom w:val="0"/>
      <w:divBdr>
        <w:top w:val="none" w:sz="0" w:space="0" w:color="auto"/>
        <w:left w:val="none" w:sz="0" w:space="0" w:color="auto"/>
        <w:bottom w:val="none" w:sz="0" w:space="0" w:color="auto"/>
        <w:right w:val="none" w:sz="0" w:space="0" w:color="auto"/>
      </w:divBdr>
    </w:div>
    <w:div w:id="966931927">
      <w:bodyDiv w:val="1"/>
      <w:marLeft w:val="0"/>
      <w:marRight w:val="0"/>
      <w:marTop w:val="0"/>
      <w:marBottom w:val="0"/>
      <w:divBdr>
        <w:top w:val="none" w:sz="0" w:space="0" w:color="auto"/>
        <w:left w:val="none" w:sz="0" w:space="0" w:color="auto"/>
        <w:bottom w:val="none" w:sz="0" w:space="0" w:color="auto"/>
        <w:right w:val="none" w:sz="0" w:space="0" w:color="auto"/>
      </w:divBdr>
    </w:div>
    <w:div w:id="1075250412">
      <w:bodyDiv w:val="1"/>
      <w:marLeft w:val="0"/>
      <w:marRight w:val="0"/>
      <w:marTop w:val="0"/>
      <w:marBottom w:val="0"/>
      <w:divBdr>
        <w:top w:val="none" w:sz="0" w:space="0" w:color="auto"/>
        <w:left w:val="none" w:sz="0" w:space="0" w:color="auto"/>
        <w:bottom w:val="none" w:sz="0" w:space="0" w:color="auto"/>
        <w:right w:val="none" w:sz="0" w:space="0" w:color="auto"/>
      </w:divBdr>
    </w:div>
    <w:div w:id="1181773542">
      <w:bodyDiv w:val="1"/>
      <w:marLeft w:val="0"/>
      <w:marRight w:val="0"/>
      <w:marTop w:val="0"/>
      <w:marBottom w:val="0"/>
      <w:divBdr>
        <w:top w:val="none" w:sz="0" w:space="0" w:color="auto"/>
        <w:left w:val="none" w:sz="0" w:space="0" w:color="auto"/>
        <w:bottom w:val="none" w:sz="0" w:space="0" w:color="auto"/>
        <w:right w:val="none" w:sz="0" w:space="0" w:color="auto"/>
      </w:divBdr>
    </w:div>
    <w:div w:id="1224488814">
      <w:bodyDiv w:val="1"/>
      <w:marLeft w:val="0"/>
      <w:marRight w:val="0"/>
      <w:marTop w:val="0"/>
      <w:marBottom w:val="0"/>
      <w:divBdr>
        <w:top w:val="none" w:sz="0" w:space="0" w:color="auto"/>
        <w:left w:val="none" w:sz="0" w:space="0" w:color="auto"/>
        <w:bottom w:val="none" w:sz="0" w:space="0" w:color="auto"/>
        <w:right w:val="none" w:sz="0" w:space="0" w:color="auto"/>
      </w:divBdr>
    </w:div>
    <w:div w:id="1239629242">
      <w:bodyDiv w:val="1"/>
      <w:marLeft w:val="0"/>
      <w:marRight w:val="0"/>
      <w:marTop w:val="0"/>
      <w:marBottom w:val="0"/>
      <w:divBdr>
        <w:top w:val="none" w:sz="0" w:space="0" w:color="auto"/>
        <w:left w:val="none" w:sz="0" w:space="0" w:color="auto"/>
        <w:bottom w:val="none" w:sz="0" w:space="0" w:color="auto"/>
        <w:right w:val="none" w:sz="0" w:space="0" w:color="auto"/>
      </w:divBdr>
      <w:divsChild>
        <w:div w:id="198934208">
          <w:marLeft w:val="0"/>
          <w:marRight w:val="0"/>
          <w:marTop w:val="0"/>
          <w:marBottom w:val="0"/>
          <w:divBdr>
            <w:top w:val="none" w:sz="0" w:space="0" w:color="auto"/>
            <w:left w:val="none" w:sz="0" w:space="0" w:color="auto"/>
            <w:bottom w:val="none" w:sz="0" w:space="0" w:color="auto"/>
            <w:right w:val="none" w:sz="0" w:space="0" w:color="auto"/>
          </w:divBdr>
        </w:div>
      </w:divsChild>
    </w:div>
    <w:div w:id="1280408924">
      <w:bodyDiv w:val="1"/>
      <w:marLeft w:val="0"/>
      <w:marRight w:val="0"/>
      <w:marTop w:val="0"/>
      <w:marBottom w:val="0"/>
      <w:divBdr>
        <w:top w:val="none" w:sz="0" w:space="0" w:color="auto"/>
        <w:left w:val="none" w:sz="0" w:space="0" w:color="auto"/>
        <w:bottom w:val="none" w:sz="0" w:space="0" w:color="auto"/>
        <w:right w:val="none" w:sz="0" w:space="0" w:color="auto"/>
      </w:divBdr>
      <w:divsChild>
        <w:div w:id="1847672252">
          <w:marLeft w:val="432"/>
          <w:marRight w:val="0"/>
          <w:marTop w:val="360"/>
          <w:marBottom w:val="0"/>
          <w:divBdr>
            <w:top w:val="none" w:sz="0" w:space="0" w:color="auto"/>
            <w:left w:val="none" w:sz="0" w:space="0" w:color="auto"/>
            <w:bottom w:val="none" w:sz="0" w:space="0" w:color="auto"/>
            <w:right w:val="none" w:sz="0" w:space="0" w:color="auto"/>
          </w:divBdr>
        </w:div>
        <w:div w:id="251276592">
          <w:marLeft w:val="432"/>
          <w:marRight w:val="0"/>
          <w:marTop w:val="360"/>
          <w:marBottom w:val="0"/>
          <w:divBdr>
            <w:top w:val="none" w:sz="0" w:space="0" w:color="auto"/>
            <w:left w:val="none" w:sz="0" w:space="0" w:color="auto"/>
            <w:bottom w:val="none" w:sz="0" w:space="0" w:color="auto"/>
            <w:right w:val="none" w:sz="0" w:space="0" w:color="auto"/>
          </w:divBdr>
        </w:div>
        <w:div w:id="1711345138">
          <w:marLeft w:val="432"/>
          <w:marRight w:val="0"/>
          <w:marTop w:val="360"/>
          <w:marBottom w:val="0"/>
          <w:divBdr>
            <w:top w:val="none" w:sz="0" w:space="0" w:color="auto"/>
            <w:left w:val="none" w:sz="0" w:space="0" w:color="auto"/>
            <w:bottom w:val="none" w:sz="0" w:space="0" w:color="auto"/>
            <w:right w:val="none" w:sz="0" w:space="0" w:color="auto"/>
          </w:divBdr>
        </w:div>
        <w:div w:id="1909655037">
          <w:marLeft w:val="432"/>
          <w:marRight w:val="0"/>
          <w:marTop w:val="360"/>
          <w:marBottom w:val="0"/>
          <w:divBdr>
            <w:top w:val="none" w:sz="0" w:space="0" w:color="auto"/>
            <w:left w:val="none" w:sz="0" w:space="0" w:color="auto"/>
            <w:bottom w:val="none" w:sz="0" w:space="0" w:color="auto"/>
            <w:right w:val="none" w:sz="0" w:space="0" w:color="auto"/>
          </w:divBdr>
        </w:div>
        <w:div w:id="1603220373">
          <w:marLeft w:val="432"/>
          <w:marRight w:val="0"/>
          <w:marTop w:val="360"/>
          <w:marBottom w:val="0"/>
          <w:divBdr>
            <w:top w:val="none" w:sz="0" w:space="0" w:color="auto"/>
            <w:left w:val="none" w:sz="0" w:space="0" w:color="auto"/>
            <w:bottom w:val="none" w:sz="0" w:space="0" w:color="auto"/>
            <w:right w:val="none" w:sz="0" w:space="0" w:color="auto"/>
          </w:divBdr>
        </w:div>
        <w:div w:id="929385459">
          <w:marLeft w:val="432"/>
          <w:marRight w:val="0"/>
          <w:marTop w:val="360"/>
          <w:marBottom w:val="0"/>
          <w:divBdr>
            <w:top w:val="none" w:sz="0" w:space="0" w:color="auto"/>
            <w:left w:val="none" w:sz="0" w:space="0" w:color="auto"/>
            <w:bottom w:val="none" w:sz="0" w:space="0" w:color="auto"/>
            <w:right w:val="none" w:sz="0" w:space="0" w:color="auto"/>
          </w:divBdr>
        </w:div>
      </w:divsChild>
    </w:div>
    <w:div w:id="1317493772">
      <w:bodyDiv w:val="1"/>
      <w:marLeft w:val="0"/>
      <w:marRight w:val="0"/>
      <w:marTop w:val="0"/>
      <w:marBottom w:val="0"/>
      <w:divBdr>
        <w:top w:val="none" w:sz="0" w:space="0" w:color="auto"/>
        <w:left w:val="none" w:sz="0" w:space="0" w:color="auto"/>
        <w:bottom w:val="none" w:sz="0" w:space="0" w:color="auto"/>
        <w:right w:val="none" w:sz="0" w:space="0" w:color="auto"/>
      </w:divBdr>
    </w:div>
    <w:div w:id="1361510662">
      <w:bodyDiv w:val="1"/>
      <w:marLeft w:val="0"/>
      <w:marRight w:val="0"/>
      <w:marTop w:val="0"/>
      <w:marBottom w:val="0"/>
      <w:divBdr>
        <w:top w:val="none" w:sz="0" w:space="0" w:color="auto"/>
        <w:left w:val="none" w:sz="0" w:space="0" w:color="auto"/>
        <w:bottom w:val="none" w:sz="0" w:space="0" w:color="auto"/>
        <w:right w:val="none" w:sz="0" w:space="0" w:color="auto"/>
      </w:divBdr>
    </w:div>
    <w:div w:id="1365407138">
      <w:bodyDiv w:val="1"/>
      <w:marLeft w:val="0"/>
      <w:marRight w:val="0"/>
      <w:marTop w:val="0"/>
      <w:marBottom w:val="0"/>
      <w:divBdr>
        <w:top w:val="none" w:sz="0" w:space="0" w:color="auto"/>
        <w:left w:val="none" w:sz="0" w:space="0" w:color="auto"/>
        <w:bottom w:val="none" w:sz="0" w:space="0" w:color="auto"/>
        <w:right w:val="none" w:sz="0" w:space="0" w:color="auto"/>
      </w:divBdr>
      <w:divsChild>
        <w:div w:id="151920854">
          <w:marLeft w:val="0"/>
          <w:marRight w:val="0"/>
          <w:marTop w:val="0"/>
          <w:marBottom w:val="0"/>
          <w:divBdr>
            <w:top w:val="none" w:sz="0" w:space="0" w:color="auto"/>
            <w:left w:val="none" w:sz="0" w:space="0" w:color="auto"/>
            <w:bottom w:val="none" w:sz="0" w:space="0" w:color="auto"/>
            <w:right w:val="none" w:sz="0" w:space="0" w:color="auto"/>
          </w:divBdr>
        </w:div>
      </w:divsChild>
    </w:div>
    <w:div w:id="1380785998">
      <w:bodyDiv w:val="1"/>
      <w:marLeft w:val="0"/>
      <w:marRight w:val="0"/>
      <w:marTop w:val="0"/>
      <w:marBottom w:val="0"/>
      <w:divBdr>
        <w:top w:val="none" w:sz="0" w:space="0" w:color="auto"/>
        <w:left w:val="none" w:sz="0" w:space="0" w:color="auto"/>
        <w:bottom w:val="none" w:sz="0" w:space="0" w:color="auto"/>
        <w:right w:val="none" w:sz="0" w:space="0" w:color="auto"/>
      </w:divBdr>
    </w:div>
    <w:div w:id="1428958949">
      <w:bodyDiv w:val="1"/>
      <w:marLeft w:val="0"/>
      <w:marRight w:val="0"/>
      <w:marTop w:val="0"/>
      <w:marBottom w:val="0"/>
      <w:divBdr>
        <w:top w:val="none" w:sz="0" w:space="0" w:color="auto"/>
        <w:left w:val="none" w:sz="0" w:space="0" w:color="auto"/>
        <w:bottom w:val="none" w:sz="0" w:space="0" w:color="auto"/>
        <w:right w:val="none" w:sz="0" w:space="0" w:color="auto"/>
      </w:divBdr>
      <w:divsChild>
        <w:div w:id="1238245887">
          <w:marLeft w:val="0"/>
          <w:marRight w:val="0"/>
          <w:marTop w:val="0"/>
          <w:marBottom w:val="0"/>
          <w:divBdr>
            <w:top w:val="none" w:sz="0" w:space="0" w:color="auto"/>
            <w:left w:val="none" w:sz="0" w:space="0" w:color="auto"/>
            <w:bottom w:val="none" w:sz="0" w:space="0" w:color="auto"/>
            <w:right w:val="none" w:sz="0" w:space="0" w:color="auto"/>
          </w:divBdr>
        </w:div>
      </w:divsChild>
    </w:div>
    <w:div w:id="1476751541">
      <w:bodyDiv w:val="1"/>
      <w:marLeft w:val="0"/>
      <w:marRight w:val="0"/>
      <w:marTop w:val="0"/>
      <w:marBottom w:val="0"/>
      <w:divBdr>
        <w:top w:val="none" w:sz="0" w:space="0" w:color="auto"/>
        <w:left w:val="none" w:sz="0" w:space="0" w:color="auto"/>
        <w:bottom w:val="none" w:sz="0" w:space="0" w:color="auto"/>
        <w:right w:val="none" w:sz="0" w:space="0" w:color="auto"/>
      </w:divBdr>
      <w:divsChild>
        <w:div w:id="523787613">
          <w:marLeft w:val="0"/>
          <w:marRight w:val="0"/>
          <w:marTop w:val="0"/>
          <w:marBottom w:val="0"/>
          <w:divBdr>
            <w:top w:val="none" w:sz="0" w:space="0" w:color="auto"/>
            <w:left w:val="none" w:sz="0" w:space="0" w:color="auto"/>
            <w:bottom w:val="none" w:sz="0" w:space="0" w:color="auto"/>
            <w:right w:val="none" w:sz="0" w:space="0" w:color="auto"/>
          </w:divBdr>
        </w:div>
      </w:divsChild>
    </w:div>
    <w:div w:id="1535465686">
      <w:bodyDiv w:val="1"/>
      <w:marLeft w:val="0"/>
      <w:marRight w:val="0"/>
      <w:marTop w:val="0"/>
      <w:marBottom w:val="0"/>
      <w:divBdr>
        <w:top w:val="none" w:sz="0" w:space="0" w:color="auto"/>
        <w:left w:val="none" w:sz="0" w:space="0" w:color="auto"/>
        <w:bottom w:val="none" w:sz="0" w:space="0" w:color="auto"/>
        <w:right w:val="none" w:sz="0" w:space="0" w:color="auto"/>
      </w:divBdr>
      <w:divsChild>
        <w:div w:id="785809226">
          <w:marLeft w:val="0"/>
          <w:marRight w:val="0"/>
          <w:marTop w:val="0"/>
          <w:marBottom w:val="0"/>
          <w:divBdr>
            <w:top w:val="none" w:sz="0" w:space="0" w:color="auto"/>
            <w:left w:val="none" w:sz="0" w:space="0" w:color="auto"/>
            <w:bottom w:val="none" w:sz="0" w:space="0" w:color="auto"/>
            <w:right w:val="none" w:sz="0" w:space="0" w:color="auto"/>
          </w:divBdr>
        </w:div>
      </w:divsChild>
    </w:div>
    <w:div w:id="1543516766">
      <w:bodyDiv w:val="1"/>
      <w:marLeft w:val="0"/>
      <w:marRight w:val="0"/>
      <w:marTop w:val="0"/>
      <w:marBottom w:val="0"/>
      <w:divBdr>
        <w:top w:val="none" w:sz="0" w:space="0" w:color="auto"/>
        <w:left w:val="none" w:sz="0" w:space="0" w:color="auto"/>
        <w:bottom w:val="none" w:sz="0" w:space="0" w:color="auto"/>
        <w:right w:val="none" w:sz="0" w:space="0" w:color="auto"/>
      </w:divBdr>
    </w:div>
    <w:div w:id="1565987299">
      <w:bodyDiv w:val="1"/>
      <w:marLeft w:val="0"/>
      <w:marRight w:val="0"/>
      <w:marTop w:val="0"/>
      <w:marBottom w:val="0"/>
      <w:divBdr>
        <w:top w:val="none" w:sz="0" w:space="0" w:color="auto"/>
        <w:left w:val="none" w:sz="0" w:space="0" w:color="auto"/>
        <w:bottom w:val="none" w:sz="0" w:space="0" w:color="auto"/>
        <w:right w:val="none" w:sz="0" w:space="0" w:color="auto"/>
      </w:divBdr>
    </w:div>
    <w:div w:id="1603030629">
      <w:bodyDiv w:val="1"/>
      <w:marLeft w:val="0"/>
      <w:marRight w:val="0"/>
      <w:marTop w:val="0"/>
      <w:marBottom w:val="0"/>
      <w:divBdr>
        <w:top w:val="none" w:sz="0" w:space="0" w:color="auto"/>
        <w:left w:val="none" w:sz="0" w:space="0" w:color="auto"/>
        <w:bottom w:val="none" w:sz="0" w:space="0" w:color="auto"/>
        <w:right w:val="none" w:sz="0" w:space="0" w:color="auto"/>
      </w:divBdr>
    </w:div>
    <w:div w:id="1690907932">
      <w:bodyDiv w:val="1"/>
      <w:marLeft w:val="0"/>
      <w:marRight w:val="0"/>
      <w:marTop w:val="0"/>
      <w:marBottom w:val="0"/>
      <w:divBdr>
        <w:top w:val="none" w:sz="0" w:space="0" w:color="auto"/>
        <w:left w:val="none" w:sz="0" w:space="0" w:color="auto"/>
        <w:bottom w:val="none" w:sz="0" w:space="0" w:color="auto"/>
        <w:right w:val="none" w:sz="0" w:space="0" w:color="auto"/>
      </w:divBdr>
      <w:divsChild>
        <w:div w:id="79570109">
          <w:marLeft w:val="432"/>
          <w:marRight w:val="0"/>
          <w:marTop w:val="360"/>
          <w:marBottom w:val="0"/>
          <w:divBdr>
            <w:top w:val="none" w:sz="0" w:space="0" w:color="auto"/>
            <w:left w:val="none" w:sz="0" w:space="0" w:color="auto"/>
            <w:bottom w:val="none" w:sz="0" w:space="0" w:color="auto"/>
            <w:right w:val="none" w:sz="0" w:space="0" w:color="auto"/>
          </w:divBdr>
        </w:div>
        <w:div w:id="1620531668">
          <w:marLeft w:val="432"/>
          <w:marRight w:val="0"/>
          <w:marTop w:val="360"/>
          <w:marBottom w:val="0"/>
          <w:divBdr>
            <w:top w:val="none" w:sz="0" w:space="0" w:color="auto"/>
            <w:left w:val="none" w:sz="0" w:space="0" w:color="auto"/>
            <w:bottom w:val="none" w:sz="0" w:space="0" w:color="auto"/>
            <w:right w:val="none" w:sz="0" w:space="0" w:color="auto"/>
          </w:divBdr>
        </w:div>
        <w:div w:id="2130007378">
          <w:marLeft w:val="432"/>
          <w:marRight w:val="0"/>
          <w:marTop w:val="360"/>
          <w:marBottom w:val="0"/>
          <w:divBdr>
            <w:top w:val="none" w:sz="0" w:space="0" w:color="auto"/>
            <w:left w:val="none" w:sz="0" w:space="0" w:color="auto"/>
            <w:bottom w:val="none" w:sz="0" w:space="0" w:color="auto"/>
            <w:right w:val="none" w:sz="0" w:space="0" w:color="auto"/>
          </w:divBdr>
        </w:div>
        <w:div w:id="559442852">
          <w:marLeft w:val="432"/>
          <w:marRight w:val="0"/>
          <w:marTop w:val="360"/>
          <w:marBottom w:val="0"/>
          <w:divBdr>
            <w:top w:val="none" w:sz="0" w:space="0" w:color="auto"/>
            <w:left w:val="none" w:sz="0" w:space="0" w:color="auto"/>
            <w:bottom w:val="none" w:sz="0" w:space="0" w:color="auto"/>
            <w:right w:val="none" w:sz="0" w:space="0" w:color="auto"/>
          </w:divBdr>
        </w:div>
        <w:div w:id="472871253">
          <w:marLeft w:val="432"/>
          <w:marRight w:val="0"/>
          <w:marTop w:val="360"/>
          <w:marBottom w:val="0"/>
          <w:divBdr>
            <w:top w:val="none" w:sz="0" w:space="0" w:color="auto"/>
            <w:left w:val="none" w:sz="0" w:space="0" w:color="auto"/>
            <w:bottom w:val="none" w:sz="0" w:space="0" w:color="auto"/>
            <w:right w:val="none" w:sz="0" w:space="0" w:color="auto"/>
          </w:divBdr>
        </w:div>
      </w:divsChild>
    </w:div>
    <w:div w:id="1760297378">
      <w:bodyDiv w:val="1"/>
      <w:marLeft w:val="0"/>
      <w:marRight w:val="0"/>
      <w:marTop w:val="0"/>
      <w:marBottom w:val="0"/>
      <w:divBdr>
        <w:top w:val="none" w:sz="0" w:space="0" w:color="auto"/>
        <w:left w:val="none" w:sz="0" w:space="0" w:color="auto"/>
        <w:bottom w:val="none" w:sz="0" w:space="0" w:color="auto"/>
        <w:right w:val="none" w:sz="0" w:space="0" w:color="auto"/>
      </w:divBdr>
    </w:div>
    <w:div w:id="1794597264">
      <w:bodyDiv w:val="1"/>
      <w:marLeft w:val="0"/>
      <w:marRight w:val="0"/>
      <w:marTop w:val="0"/>
      <w:marBottom w:val="0"/>
      <w:divBdr>
        <w:top w:val="none" w:sz="0" w:space="0" w:color="auto"/>
        <w:left w:val="none" w:sz="0" w:space="0" w:color="auto"/>
        <w:bottom w:val="none" w:sz="0" w:space="0" w:color="auto"/>
        <w:right w:val="none" w:sz="0" w:space="0" w:color="auto"/>
      </w:divBdr>
    </w:div>
    <w:div w:id="1834712532">
      <w:bodyDiv w:val="1"/>
      <w:marLeft w:val="0"/>
      <w:marRight w:val="0"/>
      <w:marTop w:val="0"/>
      <w:marBottom w:val="0"/>
      <w:divBdr>
        <w:top w:val="none" w:sz="0" w:space="0" w:color="auto"/>
        <w:left w:val="none" w:sz="0" w:space="0" w:color="auto"/>
        <w:bottom w:val="none" w:sz="0" w:space="0" w:color="auto"/>
        <w:right w:val="none" w:sz="0" w:space="0" w:color="auto"/>
      </w:divBdr>
    </w:div>
    <w:div w:id="1889565721">
      <w:bodyDiv w:val="1"/>
      <w:marLeft w:val="0"/>
      <w:marRight w:val="0"/>
      <w:marTop w:val="0"/>
      <w:marBottom w:val="0"/>
      <w:divBdr>
        <w:top w:val="none" w:sz="0" w:space="0" w:color="auto"/>
        <w:left w:val="none" w:sz="0" w:space="0" w:color="auto"/>
        <w:bottom w:val="none" w:sz="0" w:space="0" w:color="auto"/>
        <w:right w:val="none" w:sz="0" w:space="0" w:color="auto"/>
      </w:divBdr>
      <w:divsChild>
        <w:div w:id="1483960354">
          <w:marLeft w:val="0"/>
          <w:marRight w:val="0"/>
          <w:marTop w:val="0"/>
          <w:marBottom w:val="0"/>
          <w:divBdr>
            <w:top w:val="none" w:sz="0" w:space="0" w:color="auto"/>
            <w:left w:val="none" w:sz="0" w:space="0" w:color="auto"/>
            <w:bottom w:val="none" w:sz="0" w:space="0" w:color="auto"/>
            <w:right w:val="none" w:sz="0" w:space="0" w:color="auto"/>
          </w:divBdr>
        </w:div>
      </w:divsChild>
    </w:div>
    <w:div w:id="1941837601">
      <w:bodyDiv w:val="1"/>
      <w:marLeft w:val="0"/>
      <w:marRight w:val="0"/>
      <w:marTop w:val="0"/>
      <w:marBottom w:val="0"/>
      <w:divBdr>
        <w:top w:val="none" w:sz="0" w:space="0" w:color="auto"/>
        <w:left w:val="none" w:sz="0" w:space="0" w:color="auto"/>
        <w:bottom w:val="none" w:sz="0" w:space="0" w:color="auto"/>
        <w:right w:val="none" w:sz="0" w:space="0" w:color="auto"/>
      </w:divBdr>
      <w:divsChild>
        <w:div w:id="860440414">
          <w:marLeft w:val="0"/>
          <w:marRight w:val="0"/>
          <w:marTop w:val="0"/>
          <w:marBottom w:val="0"/>
          <w:divBdr>
            <w:top w:val="none" w:sz="0" w:space="0" w:color="auto"/>
            <w:left w:val="none" w:sz="0" w:space="0" w:color="auto"/>
            <w:bottom w:val="none" w:sz="0" w:space="0" w:color="auto"/>
            <w:right w:val="none" w:sz="0" w:space="0" w:color="auto"/>
          </w:divBdr>
        </w:div>
      </w:divsChild>
    </w:div>
    <w:div w:id="2005742604">
      <w:bodyDiv w:val="1"/>
      <w:marLeft w:val="0"/>
      <w:marRight w:val="0"/>
      <w:marTop w:val="0"/>
      <w:marBottom w:val="0"/>
      <w:divBdr>
        <w:top w:val="none" w:sz="0" w:space="0" w:color="auto"/>
        <w:left w:val="none" w:sz="0" w:space="0" w:color="auto"/>
        <w:bottom w:val="none" w:sz="0" w:space="0" w:color="auto"/>
        <w:right w:val="none" w:sz="0" w:space="0" w:color="auto"/>
      </w:divBdr>
      <w:divsChild>
        <w:div w:id="1529180258">
          <w:marLeft w:val="432"/>
          <w:marRight w:val="0"/>
          <w:marTop w:val="360"/>
          <w:marBottom w:val="0"/>
          <w:divBdr>
            <w:top w:val="none" w:sz="0" w:space="0" w:color="auto"/>
            <w:left w:val="none" w:sz="0" w:space="0" w:color="auto"/>
            <w:bottom w:val="none" w:sz="0" w:space="0" w:color="auto"/>
            <w:right w:val="none" w:sz="0" w:space="0" w:color="auto"/>
          </w:divBdr>
        </w:div>
      </w:divsChild>
    </w:div>
    <w:div w:id="2019578476">
      <w:bodyDiv w:val="1"/>
      <w:marLeft w:val="0"/>
      <w:marRight w:val="0"/>
      <w:marTop w:val="0"/>
      <w:marBottom w:val="0"/>
      <w:divBdr>
        <w:top w:val="none" w:sz="0" w:space="0" w:color="auto"/>
        <w:left w:val="none" w:sz="0" w:space="0" w:color="auto"/>
        <w:bottom w:val="none" w:sz="0" w:space="0" w:color="auto"/>
        <w:right w:val="none" w:sz="0" w:space="0" w:color="auto"/>
      </w:divBdr>
      <w:divsChild>
        <w:div w:id="811286542">
          <w:marLeft w:val="432"/>
          <w:marRight w:val="0"/>
          <w:marTop w:val="360"/>
          <w:marBottom w:val="0"/>
          <w:divBdr>
            <w:top w:val="none" w:sz="0" w:space="0" w:color="auto"/>
            <w:left w:val="none" w:sz="0" w:space="0" w:color="auto"/>
            <w:bottom w:val="none" w:sz="0" w:space="0" w:color="auto"/>
            <w:right w:val="none" w:sz="0" w:space="0" w:color="auto"/>
          </w:divBdr>
        </w:div>
        <w:div w:id="395083155">
          <w:marLeft w:val="432"/>
          <w:marRight w:val="0"/>
          <w:marTop w:val="360"/>
          <w:marBottom w:val="0"/>
          <w:divBdr>
            <w:top w:val="none" w:sz="0" w:space="0" w:color="auto"/>
            <w:left w:val="none" w:sz="0" w:space="0" w:color="auto"/>
            <w:bottom w:val="none" w:sz="0" w:space="0" w:color="auto"/>
            <w:right w:val="none" w:sz="0" w:space="0" w:color="auto"/>
          </w:divBdr>
        </w:div>
        <w:div w:id="95713005">
          <w:marLeft w:val="432"/>
          <w:marRight w:val="0"/>
          <w:marTop w:val="360"/>
          <w:marBottom w:val="0"/>
          <w:divBdr>
            <w:top w:val="none" w:sz="0" w:space="0" w:color="auto"/>
            <w:left w:val="none" w:sz="0" w:space="0" w:color="auto"/>
            <w:bottom w:val="none" w:sz="0" w:space="0" w:color="auto"/>
            <w:right w:val="none" w:sz="0" w:space="0" w:color="auto"/>
          </w:divBdr>
        </w:div>
        <w:div w:id="646714280">
          <w:marLeft w:val="432"/>
          <w:marRight w:val="0"/>
          <w:marTop w:val="360"/>
          <w:marBottom w:val="0"/>
          <w:divBdr>
            <w:top w:val="none" w:sz="0" w:space="0" w:color="auto"/>
            <w:left w:val="none" w:sz="0" w:space="0" w:color="auto"/>
            <w:bottom w:val="none" w:sz="0" w:space="0" w:color="auto"/>
            <w:right w:val="none" w:sz="0" w:space="0" w:color="auto"/>
          </w:divBdr>
        </w:div>
        <w:div w:id="978074374">
          <w:marLeft w:val="432"/>
          <w:marRight w:val="0"/>
          <w:marTop w:val="360"/>
          <w:marBottom w:val="0"/>
          <w:divBdr>
            <w:top w:val="none" w:sz="0" w:space="0" w:color="auto"/>
            <w:left w:val="none" w:sz="0" w:space="0" w:color="auto"/>
            <w:bottom w:val="none" w:sz="0" w:space="0" w:color="auto"/>
            <w:right w:val="none" w:sz="0" w:space="0" w:color="auto"/>
          </w:divBdr>
        </w:div>
      </w:divsChild>
    </w:div>
    <w:div w:id="2081325054">
      <w:bodyDiv w:val="1"/>
      <w:marLeft w:val="0"/>
      <w:marRight w:val="0"/>
      <w:marTop w:val="0"/>
      <w:marBottom w:val="0"/>
      <w:divBdr>
        <w:top w:val="none" w:sz="0" w:space="0" w:color="auto"/>
        <w:left w:val="none" w:sz="0" w:space="0" w:color="auto"/>
        <w:bottom w:val="none" w:sz="0" w:space="0" w:color="auto"/>
        <w:right w:val="none" w:sz="0" w:space="0" w:color="auto"/>
      </w:divBdr>
      <w:divsChild>
        <w:div w:id="581792652">
          <w:marLeft w:val="0"/>
          <w:marRight w:val="0"/>
          <w:marTop w:val="0"/>
          <w:marBottom w:val="0"/>
          <w:divBdr>
            <w:top w:val="none" w:sz="0" w:space="0" w:color="auto"/>
            <w:left w:val="none" w:sz="0" w:space="0" w:color="auto"/>
            <w:bottom w:val="none" w:sz="0" w:space="0" w:color="auto"/>
            <w:right w:val="none" w:sz="0" w:space="0" w:color="auto"/>
          </w:divBdr>
        </w:div>
      </w:divsChild>
    </w:div>
    <w:div w:id="2105421396">
      <w:bodyDiv w:val="1"/>
      <w:marLeft w:val="0"/>
      <w:marRight w:val="0"/>
      <w:marTop w:val="0"/>
      <w:marBottom w:val="0"/>
      <w:divBdr>
        <w:top w:val="none" w:sz="0" w:space="0" w:color="auto"/>
        <w:left w:val="none" w:sz="0" w:space="0" w:color="auto"/>
        <w:bottom w:val="none" w:sz="0" w:space="0" w:color="auto"/>
        <w:right w:val="none" w:sz="0" w:space="0" w:color="auto"/>
      </w:divBdr>
      <w:divsChild>
        <w:div w:id="370956935">
          <w:marLeft w:val="0"/>
          <w:marRight w:val="0"/>
          <w:marTop w:val="0"/>
          <w:marBottom w:val="0"/>
          <w:divBdr>
            <w:top w:val="none" w:sz="0" w:space="0" w:color="auto"/>
            <w:left w:val="none" w:sz="0" w:space="0" w:color="auto"/>
            <w:bottom w:val="none" w:sz="0" w:space="0" w:color="auto"/>
            <w:right w:val="none" w:sz="0" w:space="0" w:color="auto"/>
          </w:divBdr>
          <w:divsChild>
            <w:div w:id="559438024">
              <w:marLeft w:val="0"/>
              <w:marRight w:val="0"/>
              <w:marTop w:val="0"/>
              <w:marBottom w:val="0"/>
              <w:divBdr>
                <w:top w:val="none" w:sz="0" w:space="0" w:color="auto"/>
                <w:left w:val="none" w:sz="0" w:space="0" w:color="auto"/>
                <w:bottom w:val="none" w:sz="0" w:space="0" w:color="auto"/>
                <w:right w:val="none" w:sz="0" w:space="0" w:color="auto"/>
              </w:divBdr>
              <w:divsChild>
                <w:div w:id="183903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167449">
      <w:bodyDiv w:val="1"/>
      <w:marLeft w:val="0"/>
      <w:marRight w:val="0"/>
      <w:marTop w:val="0"/>
      <w:marBottom w:val="0"/>
      <w:divBdr>
        <w:top w:val="none" w:sz="0" w:space="0" w:color="auto"/>
        <w:left w:val="none" w:sz="0" w:space="0" w:color="auto"/>
        <w:bottom w:val="none" w:sz="0" w:space="0" w:color="auto"/>
        <w:right w:val="none" w:sz="0" w:space="0" w:color="auto"/>
      </w:divBdr>
    </w:div>
    <w:div w:id="214553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200607/ldjudgmt/jd071017/jamie-1.htm" TargetMode="External"/><Relationship Id="rId13" Type="http://schemas.openxmlformats.org/officeDocument/2006/relationships/hyperlink" Target="https://www.oxbridgenotes.co.uk/law_cases/wright-v-macadam" TargetMode="External"/><Relationship Id="rId18" Type="http://schemas.openxmlformats.org/officeDocument/2006/relationships/hyperlink" Target="https://www.hughes-paddison.co.uk/site/blog/commercial_property/car-parkinga-legal-right" TargetMode="External"/><Relationship Id="rId3" Type="http://schemas.openxmlformats.org/officeDocument/2006/relationships/settings" Target="settings.xml"/><Relationship Id="rId21" Type="http://schemas.openxmlformats.org/officeDocument/2006/relationships/hyperlink" Target="https://learninglink.oup.com/access/content/sayles-concentrate8e-student-resources/sayles-concentrate8e-chapter-1-interactive-key-cases" TargetMode="External"/><Relationship Id="rId7" Type="http://schemas.openxmlformats.org/officeDocument/2006/relationships/hyperlink" Target="https://vlex.co.uk/vid/graham-charles-botham-and-793677069" TargetMode="External"/><Relationship Id="rId12" Type="http://schemas.openxmlformats.org/officeDocument/2006/relationships/hyperlink" Target="https://www.supremecourt.uk/cases/docs/uksc-2017-0083-judgment.pdf" TargetMode="External"/><Relationship Id="rId17" Type="http://schemas.openxmlformats.org/officeDocument/2006/relationships/hyperlink" Target="https://www.33bedfordrow.co.uk/insights/articles/affixing-objects-to-land-or-buildings-losing-title-to-the-objects" TargetMode="External"/><Relationship Id="rId2" Type="http://schemas.openxmlformats.org/officeDocument/2006/relationships/styles" Target="styles.xml"/><Relationship Id="rId16" Type="http://schemas.openxmlformats.org/officeDocument/2006/relationships/hyperlink" Target="https://researchonline.jcu.edu.au/13034/" TargetMode="External"/><Relationship Id="rId20" Type="http://schemas.openxmlformats.org/officeDocument/2006/relationships/hyperlink" Target="https://www.morrishsolicitors.com/what-is-the-difference-between-chattel-and-fixture/" TargetMode="External"/><Relationship Id="rId1" Type="http://schemas.openxmlformats.org/officeDocument/2006/relationships/numbering" Target="numbering.xml"/><Relationship Id="rId6" Type="http://schemas.openxmlformats.org/officeDocument/2006/relationships/hyperlink" Target="https://www.bailii.org/cgi-bin/format.cgi?doc=/uk/cases/UKHL/1852/1_Paterson_83.html&amp;query=(Dyce)+AND+(v)+AND+(Lady)+AND+(James)+AND+(Hay)+AND+((1852)1)+AND+(Macq)+AND+(305)" TargetMode="External"/><Relationship Id="rId11" Type="http://schemas.openxmlformats.org/officeDocument/2006/relationships/hyperlink" Target="https://lawprof.co/land/easements-cases/re-ellenborough-park-1956-ch-131/" TargetMode="External"/><Relationship Id="rId24" Type="http://schemas.openxmlformats.org/officeDocument/2006/relationships/theme" Target="theme/theme1.xml"/><Relationship Id="rId5" Type="http://schemas.openxmlformats.org/officeDocument/2006/relationships/hyperlink" Target="https://www.bailii.org/cgibin/format.cgi?doc=/ew/cases/EWCA/Civ/2001/1051.html&amp;query=(Batchelor)+AND+(v)+AND+(Marlow)" TargetMode="External"/><Relationship Id="rId15" Type="http://schemas.openxmlformats.org/officeDocument/2006/relationships/hyperlink" Target="https://www.cambridge.org/core/journals/legal-studies/article/law-of-fixtures-and-chattels-recalibration-rationalisation-and-reform/EE9FDF059B385809C97DC5EC6B8BCD75" TargetMode="External"/><Relationship Id="rId23" Type="http://schemas.openxmlformats.org/officeDocument/2006/relationships/fontTable" Target="fontTable.xml"/><Relationship Id="rId10" Type="http://schemas.openxmlformats.org/officeDocument/2006/relationships/hyperlink" Target="https://www.oxbridgenotes.co.uk/revision_notes/law-land-law/samples/easements-30244a94-fdb1-4c82-b2db-1120fdaabf7e" TargetMode="External"/><Relationship Id="rId19" Type="http://schemas.openxmlformats.org/officeDocument/2006/relationships/hyperlink" Target="https://academic.oup.com/ojls/article/24/4/597/1519390?login=true" TargetMode="External"/><Relationship Id="rId4" Type="http://schemas.openxmlformats.org/officeDocument/2006/relationships/webSettings" Target="webSettings.xml"/><Relationship Id="rId9" Type="http://schemas.openxmlformats.org/officeDocument/2006/relationships/hyperlink" Target="https://publications.parliament.uk/pa/ld199697/ldjudgmt/jd970501/elites01.htm" TargetMode="External"/><Relationship Id="rId14" Type="http://schemas.openxmlformats.org/officeDocument/2006/relationships/hyperlink" Target="https://www.legislation.gov.uk/ukpga/Geo5/15-16/20/section/205" TargetMode="External"/><Relationship Id="rId22" Type="http://schemas.openxmlformats.org/officeDocument/2006/relationships/hyperlink" Target="https://www.tanfieldchambers.co.uk/2017/11/10/can-a-parking-right-be-an-eas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3300</Words>
  <Characters>18811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cp:revision>
  <dcterms:created xsi:type="dcterms:W3CDTF">2023-12-15T23:16:00Z</dcterms:created>
  <dcterms:modified xsi:type="dcterms:W3CDTF">2023-12-15T23:16:00Z</dcterms:modified>
</cp:coreProperties>
</file>