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3E701518"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7518BC">
              <w:rPr>
                <w:rFonts w:ascii="Times New Roman" w:hAnsi="Times New Roman" w:cs="Times New Roman"/>
                <w:b/>
                <w:color w:val="auto"/>
                <w:sz w:val="48"/>
              </w:rPr>
              <w:t>Rachel Anne Cannon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6182FC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7518BC">
              <w:rPr>
                <w:rFonts w:ascii="Times New Roman" w:hAnsi="Times New Roman" w:cs="Times New Roman"/>
                <w:b/>
                <w:color w:val="auto"/>
                <w:sz w:val="48"/>
              </w:rPr>
              <w:t xml:space="preserve"> pheonix2672@outlook.com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66C8EEDD" w:rsidR="0085230E" w:rsidRPr="005D3F07" w:rsidRDefault="007518BC"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1910349</w:t>
            </w: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77CB3A29" w14:textId="77777777" w:rsidR="00175F7B" w:rsidRDefault="00175F7B" w:rsidP="00175F7B">
            <w:pPr>
              <w:pStyle w:val="NormalWeb"/>
            </w:pPr>
            <w:r>
              <w:t>This critical and reflective case study stems from an assessment I carried out with colleagues at work to safeguard a young person. To protect confidentiality, I have omitted locations and other identifying information and refer to the young person as “Child 1”. The purpose is not to provide a complete account of her life history, but to critically examine how I assessed risk, exercised professional judgement and worked with other agencies when the circumstances became increasingly complex. I will consider how the case related to relevant legislation, statutory guidance, safeguarding procedures and social work practice, with particular emphasis on the Welsh context. I will also consider how responsibilities can extend beyond individual local authority boundaries and, where relevant, across UK, European and international frameworks.</w:t>
            </w:r>
          </w:p>
          <w:p w14:paraId="4A833706" w14:textId="77777777" w:rsidR="00175F7B" w:rsidRDefault="00175F7B" w:rsidP="00175F7B">
            <w:pPr>
              <w:pStyle w:val="NormalWeb"/>
            </w:pPr>
            <w:r>
              <w:t>Rather than simply considering whether professionals followed procedures, I wanted to examine why particular decisions were made, including decisions by the residential placement, police and social work professionals. I reflected on the assumptions that shaped my thinking, considered which information carried the most weight and identified what could have been done differently. This approach enabled me to move beyond a descriptive account and consider how professional judgement develops in situations where evidence is incomplete and risk is changing.</w:t>
            </w:r>
          </w:p>
          <w:p w14:paraId="26E2C2F7" w14:textId="77777777" w:rsidR="00175F7B" w:rsidRDefault="00175F7B" w:rsidP="00175F7B">
            <w:pPr>
              <w:pStyle w:val="NormalWeb"/>
            </w:pPr>
            <w:r>
              <w:t xml:space="preserve">Schön’s (1983) distinction between reflection-in-action and reflection-on-action, Gibbs’ (1988) reflective cycle and Kolb’s (1984) experiential learning cycle informed my reflection. Schön’s concept was particularly relevant because I had to make judgements while the assessment was taking place, rather than having the benefit of knowing the eventual outcome. Gibbs (1988) provided a structured way to consider what happened, how I felt, what went well, what could have been different </w:t>
            </w:r>
            <w:r>
              <w:lastRenderedPageBreak/>
              <w:t>and what I learned. Kolb (1984) further supported my consideration of how experience can contribute to future learning and practice.</w:t>
            </w:r>
          </w:p>
          <w:p w14:paraId="645E32C7" w14:textId="77777777" w:rsidR="00175F7B" w:rsidRDefault="00175F7B" w:rsidP="00175F7B">
            <w:pPr>
              <w:pStyle w:val="NormalWeb"/>
            </w:pPr>
            <w:r>
              <w:t>My reflection was also informed by ecological systems theory (Bronfenbrenner, 1979), attachment theory, trauma-informed practice, strengths-based practice (</w:t>
            </w:r>
            <w:proofErr w:type="spellStart"/>
            <w:r>
              <w:t>Saleebey</w:t>
            </w:r>
            <w:proofErr w:type="spellEnd"/>
            <w:r>
              <w:t>, 2013), contextual safeguarding and approaches to professional judgement. These perspectives helped me to avoid viewing Child 1’s behaviour in isolation. At the same time, I recognised that theories should not become explanations imposed on a young person without sufficient evidence. I therefore attempted to balance theoretical understanding with Child 1’s individual experiences, wishes, relationships and circumstances.</w:t>
            </w:r>
          </w:p>
          <w:p w14:paraId="0CCEED37" w14:textId="77777777" w:rsidR="00175F7B" w:rsidRDefault="00175F7B" w:rsidP="00175F7B">
            <w:pPr>
              <w:pStyle w:val="NormalWeb"/>
            </w:pPr>
            <w:r>
              <w:t>A central issue throughout the assessment was balancing participation and protection. Child 1’s voice, wishes and control remained important, but this did not mean that professionals could simply wait for her to disclose harm or agree to every protective intervention. My role required me to respect her autonomy while also taking reasonable and proportionate action where there were significant safeguarding concerns.</w:t>
            </w:r>
          </w:p>
          <w:p w14:paraId="796F0030" w14:textId="77777777" w:rsidR="00175F7B" w:rsidRDefault="00175F7B" w:rsidP="00175F7B">
            <w:pPr>
              <w:pStyle w:val="NormalWeb"/>
            </w:pPr>
            <w:r>
              <w:t>The principal social care legislation in Wales is the Social Services and Well-being (Wales) Act 2014. The Act places well-being, voice and control, prevention and early intervention, co-production and partnership working at the centre of social care practice. These principles were directly relevant to Child 1. Safeguarding her from abuse, neglect and other forms of harm was an important aspect of her well-being, but her well-being also included her relationships, identity, physical and emotional health, education, dignity and participation in decisions affecting her.</w:t>
            </w:r>
          </w:p>
          <w:p w14:paraId="32672DE5" w14:textId="77777777" w:rsidR="00175F7B" w:rsidRDefault="00175F7B" w:rsidP="00175F7B">
            <w:pPr>
              <w:pStyle w:val="NormalWeb"/>
            </w:pPr>
            <w:r>
              <w:t>This meant that the safeguarding response could not simply focus on preventing Child 1 from going missing. I needed to consider what her missing episodes might mean, what she may have been seeking, what she may have feared, which relationships increased her vulnerability and which relationships or environments could provide protection. This was particularly important because Child 1 had a history of exploitation and difficulties engaging with professionals.</w:t>
            </w:r>
          </w:p>
          <w:p w14:paraId="3B5878CB" w14:textId="77777777" w:rsidR="00175F7B" w:rsidRDefault="00175F7B" w:rsidP="00175F7B">
            <w:pPr>
              <w:pStyle w:val="NormalWeb"/>
            </w:pPr>
            <w:r>
              <w:t>Part 7 of the Social Services and Well-being (Wales) Act 2014 provides the statutory safeguarding framework. Section 130 requires relevant partners to inform the local authority where they have reasonable cause to suspect that a child is a child at risk. A child at risk is a child who is experiencing or is at risk of abuse, neglect or other harm and who has care and support needs. In Child 1’s circumstances, there were several cumulative indicators of concern, including repeated missing episodes, unexplained bruising, contact with older males, suspected substance misuse and a known history of child sexual exploitation (CSE) and child criminal exploitation (CCE).</w:t>
            </w:r>
          </w:p>
          <w:p w14:paraId="4C1ECBFA" w14:textId="77777777" w:rsidR="00175F7B" w:rsidRDefault="00175F7B" w:rsidP="00175F7B">
            <w:pPr>
              <w:pStyle w:val="NormalWeb"/>
            </w:pPr>
            <w:r>
              <w:t>Importantly, the threshold for safeguarding action did not depend upon Child 1 making a complete disclosure. Her reluctance to provide information did not remove professionals’ responsibility to share, analyse and respond to the information available. This was an important consideration in my assessment because a lack of disclosure could otherwise be interpreted as a lack of evidence of harm.</w:t>
            </w:r>
          </w:p>
          <w:p w14:paraId="5484138E" w14:textId="77777777" w:rsidR="00175F7B" w:rsidRDefault="00175F7B" w:rsidP="00175F7B">
            <w:pPr>
              <w:pStyle w:val="NormalWeb"/>
            </w:pPr>
            <w:r>
              <w:t xml:space="preserve">The statutory guidance, </w:t>
            </w:r>
            <w:r>
              <w:rPr>
                <w:rStyle w:val="Emphasis"/>
              </w:rPr>
              <w:t>Working Together to Safeguard People: Volume 5 – Handling Individual Cases to Protect Children at Risk</w:t>
            </w:r>
            <w:r>
              <w:t>, provides the framework for responding to individual safeguarding concerns in Wales (Welsh Government, 2019). Where there are reasonable grounds to consider that a child is suffering, or likely to suffer, significant harm, section 47 of the Children Act 1989 provides the legal basis for enquiries. Although the Children Act 1989 applies across England and Wales, safeguarding services are organised and delivered differently across the nations of the UK.</w:t>
            </w:r>
          </w:p>
          <w:p w14:paraId="69EF1157" w14:textId="77777777" w:rsidR="00175F7B" w:rsidRDefault="00175F7B" w:rsidP="00175F7B">
            <w:pPr>
              <w:pStyle w:val="NormalWeb"/>
            </w:pPr>
            <w:r>
              <w:lastRenderedPageBreak/>
              <w:t>My section 47 work therefore required me to establish what was known, what remained uncertain and what action was necessary to protect Child 1. I had to avoid interpreting her lack of engagement as evidence that nothing had happened. Instead, the assessment needed to consider information from multiple sources and assess the cumulative picture.</w:t>
            </w:r>
          </w:p>
          <w:p w14:paraId="13791FE2" w14:textId="77777777" w:rsidR="00175F7B" w:rsidRDefault="00175F7B" w:rsidP="00175F7B">
            <w:pPr>
              <w:pStyle w:val="NormalWeb"/>
            </w:pPr>
            <w:r>
              <w:t xml:space="preserve">The Wales Safeguarding Procedures provide the operational framework for safeguarding practice in Wales. The </w:t>
            </w:r>
            <w:r>
              <w:rPr>
                <w:rStyle w:val="Emphasis"/>
              </w:rPr>
              <w:t>Safeguarding children who go missing from home or care: All Wales Practice Guide</w:t>
            </w:r>
            <w:r>
              <w:t xml:space="preserve"> was particularly relevant because it recognises that children who go missing can be vulnerable to emotional, physical and sexual harm and that repeated or prolonged missing episodes can increase vulnerability to exploitation and trafficking (Wales Safeguarding Procedures, 2021a).</w:t>
            </w:r>
          </w:p>
          <w:p w14:paraId="28C8DC72" w14:textId="77777777" w:rsidR="00175F7B" w:rsidRDefault="00175F7B" w:rsidP="00175F7B">
            <w:pPr>
              <w:pStyle w:val="NormalWeb"/>
            </w:pPr>
            <w:r>
              <w:t xml:space="preserve">The </w:t>
            </w:r>
            <w:proofErr w:type="gramStart"/>
            <w:r>
              <w:rPr>
                <w:rStyle w:val="Emphasis"/>
              </w:rPr>
              <w:t>All Wales</w:t>
            </w:r>
            <w:proofErr w:type="gramEnd"/>
            <w:r>
              <w:rPr>
                <w:rStyle w:val="Emphasis"/>
              </w:rPr>
              <w:t xml:space="preserve"> Practice Guide on Child Sexual Exploitation</w:t>
            </w:r>
            <w:r>
              <w:t xml:space="preserve"> was also important. CSE is a form of sexual </w:t>
            </w:r>
            <w:proofErr w:type="gramStart"/>
            <w:r>
              <w:t>abuse</w:t>
            </w:r>
            <w:proofErr w:type="gramEnd"/>
            <w:r>
              <w:t xml:space="preserve"> and a child may believe that they are consenting to a relationship or activity when they are </w:t>
            </w:r>
            <w:proofErr w:type="gramStart"/>
            <w:r>
              <w:t>actually being</w:t>
            </w:r>
            <w:proofErr w:type="gramEnd"/>
            <w:r>
              <w:t xml:space="preserve"> exploited (Wales Safeguarding Procedures, 2021b). This challenged me to avoid viewing Child 1’s behaviour simply as poor decision-making. I needed to consider grooming, coercion, threats, substances, relationships, accommodation, gifts or other exchanges and the possibility that adults or peers were influencing her behaviour.</w:t>
            </w:r>
          </w:p>
          <w:p w14:paraId="3CBDD5DC" w14:textId="77777777" w:rsidR="00175F7B" w:rsidRDefault="00175F7B" w:rsidP="00175F7B">
            <w:pPr>
              <w:pStyle w:val="NormalWeb"/>
            </w:pPr>
            <w:r>
              <w:t>One of the most important aspects of my assessment was understanding that I could not consider individual incidents separately. The missing episode, bruising, contact with older men, suspected substance misuse and previous exploitation were not isolated concerns. Together, they created a pattern of cumulative vulnerability.</w:t>
            </w:r>
          </w:p>
          <w:p w14:paraId="59C22798" w14:textId="77777777" w:rsidR="00175F7B" w:rsidRDefault="00175F7B" w:rsidP="00175F7B">
            <w:pPr>
              <w:pStyle w:val="NormalWeb"/>
            </w:pPr>
            <w:r>
              <w:t>Child 1 had entered care because of neglect within her family. She also had a history of vulnerability to CSE and CCE. Earlier interventions had included significant restrictions and intensive one-to-one work relating to exploitation. Following direct work and a review, professionals, including social care, health and the court team, had agreed that the restrictions could be removed because Child 1 appeared to have developed greater awareness of exploitation risks and had engaged with support.</w:t>
            </w:r>
          </w:p>
          <w:p w14:paraId="0875E7C9" w14:textId="77777777" w:rsidR="00175F7B" w:rsidRDefault="00175F7B" w:rsidP="00175F7B">
            <w:pPr>
              <w:pStyle w:val="NormalWeb"/>
            </w:pPr>
            <w:r>
              <w:t>At the time, this could reasonably be interpreted as progress. However, subsequent events demonstrated an important distinction between understanding risk and being able to act on that understanding. Child 1 may have known the indicators of exploitation but still lacked the emotional security, trusted relationships, practical alternatives and freedom from coercion required to protect herself.</w:t>
            </w:r>
          </w:p>
          <w:p w14:paraId="2E49BD46" w14:textId="77777777" w:rsidR="00175F7B" w:rsidRDefault="00175F7B" w:rsidP="00175F7B">
            <w:pPr>
              <w:pStyle w:val="NormalWeb"/>
            </w:pPr>
            <w:r>
              <w:t>This caused me to reflect on how professionals can unintentionally place too much emphasis on a child’s knowledge or apparent understanding. In hindsight, I recognise that saying a young person “knows the risks” can create an assumption that they are therefore capable of managing those risks. This can overlook the power imbalance between a vulnerable child and an adult or peer who is grooming, threatening or exploiting them.</w:t>
            </w:r>
          </w:p>
          <w:p w14:paraId="5DEEE332" w14:textId="77777777" w:rsidR="00175F7B" w:rsidRDefault="00175F7B" w:rsidP="00175F7B">
            <w:pPr>
              <w:pStyle w:val="NormalWeb"/>
            </w:pPr>
            <w:r>
              <w:t xml:space="preserve">Child 1 subsequently went </w:t>
            </w:r>
            <w:proofErr w:type="gramStart"/>
            <w:r>
              <w:t>missing again,</w:t>
            </w:r>
            <w:proofErr w:type="gramEnd"/>
            <w:r>
              <w:t xml:space="preserve"> on one occasion with another young person who had experience of caring for children from another county. When Child 1 returned, she had bruising across her legs. There was limited information about what had happened, other than that she had been with a group of older men. There were also concerns about substance misuse and possible sexual exploitation.</w:t>
            </w:r>
          </w:p>
          <w:p w14:paraId="308EDAEB" w14:textId="77777777" w:rsidR="00175F7B" w:rsidRDefault="00175F7B" w:rsidP="00175F7B">
            <w:pPr>
              <w:pStyle w:val="NormalWeb"/>
            </w:pPr>
            <w:r>
              <w:lastRenderedPageBreak/>
              <w:t>These circumstances significantly increased my concern. However, I also recognised the importance of distinguishing evidence from professional inference. The evidence available to me included the missing episode, physical injuries, contact with older men, suspected substance misuse, association with another vulnerable young person, placement instability and previous concerns about exploitation.</w:t>
            </w:r>
          </w:p>
          <w:p w14:paraId="73713678" w14:textId="77777777" w:rsidR="00175F7B" w:rsidRDefault="00175F7B" w:rsidP="00175F7B">
            <w:pPr>
              <w:pStyle w:val="NormalWeb"/>
            </w:pPr>
            <w:r>
              <w:t>There were then professional hypotheses that grooming, coercion, sexual harm, criminal exploitation, peer recruitment, threats or exchanges involving substances or accommodation may have occurred. However, I could not present these possibilities as established facts without further evidence. There were also significant uncertainties: who had caused the bruising, where Child 1 had been, which adults were involved, whether threats had been made, how substances had been obtained and whether electronic communication had facilitated contact.</w:t>
            </w:r>
          </w:p>
          <w:p w14:paraId="59439646" w14:textId="77777777" w:rsidR="00175F7B" w:rsidRDefault="00175F7B" w:rsidP="00175F7B">
            <w:pPr>
              <w:pStyle w:val="NormalWeb"/>
            </w:pPr>
            <w:r>
              <w:t>Separating evidence, inference and uncertainty strengthened my professional judgement. It helped me recognise the seriousness of the situation without overstating what I knew. I found this particularly important because safeguarding decisions sometimes need to be made before all the information is available.</w:t>
            </w:r>
          </w:p>
          <w:p w14:paraId="10E8DEDD" w14:textId="77777777" w:rsidR="00175F7B" w:rsidRDefault="00175F7B" w:rsidP="00175F7B">
            <w:pPr>
              <w:pStyle w:val="NormalWeb"/>
            </w:pPr>
            <w:r>
              <w:t>I carried out a section 47 enquiry because there were reasonable grounds to consider whether Child 1 was suffering, or was likely to suffer, significant harm. The purpose was not simply to obtain a disclosure. It was to gather and analyse information from Child 1, her carers and relevant professionals so that a clearer assessment of risk and protective needs could be developed.</w:t>
            </w:r>
          </w:p>
          <w:p w14:paraId="50BA792F" w14:textId="77777777" w:rsidR="00175F7B" w:rsidRDefault="00175F7B" w:rsidP="00175F7B">
            <w:pPr>
              <w:pStyle w:val="NormalWeb"/>
            </w:pPr>
            <w:r>
              <w:t>Child 1 was unwilling to engage fully or provide further details. This created uncertainty and was professionally challenging for me. I initially felt frustrated because I wanted to understand what had happened and identify the people responsible. However, through reflection, I recognised that my frustration could have led me to unintentionally place responsibility for safety on Child 1.</w:t>
            </w:r>
          </w:p>
          <w:p w14:paraId="1CC7E30F" w14:textId="77777777" w:rsidR="00175F7B" w:rsidRDefault="00175F7B" w:rsidP="00175F7B">
            <w:pPr>
              <w:pStyle w:val="NormalWeb"/>
            </w:pPr>
            <w:r>
              <w:t>The phrase “unable to keep herself safe” can be useful when describing vulnerability, but it can also imply that the child is responsible for preventing the abuse. My thinking shifted towards a different understanding: responsibility for exploitation lies with those who exploit, while professionals and systems have a responsibility to create conditions that increase safety.</w:t>
            </w:r>
          </w:p>
          <w:p w14:paraId="3B5E67E7" w14:textId="77777777" w:rsidR="00175F7B" w:rsidRDefault="00175F7B" w:rsidP="00175F7B">
            <w:pPr>
              <w:pStyle w:val="NormalWeb"/>
            </w:pPr>
            <w:r>
              <w:t>Schön’s (1983) concept of reflection-in-action helped me to consider this while the assessment was taking place. I needed to notice whether my questions encouraged engagement or caused Child 1 to withdraw further. I realised that a more relationship-based approach would involve shorter conversations, greater choice about when and where communication took place, transparency about what information could and could not remain confidential, and avoiding repeated requests for a complete account.</w:t>
            </w:r>
          </w:p>
          <w:p w14:paraId="2FC4DE43" w14:textId="77777777" w:rsidR="00175F7B" w:rsidRDefault="00175F7B" w:rsidP="00175F7B">
            <w:pPr>
              <w:pStyle w:val="NormalWeb"/>
            </w:pPr>
            <w:r>
              <w:t>I also recognised that disclosure can be a process rather than a single event. A young person may disclose information when they feel sufficiently safe and when a relationship of trust has developed. Therefore, the immediate absence of disclosure did not mean that harm had not occurred. Maintaining the relationship itself could be considered a protective factor.</w:t>
            </w:r>
          </w:p>
          <w:p w14:paraId="2E8F85E9" w14:textId="77777777" w:rsidR="00175F7B" w:rsidRDefault="00175F7B" w:rsidP="00175F7B">
            <w:pPr>
              <w:pStyle w:val="NormalWeb"/>
            </w:pPr>
            <w:r>
              <w:t>A multi-agency meeting was organised involving police, residential placement staff, social workers, my line manager and health colleagues. The meeting provided an opportunity to combine information that may otherwise have remained within individual agencies.</w:t>
            </w:r>
          </w:p>
          <w:p w14:paraId="5310FFC1" w14:textId="77777777" w:rsidR="00175F7B" w:rsidRDefault="00175F7B" w:rsidP="00175F7B">
            <w:pPr>
              <w:pStyle w:val="NormalWeb"/>
            </w:pPr>
            <w:r>
              <w:lastRenderedPageBreak/>
              <w:t>One outcome was that I completed a Multi-Agency Exploitation Tool (MET). The MET was designed to structure information on exploitation indicators, identify patterns and support multi-agency decision-making. This was important because the risk did not sit within one professional’s knowledge.</w:t>
            </w:r>
          </w:p>
          <w:p w14:paraId="4E306D39" w14:textId="77777777" w:rsidR="00175F7B" w:rsidRDefault="00175F7B" w:rsidP="00175F7B">
            <w:pPr>
              <w:pStyle w:val="NormalWeb"/>
            </w:pPr>
            <w:r>
              <w:t xml:space="preserve">The meeting also demonstrated the value of shared responsibility. Safeguarding can become ineffective when professionals assume that another agency is responsible for </w:t>
            </w:r>
            <w:proofErr w:type="gramStart"/>
            <w:r>
              <w:t>taking action</w:t>
            </w:r>
            <w:proofErr w:type="gramEnd"/>
            <w:r>
              <w:t>. In this case, bringing the information together made the cumulative nature of the concerns clearer.</w:t>
            </w:r>
          </w:p>
          <w:p w14:paraId="32DB02F1" w14:textId="77777777" w:rsidR="00175F7B" w:rsidRDefault="00175F7B" w:rsidP="00175F7B">
            <w:pPr>
              <w:pStyle w:val="NormalWeb"/>
            </w:pPr>
            <w:r>
              <w:t>However, my reflection identified areas where this could have been stronger. In future, I would record the reasoning behind each conclusion more explicitly, including Child 1’s own views, areas of professional disagreement, evidence supporting decisions, contingency arrangements and review dates. I would also ask more explicitly what action was being taken regarding adults who posed a risk.</w:t>
            </w:r>
          </w:p>
          <w:p w14:paraId="170CAC39" w14:textId="77777777" w:rsidR="00175F7B" w:rsidRDefault="00175F7B" w:rsidP="00175F7B">
            <w:pPr>
              <w:pStyle w:val="NormalWeb"/>
            </w:pPr>
            <w:r>
              <w:t>This matters because safeguarding plans can unintentionally focus on monitoring the child rather than disrupting the people, places and circumstances causing the harm. For example, increased supervision, restrictions on phones or changes to routines may be necessary, but these interventions should not substitute for action against suspected perpetrators.</w:t>
            </w:r>
          </w:p>
          <w:p w14:paraId="5C37C3EC" w14:textId="77777777" w:rsidR="00175F7B" w:rsidRDefault="00175F7B" w:rsidP="00175F7B">
            <w:pPr>
              <w:pStyle w:val="NormalWeb"/>
            </w:pPr>
            <w:r>
              <w:t>The residential placement initially gave 28 days’ notice because it stated that it could no longer safely accommodate Child 1. As the safeguarding concerns increased, this was reduced to 24 hours, and arrangements were made for Child 1 to return to a local authority placement.</w:t>
            </w:r>
          </w:p>
          <w:p w14:paraId="62641DEF" w14:textId="77777777" w:rsidR="00175F7B" w:rsidRDefault="00175F7B" w:rsidP="00175F7B">
            <w:pPr>
              <w:pStyle w:val="NormalWeb"/>
            </w:pPr>
            <w:r>
              <w:t>I considered the decision defensible because the placement stated it could not ensure Child 1’s safety. Delaying the move solely to provide a more gradual transition could have exposed her to further harm. The responsible authority also had a duty to respond to the immediate safeguarding concerns.</w:t>
            </w:r>
          </w:p>
          <w:p w14:paraId="35DD3490" w14:textId="77777777" w:rsidR="00175F7B" w:rsidRDefault="00175F7B" w:rsidP="00175F7B">
            <w:pPr>
              <w:pStyle w:val="NormalWeb"/>
            </w:pPr>
            <w:r>
              <w:t xml:space="preserve">However, I have reflected critically on the assumption that moving a child automatically makes them safer. Research highlights the importance of stability, relationships and placement quality for children in care (Berridge, </w:t>
            </w:r>
            <w:proofErr w:type="spellStart"/>
            <w:r>
              <w:t>Biehal</w:t>
            </w:r>
            <w:proofErr w:type="spellEnd"/>
            <w:r>
              <w:t xml:space="preserve"> and Henry, 2012). </w:t>
            </w:r>
            <w:proofErr w:type="spellStart"/>
            <w:r>
              <w:t>Mannay</w:t>
            </w:r>
            <w:proofErr w:type="spellEnd"/>
            <w:r>
              <w:t xml:space="preserve"> et al. (2017) similarly identified the potentially disruptive consequences of placement instability for looked-after children and young people in Wales. Shuker (2013) also highlights that safety for children affected by sexual exploitation cannot simply be achieved by moving them away from a particular location.</w:t>
            </w:r>
          </w:p>
          <w:p w14:paraId="023650E2" w14:textId="77777777" w:rsidR="00175F7B" w:rsidRDefault="00175F7B" w:rsidP="00175F7B">
            <w:pPr>
              <w:pStyle w:val="NormalWeb"/>
            </w:pPr>
            <w:r>
              <w:t>For Child 1, the 24-hour move created a conflict between immediate physical protection and longer-term emotional and relational stability. There was little opportunity to prepare her, say goodbye, transfer belongings, maintain education and health arrangements or support her emotionally through the transition. Given her earlier experiences of neglect and placement instability, the move could have reinforced feelings of rejection or loss.</w:t>
            </w:r>
          </w:p>
          <w:p w14:paraId="78C99609" w14:textId="77777777" w:rsidR="00175F7B" w:rsidRDefault="00175F7B" w:rsidP="00175F7B">
            <w:pPr>
              <w:pStyle w:val="NormalWeb"/>
            </w:pPr>
            <w:r>
              <w:t>This does not mean that the move was wrong. Instead, it demonstrates that a protective decision can still have unintended consequences. My learning is therefore that relocation should be treated as one element of a wider safeguarding plan rather than as the safeguarding intervention itself.</w:t>
            </w:r>
          </w:p>
          <w:p w14:paraId="688DD05B" w14:textId="77777777" w:rsidR="00175F7B" w:rsidRDefault="00175F7B" w:rsidP="00175F7B">
            <w:pPr>
              <w:pStyle w:val="NormalWeb"/>
            </w:pPr>
            <w:r>
              <w:t xml:space="preserve">Even when a move </w:t>
            </w:r>
            <w:proofErr w:type="gramStart"/>
            <w:r>
              <w:t>has to</w:t>
            </w:r>
            <w:proofErr w:type="gramEnd"/>
            <w:r>
              <w:t xml:space="preserve"> happen quickly, I would now seek to create a transition plan with the child wherever possible. This should include information about the new placement, trusted adults, education, health appointments, possessions, family contact and how the move will be explained. The </w:t>
            </w:r>
            <w:r>
              <w:lastRenderedPageBreak/>
              <w:t>child should understand that the move is a protective response to risk, not a punishment for their behaviour.</w:t>
            </w:r>
          </w:p>
          <w:p w14:paraId="237F11FF" w14:textId="77777777" w:rsidR="00175F7B" w:rsidRDefault="00175F7B" w:rsidP="00175F7B">
            <w:pPr>
              <w:pStyle w:val="NormalWeb"/>
            </w:pPr>
            <w:r>
              <w:t>Bronfenbrenner’s (1979) ecological systems theory helped me understand Child 1’s circumstances within a wider network of relationships and systems. Her vulnerability could not be understood at an individual level alone. Peer relationships, placement arrangements, community factors, education, online environments, organisational responses and wider exploitation networks could all influence her safety.</w:t>
            </w:r>
          </w:p>
          <w:p w14:paraId="5CE21C6E" w14:textId="77777777" w:rsidR="00175F7B" w:rsidRDefault="00175F7B" w:rsidP="00175F7B">
            <w:pPr>
              <w:pStyle w:val="NormalWeb"/>
            </w:pPr>
            <w:r>
              <w:t>The strength of this approach was that it challenged an individualised explanation such as “she knows the risks but still goes missing”. It encouraged me to consider what was happening around Child 1 and how systems could either increase or reduce risk.</w:t>
            </w:r>
          </w:p>
          <w:p w14:paraId="69699C06" w14:textId="77777777" w:rsidR="00175F7B" w:rsidRDefault="00175F7B" w:rsidP="00175F7B">
            <w:pPr>
              <w:pStyle w:val="NormalWeb"/>
            </w:pPr>
            <w:r>
              <w:t>However, I also recognised the limitations of ecological approaches. If used without sufficient focus, the analysis can become so broad that accountability becomes unclear. I therefore needed to connect the wider context to specific evidence and practical action.</w:t>
            </w:r>
          </w:p>
          <w:p w14:paraId="139379E2" w14:textId="77777777" w:rsidR="00175F7B" w:rsidRDefault="00175F7B" w:rsidP="00175F7B">
            <w:pPr>
              <w:pStyle w:val="NormalWeb"/>
            </w:pPr>
            <w:r>
              <w:t>Attachment theory and trauma-informed practice also provided useful perspectives. Child 1’s history and difficulties with trust could have influenced how she engaged with professionals. Trauma-informed practice encouraged me to consider how questions, professional authority and repeated assessments might affect her.</w:t>
            </w:r>
          </w:p>
          <w:p w14:paraId="1BB79591" w14:textId="77777777" w:rsidR="00175F7B" w:rsidRDefault="00175F7B" w:rsidP="00175F7B">
            <w:pPr>
              <w:pStyle w:val="NormalWeb"/>
            </w:pPr>
            <w:r>
              <w:t xml:space="preserve">However, I was careful not to use trauma as a universal explanation for her behaviour. Doing so could risk </w:t>
            </w:r>
            <w:proofErr w:type="spellStart"/>
            <w:r>
              <w:t>pathologising</w:t>
            </w:r>
            <w:proofErr w:type="spellEnd"/>
            <w:r>
              <w:t xml:space="preserve"> Child 1 or reducing her agency. A trauma-informed approach therefore required consistency, transparency, choice and sensitivity while still recognising her strengths and ability to make decisions.</w:t>
            </w:r>
          </w:p>
          <w:p w14:paraId="6CF19392" w14:textId="77777777" w:rsidR="00175F7B" w:rsidRDefault="00175F7B" w:rsidP="00175F7B">
            <w:pPr>
              <w:pStyle w:val="NormalWeb"/>
            </w:pPr>
            <w:r>
              <w:t>Contextual safeguarding was particularly relevant because some of the risks appeared to exist outside the immediate placement environment. Peer groups, adults, transport, community locations and online communication could all contribute to exploitation. This approach helped me recognise that changing the child’s location does not necessarily remove the source of risk.</w:t>
            </w:r>
          </w:p>
          <w:p w14:paraId="0AB73537" w14:textId="77777777" w:rsidR="00175F7B" w:rsidRDefault="00175F7B" w:rsidP="00175F7B">
            <w:pPr>
              <w:pStyle w:val="NormalWeb"/>
            </w:pPr>
            <w:r>
              <w:t>For example, returning Child 1 to her home authority may have disrupted some relationships, but it could also have removed positive relationships and failed to address exploitation that continued through phones or social media. I therefore learned that risk assessment must follow the child rather than assuming that risk is attached to a particular physical location.</w:t>
            </w:r>
          </w:p>
          <w:p w14:paraId="3181251F" w14:textId="77777777" w:rsidR="00175F7B" w:rsidRDefault="00175F7B" w:rsidP="00175F7B">
            <w:pPr>
              <w:pStyle w:val="NormalWeb"/>
            </w:pPr>
            <w:r>
              <w:t xml:space="preserve">A strengths-based approach also helped me recognise that Child 1 had demonstrated resilience. She had returned from missing episodes, previously engaged with direct work and had developed some understanding of exploitation. </w:t>
            </w:r>
            <w:proofErr w:type="spellStart"/>
            <w:r>
              <w:t>Saleebey</w:t>
            </w:r>
            <w:proofErr w:type="spellEnd"/>
            <w:r>
              <w:t xml:space="preserve"> (2013) argues that social work should recognise strengths, resources and possibilities rather than concentrating only on deficits.</w:t>
            </w:r>
          </w:p>
          <w:p w14:paraId="4279DB32" w14:textId="77777777" w:rsidR="00175F7B" w:rsidRDefault="00175F7B" w:rsidP="00175F7B">
            <w:pPr>
              <w:pStyle w:val="NormalWeb"/>
            </w:pPr>
            <w:r>
              <w:t>In practice, I needed to build on those strengths without assuming resilience meant safety. I had to encourage participation, but I could not transfer responsibility for managing exploitation to Child 1.</w:t>
            </w:r>
          </w:p>
          <w:p w14:paraId="57DAEB33" w14:textId="77777777" w:rsidR="00175F7B" w:rsidRDefault="00175F7B" w:rsidP="00175F7B">
            <w:pPr>
              <w:pStyle w:val="NormalWeb"/>
            </w:pPr>
            <w:r>
              <w:t xml:space="preserve">A children’s rights approach was central to my thinking. The United Nations Convention on the Rights of the Child establishes children’s rights to have their views considered and to receive protection from exploitation and appropriate support following harm (United Nations, 1989). The </w:t>
            </w:r>
            <w:r>
              <w:lastRenderedPageBreak/>
              <w:t>Rights of Children and Young Persons (Wales) Measure 2011 further embeds children’s rights within Welsh policy and public decision-making.</w:t>
            </w:r>
          </w:p>
          <w:p w14:paraId="047DDBCC" w14:textId="77777777" w:rsidR="00175F7B" w:rsidRDefault="00175F7B" w:rsidP="00175F7B">
            <w:pPr>
              <w:pStyle w:val="NormalWeb"/>
            </w:pPr>
            <w:r>
              <w:t>The Social Care Wales Code of Professional Practice for Social Care Workers also requires practitioners to respect people’s views and wishes, promote rights and interests, work in a person-centred manner and respect dignity, privacy, culture and communication needs (Social Care Wales, 2026).</w:t>
            </w:r>
          </w:p>
          <w:p w14:paraId="6B65D389" w14:textId="77777777" w:rsidR="00175F7B" w:rsidRDefault="00175F7B" w:rsidP="00175F7B">
            <w:pPr>
              <w:pStyle w:val="NormalWeb"/>
            </w:pPr>
            <w:r>
              <w:t>These principles were relevant to Child 1’s identity and cultural needs. Child 1 identifies as Traveller, and this aspect of her identity is important to her. I therefore needed to ensure that her cultural identity was not overlooked within the safeguarding response. The Welsh language Active Offer was also relevant. I made the Welsh-language communication offer available to Child 1, although she declined it. Respecting the Active Offer meant ensuring that the choice was genuinely available rather than assuming that because it was declined, it was no longer relevant.</w:t>
            </w:r>
          </w:p>
          <w:p w14:paraId="3C7111FA" w14:textId="77777777" w:rsidR="00175F7B" w:rsidRDefault="00175F7B" w:rsidP="00175F7B">
            <w:pPr>
              <w:pStyle w:val="NormalWeb"/>
            </w:pPr>
            <w:r>
              <w:t>This reinforced for me that culturally sensitive practice is not an additional element of safeguarding; it is part of person-centred safeguarding. A child is more likely to engage when they feel their identity, communication preferences and relationships are understood and respected.</w:t>
            </w:r>
          </w:p>
          <w:p w14:paraId="58CB6A2D" w14:textId="77777777" w:rsidR="00175F7B" w:rsidRDefault="00175F7B" w:rsidP="00175F7B">
            <w:pPr>
              <w:pStyle w:val="NormalWeb"/>
            </w:pPr>
            <w:r>
              <w:t xml:space="preserve">We also needed to consider advocacy. Where a young person is reluctant to engage with professionals, independent advocacy can provide another route for their wishes and feelings to be heard. Offering advocacy does not mean that the child </w:t>
            </w:r>
            <w:proofErr w:type="gramStart"/>
            <w:r>
              <w:t>has to</w:t>
            </w:r>
            <w:proofErr w:type="gramEnd"/>
            <w:r>
              <w:t xml:space="preserve"> accept it, but the opportunity should be clearly explained.</w:t>
            </w:r>
          </w:p>
          <w:p w14:paraId="0EB52FB2" w14:textId="77777777" w:rsidR="00175F7B" w:rsidRDefault="00175F7B" w:rsidP="00175F7B">
            <w:pPr>
              <w:pStyle w:val="NormalWeb"/>
            </w:pPr>
            <w:r>
              <w:t>Although social care is devolved, children and those who pose risks to them do not necessarily remain within one local authority area. Child 1’s case demonstrated this because another young person involved in the circumstances had links with a different county.</w:t>
            </w:r>
          </w:p>
          <w:p w14:paraId="57F36FFE" w14:textId="77777777" w:rsidR="00175F7B" w:rsidRDefault="00175F7B" w:rsidP="00175F7B">
            <w:pPr>
              <w:pStyle w:val="NormalWeb"/>
            </w:pPr>
            <w:r>
              <w:t>The responsible authority retains responsibilities for children placed outside its area, but effective safeguarding requires information sharing and clear communication between placing and host authorities, police, health services and providers. The Social Services and Well-being (Wales) Act 2014 provides a framework for cooperation where children move between areas.</w:t>
            </w:r>
          </w:p>
          <w:p w14:paraId="311C432F" w14:textId="77777777" w:rsidR="00175F7B" w:rsidRDefault="00175F7B" w:rsidP="00175F7B">
            <w:pPr>
              <w:pStyle w:val="NormalWeb"/>
            </w:pPr>
            <w:r>
              <w:t>The Children Act 1989 and Children Act 2004 also remain important within the wider UK child protection framework, although safeguarding arrangements differ between Wales, England, Scotland and Northern Ireland. This means that practitioners need to understand both their own statutory framework and the implications of children moving across boundaries.</w:t>
            </w:r>
          </w:p>
          <w:p w14:paraId="244A28BC" w14:textId="77777777" w:rsidR="00175F7B" w:rsidRDefault="00175F7B" w:rsidP="00175F7B">
            <w:pPr>
              <w:pStyle w:val="NormalWeb"/>
            </w:pPr>
            <w:r>
              <w:t>Human rights considerations were also relevant. The European Convention on Human Rights operates through the Council of Europe and should not be confused with the European Union. The Human Rights Act 1998 gives effect to Convention rights within UK law. Articles 3, 5 and 8 were particularly relevant conceptually because safeguarding decisions can engage protection from degrading treatment, liberty and security, and private and family life.</w:t>
            </w:r>
          </w:p>
          <w:p w14:paraId="4C0972C9" w14:textId="77777777" w:rsidR="00175F7B" w:rsidRDefault="00175F7B" w:rsidP="00175F7B">
            <w:pPr>
              <w:pStyle w:val="NormalWeb"/>
            </w:pPr>
            <w:r>
              <w:t>Where trafficking or modern slavery is suspected, the Modern Slavery Act 2015 and National Referral Mechanism may also become relevant. These frameworks show that safeguarding responsibilities follow the child’s circumstances and needs and cannot stop at local or national boundaries.</w:t>
            </w:r>
          </w:p>
          <w:p w14:paraId="21857598" w14:textId="77777777" w:rsidR="00175F7B" w:rsidRDefault="00175F7B" w:rsidP="00175F7B">
            <w:pPr>
              <w:pStyle w:val="NormalWeb"/>
            </w:pPr>
            <w:r>
              <w:lastRenderedPageBreak/>
              <w:t>Emotionally, I found the case difficult. I was concerned about the bruising, missing episodes, older males and lack of information. I was also frustrated that previous direct work had not resulted in sustained safety.</w:t>
            </w:r>
          </w:p>
          <w:p w14:paraId="17FD0344" w14:textId="77777777" w:rsidR="00175F7B" w:rsidRDefault="00175F7B" w:rsidP="00175F7B">
            <w:pPr>
              <w:pStyle w:val="NormalWeb"/>
            </w:pPr>
            <w:r>
              <w:t>Using Gibbs’ (1988) model helped me recognise that my frustration could have influenced how I viewed Child 1. I initially felt a strong desire for her to provide information because I believed this was necessary to protect her. However, I recognised that this could unintentionally create pressure and reinforce the idea that she was responsible for solving the safeguarding concern.</w:t>
            </w:r>
          </w:p>
          <w:p w14:paraId="60730046" w14:textId="77777777" w:rsidR="00175F7B" w:rsidRDefault="00175F7B" w:rsidP="00175F7B">
            <w:pPr>
              <w:pStyle w:val="NormalWeb"/>
            </w:pPr>
            <w:r>
              <w:t>My reflection changed the way I understood resistance. Rather than viewing Child 1’s reluctance as non-compliance, I considered whether it could reflect fear, mistrust, past experiences with professionals, loyalty, coercion or simply her need to retain some control.</w:t>
            </w:r>
          </w:p>
          <w:p w14:paraId="36DE5C97" w14:textId="77777777" w:rsidR="00175F7B" w:rsidRDefault="00175F7B" w:rsidP="00175F7B">
            <w:pPr>
              <w:pStyle w:val="NormalWeb"/>
            </w:pPr>
            <w:r>
              <w:t xml:space="preserve">I also recognised that professional urgency </w:t>
            </w:r>
            <w:proofErr w:type="gramStart"/>
            <w:r>
              <w:t>can</w:t>
            </w:r>
            <w:proofErr w:type="gramEnd"/>
            <w:r>
              <w:t xml:space="preserve"> narrow thinking. When risk is high, it is tempting to focus on the most immediate solution, such as moving the child or increasing supervision. While these actions can be necessary, they may not address the underlying causes of exploitation.</w:t>
            </w:r>
          </w:p>
          <w:p w14:paraId="0B92DA8F" w14:textId="77777777" w:rsidR="00175F7B" w:rsidRDefault="00175F7B" w:rsidP="00175F7B">
            <w:pPr>
              <w:pStyle w:val="NormalWeb"/>
            </w:pPr>
            <w:r>
              <w:t>I now understand professional judgement as requiring both action and reflection. I need to be able to explain why I reached a decision, what evidence supported it, what remained unknown, what alternatives were considered and how the child’s views influenced the decision.</w:t>
            </w:r>
          </w:p>
          <w:p w14:paraId="1BD7614A" w14:textId="77777777" w:rsidR="00175F7B" w:rsidRDefault="00175F7B" w:rsidP="00175F7B">
            <w:pPr>
              <w:pStyle w:val="NormalWeb"/>
            </w:pPr>
            <w:r>
              <w:t>The case also reinforced the importance of reflective supervision. Discussing uncertainty with my manager and colleagues can help identify assumptions that may otherwise remain unnoticed. I need to keep asking myself whether my interpretation is based on evidence or whether I am filling knowledge gaps with assumptions.</w:t>
            </w:r>
          </w:p>
          <w:p w14:paraId="30BC1658" w14:textId="77777777" w:rsidR="00175F7B" w:rsidRDefault="00175F7B" w:rsidP="00175F7B">
            <w:pPr>
              <w:pStyle w:val="NormalWeb"/>
            </w:pPr>
            <w:r>
              <w:t>The earlier use of significant restrictions in Child 1’s life also caused me to reflect on the relationship between protection and liberty. In future, when considering restrictions, I will clearly identify the exact legal framework and authority for the restriction rather than using general terminology such as “</w:t>
            </w:r>
            <w:proofErr w:type="spellStart"/>
            <w:r>
              <w:t>DoLS</w:t>
            </w:r>
            <w:proofErr w:type="spellEnd"/>
            <w:r>
              <w:t>”.</w:t>
            </w:r>
          </w:p>
          <w:p w14:paraId="3AB20C3B" w14:textId="77777777" w:rsidR="00175F7B" w:rsidRDefault="00175F7B" w:rsidP="00175F7B">
            <w:pPr>
              <w:pStyle w:val="NormalWeb"/>
            </w:pPr>
            <w:r>
              <w:t>Any restriction placed on a child must be necessary, lawful and proportionate to the identified risk. The fact that a child is vulnerable to exploitation does not automatically justify unlimited restrictions. Equally, the existence of rights does not prevent proportionate protective action.</w:t>
            </w:r>
          </w:p>
          <w:p w14:paraId="5B8BFA3D" w14:textId="77777777" w:rsidR="00175F7B" w:rsidRDefault="00175F7B" w:rsidP="00175F7B">
            <w:pPr>
              <w:pStyle w:val="NormalWeb"/>
            </w:pPr>
            <w:r>
              <w:t>My role is therefore to consider whether a restriction addresses a clearly identified risk, whether less restrictive alternatives have been considered and whether the restriction is regularly reviewed. This supports accountability and reduces the risk that protective measures become normalised simply because they were introduced during a crisis.</w:t>
            </w:r>
          </w:p>
          <w:p w14:paraId="240BE8F4" w14:textId="77777777" w:rsidR="00175F7B" w:rsidRDefault="00175F7B" w:rsidP="00175F7B">
            <w:pPr>
              <w:pStyle w:val="NormalWeb"/>
            </w:pPr>
            <w:r>
              <w:t>My main learning from the case is that effective safeguarding requires more than procedural compliance. Procedures provide an important framework, but professional judgement is required to understand what the information means in the context of the individual child.</w:t>
            </w:r>
          </w:p>
          <w:p w14:paraId="77F4969A" w14:textId="77777777" w:rsidR="00175F7B" w:rsidRDefault="00175F7B" w:rsidP="00175F7B">
            <w:pPr>
              <w:pStyle w:val="NormalWeb"/>
            </w:pPr>
            <w:r>
              <w:t>In future, I will introduce a chronology early so I can identify patterns and cumulative risk. I will clearly distinguish fact, professional inference and uncertainty in my recording. I will ensure that Child 1’s own words remain visible within assessments rather than allowing professional interpretations to dominate.</w:t>
            </w:r>
          </w:p>
          <w:p w14:paraId="7D429A76" w14:textId="77777777" w:rsidR="00175F7B" w:rsidRDefault="00175F7B" w:rsidP="00175F7B">
            <w:pPr>
              <w:pStyle w:val="NormalWeb"/>
            </w:pPr>
            <w:r>
              <w:lastRenderedPageBreak/>
              <w:t>I will also seek reflective supervision earlier when the evidence is incomplete or conflicting. I will involve police and legal colleagues early when there are concerns about exploitation, restrictions or possible offences. I will also pay closer attention to perpetrators’ disruptive behaviour and harmful environments, rather than allowing safeguarding plans to focus primarily on monitoring the child.</w:t>
            </w:r>
          </w:p>
          <w:p w14:paraId="7F2C9F45" w14:textId="77777777" w:rsidR="00175F7B" w:rsidRDefault="00175F7B" w:rsidP="00175F7B">
            <w:pPr>
              <w:pStyle w:val="NormalWeb"/>
            </w:pPr>
            <w:r>
              <w:t>My safety planning will also be more detailed. It should identify trusted adults, places where the young person can seek help, agreed ways of communicating when they feel unsafe, transport arrangements, education, health needs and contingency plans. Importantly, the plan should state what each professional will do and how its effectiveness will be reviewed.</w:t>
            </w:r>
          </w:p>
          <w:p w14:paraId="6DE70463" w14:textId="77777777" w:rsidR="00175F7B" w:rsidRDefault="00175F7B" w:rsidP="00175F7B">
            <w:pPr>
              <w:pStyle w:val="NormalWeb"/>
            </w:pPr>
            <w:r>
              <w:t>I also recognise that safety planning must remain dynamic. A plan that was appropriate yesterday may not be sufficient after a new missing episode, disclosure, change in relationship or change of placement. Therefore, plans should be reviewed after incidents, not only at formal statutory review points.</w:t>
            </w:r>
          </w:p>
          <w:p w14:paraId="52A04093" w14:textId="77777777" w:rsidR="00175F7B" w:rsidRDefault="00175F7B" w:rsidP="00175F7B">
            <w:pPr>
              <w:pStyle w:val="NormalWeb"/>
            </w:pPr>
            <w:r>
              <w:t xml:space="preserve">This case demonstrated the complexity of safeguarding a young person where exploitation, missing episodes, placement instability, suspected substance misuse and limited disclosure intersected. The seriousness of the circumstances justified a section 47 enquiry, multi-agency assessment and urgent protective planning. However, the case also demonstrated that protective intervention </w:t>
            </w:r>
            <w:proofErr w:type="gramStart"/>
            <w:r>
              <w:t>can</w:t>
            </w:r>
            <w:proofErr w:type="gramEnd"/>
            <w:r>
              <w:t xml:space="preserve"> have unintended consequences if it focuses too heavily on removing the child from immediate risk without addressing the wider relational and contextual factors.</w:t>
            </w:r>
          </w:p>
          <w:p w14:paraId="68DA35EB" w14:textId="77777777" w:rsidR="00175F7B" w:rsidRDefault="00175F7B" w:rsidP="00175F7B">
            <w:pPr>
              <w:pStyle w:val="NormalWeb"/>
            </w:pPr>
            <w:r>
              <w:t>The Social Services and Well-being (Wales) Act 2014, section 47 of the Children Act 1989, the Wales Safeguarding Procedures and relevant Welsh safeguarding guidance provided the statutory and procedural framework for my practice. However, the legislation did not provide a simple answer. I still had to exercise professional judgement, assess incomplete evidence, consider competing risks and make proportionate decisions.</w:t>
            </w:r>
          </w:p>
          <w:p w14:paraId="16537581" w14:textId="77777777" w:rsidR="00175F7B" w:rsidRDefault="00175F7B" w:rsidP="00175F7B">
            <w:pPr>
              <w:pStyle w:val="NormalWeb"/>
            </w:pPr>
            <w:r>
              <w:t>The theoretical perspectives I used helped me understand Child 1’s behaviour within the context of relationships, trauma, attachment, peer groups and wider systems. They also challenged language that could place responsibility for exploitation onto the child. At the same time, I recognised that theories must be applied critically and should not replace evidence or individual understanding.</w:t>
            </w:r>
          </w:p>
          <w:p w14:paraId="1ACF9661" w14:textId="77777777" w:rsidR="00175F7B" w:rsidRDefault="00175F7B" w:rsidP="00175F7B">
            <w:pPr>
              <w:pStyle w:val="NormalWeb"/>
            </w:pPr>
            <w:r>
              <w:t>The case strengthened my understanding that participation and protection are not opposing objectives. A young person’s wishes should remain central even where those wishes cannot determine the safeguarding response. Through careful explanation, advocacy, relationship-based practice, culturally and linguistically sensitive communication and jointly developed safety planning, protective intervention can become more meaningful.</w:t>
            </w:r>
          </w:p>
          <w:p w14:paraId="28C8C9C7" w14:textId="77777777" w:rsidR="00175F7B" w:rsidRDefault="00175F7B" w:rsidP="00175F7B">
            <w:pPr>
              <w:pStyle w:val="NormalWeb"/>
            </w:pPr>
            <w:r>
              <w:t>My professional judgement was strongest when I distinguished evidence from inference, considered information from different agencies and remained open to uncertainty. It was less strong when the urgency of the situation narrowed my thinking towards immediate physical protection and away from longer-term relational stability.</w:t>
            </w:r>
          </w:p>
          <w:p w14:paraId="39F19629" w14:textId="77777777" w:rsidR="00175F7B" w:rsidRDefault="00175F7B" w:rsidP="00175F7B">
            <w:pPr>
              <w:pStyle w:val="NormalWeb"/>
            </w:pPr>
            <w:r>
              <w:t xml:space="preserve">The most important lesson I will take forward is that safeguarding should not be measured only by whether the correct procedure has been completed. I need to consider whether the intervention has </w:t>
            </w:r>
            <w:proofErr w:type="gramStart"/>
            <w:r>
              <w:t>actually reduced</w:t>
            </w:r>
            <w:proofErr w:type="gramEnd"/>
            <w:r>
              <w:t xml:space="preserve"> harm, increased trusted support, challenged those causing the harm and strengthened the young person’s ability to exercise voice and control. Going forward, I will continue to ask not </w:t>
            </w:r>
            <w:r>
              <w:lastRenderedPageBreak/>
              <w:t>only, “Have we followed the procedure?” but also, “Has this intervention made this young person safer, and how do we know?”</w:t>
            </w:r>
          </w:p>
          <w:p w14:paraId="7B931AD4" w14:textId="77777777" w:rsidR="00175F7B" w:rsidRDefault="00175F7B" w:rsidP="007518BC">
            <w:pPr>
              <w:rPr>
                <w:rFonts w:ascii="Times New Roman" w:hAnsi="Times New Roman" w:cs="Times New Roman"/>
                <w:sz w:val="24"/>
                <w:szCs w:val="24"/>
              </w:rPr>
            </w:pPr>
          </w:p>
          <w:p w14:paraId="4159D2C9" w14:textId="47BB725C" w:rsidR="007518BC" w:rsidRPr="007518BC" w:rsidRDefault="007518BC" w:rsidP="007518BC">
            <w:pPr>
              <w:rPr>
                <w:rFonts w:ascii="Times New Roman" w:hAnsi="Times New Roman" w:cs="Times New Roman"/>
                <w:sz w:val="24"/>
                <w:szCs w:val="24"/>
              </w:rPr>
            </w:pPr>
            <w:r w:rsidRPr="007518BC">
              <w:rPr>
                <w:rFonts w:ascii="Times New Roman" w:hAnsi="Times New Roman" w:cs="Times New Roman"/>
                <w:sz w:val="24"/>
                <w:szCs w:val="24"/>
              </w:rPr>
              <w:t xml:space="preserve">Word count </w:t>
            </w:r>
            <w:r w:rsidR="00175F7B">
              <w:rPr>
                <w:rFonts w:ascii="Times New Roman" w:hAnsi="Times New Roman" w:cs="Times New Roman"/>
                <w:sz w:val="24"/>
                <w:szCs w:val="24"/>
              </w:rPr>
              <w:t>4.300</w:t>
            </w:r>
          </w:p>
          <w:p w14:paraId="20370495" w14:textId="79B79501" w:rsidR="00D3203C" w:rsidRPr="007518BC" w:rsidRDefault="00D3203C" w:rsidP="00FF7EBB">
            <w:pPr>
              <w:jc w:val="both"/>
              <w:rPr>
                <w:rFonts w:ascii="Times New Roman" w:hAnsi="Times New Roman" w:cs="Times New Roman"/>
                <w:iCs/>
                <w:sz w:val="24"/>
                <w:szCs w:val="24"/>
              </w:rPr>
            </w:pPr>
          </w:p>
          <w:p w14:paraId="12DC2F24" w14:textId="24094196" w:rsidR="00D3203C" w:rsidRDefault="00D3203C" w:rsidP="00FF7EBB">
            <w:pPr>
              <w:jc w:val="both"/>
              <w:rPr>
                <w:i/>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D8C521" w14:textId="77777777" w:rsidR="00014FA6" w:rsidRDefault="00014FA6">
      <w:r>
        <w:separator/>
      </w:r>
    </w:p>
  </w:endnote>
  <w:endnote w:type="continuationSeparator" w:id="0">
    <w:p w14:paraId="23D5BB3F" w14:textId="77777777" w:rsidR="00014FA6" w:rsidRDefault="00014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2784DF" w14:textId="77777777" w:rsidR="00014FA6" w:rsidRDefault="00014FA6">
      <w:r>
        <w:separator/>
      </w:r>
    </w:p>
  </w:footnote>
  <w:footnote w:type="continuationSeparator" w:id="0">
    <w:p w14:paraId="732CC23E" w14:textId="77777777" w:rsidR="00014FA6" w:rsidRDefault="00014F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14FA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3CB3"/>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5564"/>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5F7B"/>
    <w:rsid w:val="001772BF"/>
    <w:rsid w:val="001772DE"/>
    <w:rsid w:val="0019496C"/>
    <w:rsid w:val="00194C36"/>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269"/>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02C"/>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13"/>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E7D7C"/>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18BC"/>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122"/>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14DE"/>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863FF"/>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21D0"/>
    <w:rsid w:val="00BC460B"/>
    <w:rsid w:val="00BC4ED3"/>
    <w:rsid w:val="00BC5725"/>
    <w:rsid w:val="00BD30B1"/>
    <w:rsid w:val="00BE0F7B"/>
    <w:rsid w:val="00BE10C2"/>
    <w:rsid w:val="00BE521A"/>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B3EB4"/>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96CA9"/>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098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055F"/>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uiPriority w:val="10"/>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uiPriority w:val="10"/>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NormalWeb">
    <w:name w:val="Normal (Web)"/>
    <w:basedOn w:val="Normal"/>
    <w:uiPriority w:val="99"/>
    <w:semiHidden/>
    <w:unhideWhenUsed/>
    <w:rsid w:val="00175F7B"/>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175F7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4651</Words>
  <Characters>26515</Characters>
  <Application>Microsoft Office Word</Application>
  <DocSecurity>4</DocSecurity>
  <Lines>220</Lines>
  <Paragraphs>62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31104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Rachel Cannon</cp:lastModifiedBy>
  <cp:revision>2</cp:revision>
  <cp:lastPrinted>2020-02-11T19:20:00Z</cp:lastPrinted>
  <dcterms:created xsi:type="dcterms:W3CDTF">2026-10-07T07:49:00Z</dcterms:created>
  <dcterms:modified xsi:type="dcterms:W3CDTF">2026-10-07T07:49:00Z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GrammarlyDocumentId">
    <vt:lpwstr>87dd56c4e2cd39313612d887f282233c8044a81eb46cfc54ac51001959c6ad7e</vt:lpwstr>
  </property>
</Properties>
</file>