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EB0157E" w14:textId="4078E867" w:rsidR="002424B5" w:rsidRPr="00C930C9" w:rsidRDefault="002424B5" w:rsidP="00C930C9">
      <w:pPr>
        <w:spacing w:before="30" w:line="360" w:lineRule="auto"/>
        <w:rPr>
          <w:rFonts w:asciiTheme="minorHAnsi" w:hAnsiTheme="minorHAnsi" w:cs="Calibri Light"/>
          <w:color w:val="000000" w:themeColor="text1"/>
          <w:sz w:val="24"/>
          <w:szCs w:val="24"/>
        </w:rPr>
      </w:pPr>
      <w:r w:rsidRPr="00C930C9">
        <w:rPr>
          <w:rFonts w:asciiTheme="minorHAnsi" w:hAnsiTheme="minorHAnsi" w:cs="Calibri Light"/>
          <w:color w:val="000000" w:themeColor="text1"/>
          <w:sz w:val="24"/>
          <w:szCs w:val="24"/>
        </w:rPr>
        <w:t xml:space="preserve">Academic Discussion two </w:t>
      </w:r>
    </w:p>
    <w:p w14:paraId="2327CD0D" w14:textId="77777777" w:rsidR="00C930C9" w:rsidRPr="00C930C9" w:rsidRDefault="00C930C9" w:rsidP="00C930C9">
      <w:pPr>
        <w:spacing w:before="30" w:line="360" w:lineRule="auto"/>
        <w:rPr>
          <w:rFonts w:asciiTheme="minorHAnsi" w:hAnsiTheme="minorHAnsi" w:cs="Calibri Light"/>
          <w:color w:val="000000" w:themeColor="text1"/>
          <w:sz w:val="24"/>
          <w:szCs w:val="24"/>
        </w:rPr>
      </w:pPr>
    </w:p>
    <w:p w14:paraId="390CB9AB" w14:textId="1D475A1B" w:rsidR="002424B5" w:rsidRPr="00C930C9" w:rsidRDefault="002424B5" w:rsidP="00C930C9">
      <w:pPr>
        <w:spacing w:before="30" w:line="360" w:lineRule="auto"/>
        <w:rPr>
          <w:rFonts w:asciiTheme="minorHAnsi" w:hAnsiTheme="minorHAnsi" w:cs="Calibri Light"/>
          <w:color w:val="000000" w:themeColor="text1"/>
          <w:sz w:val="24"/>
          <w:szCs w:val="24"/>
        </w:rPr>
      </w:pPr>
      <w:r w:rsidRPr="00C930C9">
        <w:rPr>
          <w:rFonts w:asciiTheme="minorHAnsi" w:hAnsiTheme="minorHAnsi" w:cs="Calibri Light"/>
          <w:color w:val="000000" w:themeColor="text1"/>
          <w:sz w:val="24"/>
          <w:szCs w:val="24"/>
        </w:rPr>
        <w:t xml:space="preserve">Module: Clinical Decision Making for Therapy Assistant Practitioners </w:t>
      </w:r>
    </w:p>
    <w:p w14:paraId="0DFC7E2C" w14:textId="77777777" w:rsidR="00C930C9" w:rsidRPr="00C930C9" w:rsidRDefault="00C930C9" w:rsidP="00C930C9">
      <w:pPr>
        <w:spacing w:before="30" w:line="360" w:lineRule="auto"/>
        <w:rPr>
          <w:rFonts w:asciiTheme="minorHAnsi" w:hAnsiTheme="minorHAnsi" w:cs="Calibri Light"/>
          <w:color w:val="000000" w:themeColor="text1"/>
          <w:sz w:val="24"/>
          <w:szCs w:val="24"/>
        </w:rPr>
      </w:pPr>
    </w:p>
    <w:p w14:paraId="3DB1072C" w14:textId="63E979C9" w:rsidR="002424B5" w:rsidRPr="00C930C9" w:rsidRDefault="002424B5" w:rsidP="00C930C9">
      <w:pPr>
        <w:spacing w:before="30" w:line="360" w:lineRule="auto"/>
        <w:rPr>
          <w:rFonts w:asciiTheme="minorHAnsi" w:hAnsiTheme="minorHAnsi" w:cs="Calibri Light"/>
          <w:color w:val="000000" w:themeColor="text1"/>
          <w:sz w:val="24"/>
          <w:szCs w:val="24"/>
        </w:rPr>
      </w:pPr>
      <w:r w:rsidRPr="00C930C9">
        <w:rPr>
          <w:rFonts w:asciiTheme="minorHAnsi" w:hAnsiTheme="minorHAnsi" w:cs="Calibri Light"/>
          <w:color w:val="000000" w:themeColor="text1"/>
          <w:sz w:val="24"/>
          <w:szCs w:val="24"/>
        </w:rPr>
        <w:t>Module code: BMAC4018 / PJ14CY019: CDQ100</w:t>
      </w:r>
    </w:p>
    <w:p w14:paraId="379E29FA" w14:textId="77777777" w:rsidR="00C930C9" w:rsidRPr="00C930C9" w:rsidRDefault="00C930C9" w:rsidP="00C930C9">
      <w:pPr>
        <w:spacing w:before="30" w:line="360" w:lineRule="auto"/>
        <w:rPr>
          <w:rFonts w:asciiTheme="minorHAnsi" w:hAnsiTheme="minorHAnsi" w:cs="Calibri Light"/>
          <w:color w:val="000000" w:themeColor="text1"/>
          <w:sz w:val="24"/>
          <w:szCs w:val="24"/>
        </w:rPr>
      </w:pPr>
    </w:p>
    <w:p w14:paraId="759A5BEC" w14:textId="71126B0D" w:rsidR="002424B5" w:rsidRPr="00C930C9" w:rsidRDefault="002424B5" w:rsidP="00C930C9">
      <w:pPr>
        <w:spacing w:before="30" w:line="360" w:lineRule="auto"/>
        <w:rPr>
          <w:rFonts w:asciiTheme="minorHAnsi" w:hAnsiTheme="minorHAnsi" w:cs="Calibri Light"/>
          <w:color w:val="000000" w:themeColor="text1"/>
          <w:sz w:val="24"/>
          <w:szCs w:val="24"/>
        </w:rPr>
      </w:pPr>
      <w:r w:rsidRPr="00C930C9">
        <w:rPr>
          <w:rFonts w:asciiTheme="minorHAnsi" w:hAnsiTheme="minorHAnsi" w:cs="Calibri Light"/>
          <w:color w:val="000000" w:themeColor="text1"/>
          <w:sz w:val="24"/>
          <w:szCs w:val="24"/>
        </w:rPr>
        <w:t xml:space="preserve">Assignment Title: Academic Discussion two </w:t>
      </w:r>
    </w:p>
    <w:p w14:paraId="7792EAAA" w14:textId="77777777" w:rsidR="00C930C9" w:rsidRPr="00C930C9" w:rsidRDefault="00C930C9" w:rsidP="00C930C9">
      <w:pPr>
        <w:spacing w:before="30" w:line="360" w:lineRule="auto"/>
        <w:rPr>
          <w:rFonts w:asciiTheme="minorHAnsi" w:hAnsiTheme="minorHAnsi" w:cs="Calibri Light"/>
          <w:color w:val="000000" w:themeColor="text1"/>
          <w:sz w:val="24"/>
          <w:szCs w:val="24"/>
        </w:rPr>
      </w:pPr>
    </w:p>
    <w:p w14:paraId="5A44C232" w14:textId="76347360" w:rsidR="002424B5" w:rsidRPr="00C930C9" w:rsidRDefault="002424B5" w:rsidP="00C930C9">
      <w:pPr>
        <w:spacing w:before="30" w:line="360" w:lineRule="auto"/>
        <w:rPr>
          <w:rFonts w:asciiTheme="minorHAnsi" w:hAnsiTheme="minorHAnsi" w:cs="Calibri Light"/>
          <w:color w:val="000000" w:themeColor="text1"/>
          <w:sz w:val="24"/>
          <w:szCs w:val="24"/>
        </w:rPr>
      </w:pPr>
      <w:r w:rsidRPr="00C930C9">
        <w:rPr>
          <w:rFonts w:asciiTheme="minorHAnsi" w:hAnsiTheme="minorHAnsi" w:cs="Calibri Light"/>
          <w:color w:val="000000" w:themeColor="text1"/>
          <w:sz w:val="24"/>
          <w:szCs w:val="24"/>
        </w:rPr>
        <w:t xml:space="preserve">Name: Gerallt Wyn Elias </w:t>
      </w:r>
    </w:p>
    <w:p w14:paraId="679ED265" w14:textId="77777777" w:rsidR="00C930C9" w:rsidRPr="00C930C9" w:rsidRDefault="00C930C9" w:rsidP="00C930C9">
      <w:pPr>
        <w:spacing w:before="30" w:line="360" w:lineRule="auto"/>
        <w:rPr>
          <w:rFonts w:asciiTheme="minorHAnsi" w:hAnsiTheme="minorHAnsi" w:cs="Calibri Light"/>
          <w:color w:val="000000" w:themeColor="text1"/>
          <w:sz w:val="24"/>
          <w:szCs w:val="24"/>
        </w:rPr>
      </w:pPr>
    </w:p>
    <w:p w14:paraId="58FB1C53" w14:textId="5ACC3875" w:rsidR="002424B5" w:rsidRPr="00C930C9" w:rsidRDefault="002424B5" w:rsidP="00C930C9">
      <w:pPr>
        <w:spacing w:before="30" w:line="360" w:lineRule="auto"/>
        <w:rPr>
          <w:rFonts w:asciiTheme="minorHAnsi" w:hAnsiTheme="minorHAnsi" w:cs="Calibri Light"/>
          <w:color w:val="000000" w:themeColor="text1"/>
          <w:sz w:val="24"/>
          <w:szCs w:val="24"/>
        </w:rPr>
      </w:pPr>
      <w:r w:rsidRPr="00C930C9">
        <w:rPr>
          <w:rFonts w:asciiTheme="minorHAnsi" w:hAnsiTheme="minorHAnsi" w:cs="Calibri Light"/>
          <w:color w:val="000000" w:themeColor="text1"/>
          <w:sz w:val="24"/>
          <w:szCs w:val="24"/>
        </w:rPr>
        <w:t>Student number:</w:t>
      </w:r>
      <w:r w:rsidR="00C930C9" w:rsidRPr="00C930C9">
        <w:rPr>
          <w:rFonts w:asciiTheme="minorHAnsi" w:hAnsiTheme="minorHAnsi" w:cs="Calibri Light"/>
          <w:color w:val="000000" w:themeColor="text1"/>
          <w:sz w:val="24"/>
          <w:szCs w:val="24"/>
        </w:rPr>
        <w:t xml:space="preserve"> 2413443</w:t>
      </w:r>
    </w:p>
    <w:p w14:paraId="51A235C6" w14:textId="77777777" w:rsidR="002424B5" w:rsidRDefault="002424B5" w:rsidP="002424B5">
      <w:pPr>
        <w:spacing w:line="360" w:lineRule="auto"/>
        <w:rPr>
          <w:rFonts w:asciiTheme="minorHAnsi" w:hAnsiTheme="minorHAnsi" w:cs="Arial"/>
          <w:color w:val="000000" w:themeColor="text1"/>
          <w:sz w:val="24"/>
          <w:szCs w:val="24"/>
          <w:u w:val="single"/>
        </w:rPr>
      </w:pPr>
    </w:p>
    <w:p w14:paraId="30D9A295" w14:textId="77777777" w:rsidR="002424B5" w:rsidRDefault="002424B5" w:rsidP="002424B5">
      <w:pPr>
        <w:spacing w:line="360" w:lineRule="auto"/>
        <w:rPr>
          <w:rFonts w:asciiTheme="minorHAnsi" w:hAnsiTheme="minorHAnsi" w:cs="Arial"/>
          <w:color w:val="000000" w:themeColor="text1"/>
          <w:sz w:val="24"/>
          <w:szCs w:val="24"/>
          <w:u w:val="single"/>
        </w:rPr>
      </w:pPr>
    </w:p>
    <w:p w14:paraId="1086FBCB" w14:textId="77777777" w:rsidR="002424B5" w:rsidRDefault="002424B5" w:rsidP="002424B5">
      <w:pPr>
        <w:spacing w:line="360" w:lineRule="auto"/>
        <w:rPr>
          <w:rFonts w:asciiTheme="minorHAnsi" w:hAnsiTheme="minorHAnsi" w:cs="Arial"/>
          <w:color w:val="000000" w:themeColor="text1"/>
          <w:sz w:val="24"/>
          <w:szCs w:val="24"/>
          <w:u w:val="single"/>
        </w:rPr>
      </w:pPr>
    </w:p>
    <w:p w14:paraId="46D1B04F" w14:textId="77777777" w:rsidR="002424B5" w:rsidRDefault="002424B5" w:rsidP="002424B5">
      <w:pPr>
        <w:spacing w:line="360" w:lineRule="auto"/>
        <w:rPr>
          <w:rFonts w:asciiTheme="minorHAnsi" w:hAnsiTheme="minorHAnsi" w:cs="Arial"/>
          <w:color w:val="000000" w:themeColor="text1"/>
          <w:sz w:val="24"/>
          <w:szCs w:val="24"/>
          <w:u w:val="single"/>
        </w:rPr>
      </w:pPr>
    </w:p>
    <w:p w14:paraId="58594DF5" w14:textId="77777777" w:rsidR="002424B5" w:rsidRDefault="002424B5" w:rsidP="002424B5">
      <w:pPr>
        <w:spacing w:line="360" w:lineRule="auto"/>
        <w:rPr>
          <w:rFonts w:asciiTheme="minorHAnsi" w:hAnsiTheme="minorHAnsi" w:cs="Arial"/>
          <w:color w:val="000000" w:themeColor="text1"/>
          <w:sz w:val="24"/>
          <w:szCs w:val="24"/>
          <w:u w:val="single"/>
        </w:rPr>
      </w:pPr>
    </w:p>
    <w:p w14:paraId="17766A48" w14:textId="77777777" w:rsidR="002424B5" w:rsidRDefault="002424B5" w:rsidP="002424B5">
      <w:pPr>
        <w:spacing w:line="360" w:lineRule="auto"/>
        <w:rPr>
          <w:rFonts w:asciiTheme="minorHAnsi" w:hAnsiTheme="minorHAnsi" w:cs="Arial"/>
          <w:color w:val="000000" w:themeColor="text1"/>
          <w:sz w:val="24"/>
          <w:szCs w:val="24"/>
          <w:u w:val="single"/>
        </w:rPr>
      </w:pPr>
    </w:p>
    <w:p w14:paraId="5D48BD97" w14:textId="77777777" w:rsidR="002424B5" w:rsidRDefault="002424B5" w:rsidP="002424B5">
      <w:pPr>
        <w:spacing w:line="360" w:lineRule="auto"/>
        <w:rPr>
          <w:rFonts w:asciiTheme="minorHAnsi" w:hAnsiTheme="minorHAnsi" w:cs="Arial"/>
          <w:color w:val="000000" w:themeColor="text1"/>
          <w:sz w:val="24"/>
          <w:szCs w:val="24"/>
          <w:u w:val="single"/>
        </w:rPr>
      </w:pPr>
    </w:p>
    <w:p w14:paraId="33DCC685" w14:textId="77777777" w:rsidR="002424B5" w:rsidRDefault="002424B5" w:rsidP="002424B5">
      <w:pPr>
        <w:spacing w:line="360" w:lineRule="auto"/>
        <w:rPr>
          <w:rFonts w:asciiTheme="minorHAnsi" w:hAnsiTheme="minorHAnsi" w:cs="Arial"/>
          <w:color w:val="000000" w:themeColor="text1"/>
          <w:sz w:val="24"/>
          <w:szCs w:val="24"/>
          <w:u w:val="single"/>
        </w:rPr>
      </w:pPr>
    </w:p>
    <w:p w14:paraId="44C6677A" w14:textId="77777777" w:rsidR="002424B5" w:rsidRDefault="002424B5" w:rsidP="002424B5">
      <w:pPr>
        <w:spacing w:line="360" w:lineRule="auto"/>
        <w:rPr>
          <w:rFonts w:asciiTheme="minorHAnsi" w:hAnsiTheme="minorHAnsi" w:cs="Arial"/>
          <w:color w:val="000000" w:themeColor="text1"/>
          <w:sz w:val="24"/>
          <w:szCs w:val="24"/>
          <w:u w:val="single"/>
        </w:rPr>
      </w:pPr>
    </w:p>
    <w:p w14:paraId="699054EC" w14:textId="77777777" w:rsidR="002424B5" w:rsidRDefault="002424B5" w:rsidP="002424B5">
      <w:pPr>
        <w:spacing w:line="360" w:lineRule="auto"/>
        <w:rPr>
          <w:rFonts w:asciiTheme="minorHAnsi" w:hAnsiTheme="minorHAnsi" w:cs="Arial"/>
          <w:color w:val="000000" w:themeColor="text1"/>
          <w:sz w:val="24"/>
          <w:szCs w:val="24"/>
          <w:u w:val="single"/>
        </w:rPr>
      </w:pPr>
    </w:p>
    <w:p w14:paraId="45178F2C" w14:textId="77777777" w:rsidR="002424B5" w:rsidRDefault="002424B5" w:rsidP="002424B5">
      <w:pPr>
        <w:spacing w:line="360" w:lineRule="auto"/>
        <w:rPr>
          <w:rFonts w:asciiTheme="minorHAnsi" w:hAnsiTheme="minorHAnsi" w:cs="Arial"/>
          <w:color w:val="000000" w:themeColor="text1"/>
          <w:sz w:val="24"/>
          <w:szCs w:val="24"/>
          <w:u w:val="single"/>
        </w:rPr>
      </w:pPr>
    </w:p>
    <w:p w14:paraId="277C96B1" w14:textId="77777777" w:rsidR="002424B5" w:rsidRDefault="002424B5" w:rsidP="002424B5">
      <w:pPr>
        <w:spacing w:line="360" w:lineRule="auto"/>
        <w:rPr>
          <w:rFonts w:asciiTheme="minorHAnsi" w:hAnsiTheme="minorHAnsi" w:cs="Arial"/>
          <w:color w:val="000000" w:themeColor="text1"/>
          <w:sz w:val="24"/>
          <w:szCs w:val="24"/>
          <w:u w:val="single"/>
        </w:rPr>
      </w:pPr>
    </w:p>
    <w:p w14:paraId="31D48EEE" w14:textId="77777777" w:rsidR="002424B5" w:rsidRDefault="002424B5" w:rsidP="002424B5">
      <w:pPr>
        <w:spacing w:line="360" w:lineRule="auto"/>
        <w:rPr>
          <w:rFonts w:asciiTheme="minorHAnsi" w:hAnsiTheme="minorHAnsi" w:cs="Arial"/>
          <w:color w:val="000000" w:themeColor="text1"/>
          <w:sz w:val="24"/>
          <w:szCs w:val="24"/>
          <w:u w:val="single"/>
        </w:rPr>
      </w:pPr>
    </w:p>
    <w:p w14:paraId="2C26E35F" w14:textId="77777777" w:rsidR="002424B5" w:rsidRDefault="002424B5" w:rsidP="002424B5">
      <w:pPr>
        <w:spacing w:line="360" w:lineRule="auto"/>
        <w:rPr>
          <w:rFonts w:asciiTheme="minorHAnsi" w:hAnsiTheme="minorHAnsi" w:cs="Arial"/>
          <w:color w:val="000000" w:themeColor="text1"/>
          <w:sz w:val="24"/>
          <w:szCs w:val="24"/>
          <w:u w:val="single"/>
        </w:rPr>
      </w:pPr>
    </w:p>
    <w:p w14:paraId="3688450A" w14:textId="77777777" w:rsidR="002424B5" w:rsidRDefault="002424B5" w:rsidP="002424B5">
      <w:pPr>
        <w:spacing w:line="360" w:lineRule="auto"/>
        <w:rPr>
          <w:rFonts w:asciiTheme="minorHAnsi" w:hAnsiTheme="minorHAnsi" w:cs="Arial"/>
          <w:color w:val="000000" w:themeColor="text1"/>
          <w:sz w:val="24"/>
          <w:szCs w:val="24"/>
          <w:u w:val="single"/>
        </w:rPr>
      </w:pPr>
    </w:p>
    <w:p w14:paraId="77CAF201" w14:textId="77777777" w:rsidR="002424B5" w:rsidRDefault="002424B5" w:rsidP="002424B5">
      <w:pPr>
        <w:spacing w:line="360" w:lineRule="auto"/>
        <w:rPr>
          <w:rFonts w:asciiTheme="minorHAnsi" w:hAnsiTheme="minorHAnsi" w:cs="Arial"/>
          <w:color w:val="000000" w:themeColor="text1"/>
          <w:sz w:val="24"/>
          <w:szCs w:val="24"/>
          <w:u w:val="single"/>
        </w:rPr>
      </w:pPr>
    </w:p>
    <w:p w14:paraId="53729DB7" w14:textId="77777777" w:rsidR="002424B5" w:rsidRDefault="002424B5" w:rsidP="002424B5">
      <w:pPr>
        <w:spacing w:line="360" w:lineRule="auto"/>
        <w:rPr>
          <w:rFonts w:asciiTheme="minorHAnsi" w:hAnsiTheme="minorHAnsi" w:cs="Arial"/>
          <w:color w:val="000000" w:themeColor="text1"/>
          <w:sz w:val="24"/>
          <w:szCs w:val="24"/>
          <w:u w:val="single"/>
        </w:rPr>
      </w:pPr>
    </w:p>
    <w:p w14:paraId="3A6C1E4C" w14:textId="77777777" w:rsidR="002424B5" w:rsidRDefault="002424B5" w:rsidP="002424B5">
      <w:pPr>
        <w:spacing w:line="360" w:lineRule="auto"/>
        <w:rPr>
          <w:rFonts w:asciiTheme="minorHAnsi" w:hAnsiTheme="minorHAnsi" w:cs="Arial"/>
          <w:color w:val="000000" w:themeColor="text1"/>
          <w:sz w:val="24"/>
          <w:szCs w:val="24"/>
          <w:u w:val="single"/>
        </w:rPr>
      </w:pPr>
    </w:p>
    <w:p w14:paraId="1C7FE16C" w14:textId="77777777" w:rsidR="002424B5" w:rsidRDefault="002424B5" w:rsidP="002424B5">
      <w:pPr>
        <w:spacing w:line="360" w:lineRule="auto"/>
        <w:rPr>
          <w:rFonts w:asciiTheme="minorHAnsi" w:hAnsiTheme="minorHAnsi" w:cs="Arial"/>
          <w:color w:val="000000" w:themeColor="text1"/>
          <w:sz w:val="24"/>
          <w:szCs w:val="24"/>
          <w:u w:val="single"/>
        </w:rPr>
      </w:pPr>
    </w:p>
    <w:p w14:paraId="6701976D" w14:textId="77777777" w:rsidR="002424B5" w:rsidRDefault="002424B5" w:rsidP="002424B5">
      <w:pPr>
        <w:spacing w:line="360" w:lineRule="auto"/>
        <w:rPr>
          <w:rFonts w:asciiTheme="minorHAnsi" w:hAnsiTheme="minorHAnsi" w:cs="Arial"/>
          <w:color w:val="000000" w:themeColor="text1"/>
          <w:sz w:val="24"/>
          <w:szCs w:val="24"/>
          <w:u w:val="single"/>
        </w:rPr>
      </w:pPr>
    </w:p>
    <w:p w14:paraId="26B35C96" w14:textId="77777777" w:rsidR="00C930C9" w:rsidRDefault="00C930C9" w:rsidP="002424B5">
      <w:pPr>
        <w:spacing w:line="360" w:lineRule="auto"/>
        <w:rPr>
          <w:rFonts w:asciiTheme="minorHAnsi" w:hAnsiTheme="minorHAnsi" w:cs="Arial"/>
          <w:color w:val="000000" w:themeColor="text1"/>
          <w:sz w:val="24"/>
          <w:szCs w:val="24"/>
          <w:u w:val="single"/>
        </w:rPr>
      </w:pPr>
    </w:p>
    <w:p w14:paraId="1315165B" w14:textId="30FAF5C5" w:rsidR="002424B5" w:rsidRDefault="002424B5" w:rsidP="002424B5">
      <w:pPr>
        <w:spacing w:line="360" w:lineRule="auto"/>
        <w:rPr>
          <w:rFonts w:asciiTheme="minorHAnsi" w:hAnsiTheme="minorHAnsi" w:cs="Arial"/>
          <w:color w:val="000000" w:themeColor="text1"/>
          <w:sz w:val="24"/>
          <w:szCs w:val="24"/>
          <w:u w:val="single"/>
        </w:rPr>
      </w:pPr>
      <w:r w:rsidRPr="005D6B9D">
        <w:rPr>
          <w:rFonts w:asciiTheme="minorHAnsi" w:hAnsiTheme="minorHAnsi" w:cs="Arial"/>
          <w:color w:val="000000" w:themeColor="text1"/>
          <w:sz w:val="24"/>
          <w:szCs w:val="24"/>
          <w:u w:val="single"/>
        </w:rPr>
        <w:t xml:space="preserve">Reference list </w:t>
      </w:r>
    </w:p>
    <w:p w14:paraId="2B07525D" w14:textId="77777777" w:rsidR="002424B5" w:rsidRDefault="002424B5" w:rsidP="002424B5">
      <w:pPr>
        <w:spacing w:line="360" w:lineRule="auto"/>
        <w:rPr>
          <w:rFonts w:asciiTheme="minorHAnsi" w:hAnsiTheme="minorHAnsi" w:cs="Arial"/>
          <w:color w:val="000000" w:themeColor="text1"/>
          <w:sz w:val="24"/>
          <w:szCs w:val="24"/>
          <w:u w:val="single"/>
        </w:rPr>
      </w:pPr>
    </w:p>
    <w:p w14:paraId="52EF8131" w14:textId="77777777" w:rsidR="002424B5" w:rsidRDefault="002424B5" w:rsidP="002424B5">
      <w:pPr>
        <w:spacing w:line="360" w:lineRule="auto"/>
        <w:rPr>
          <w:rFonts w:asciiTheme="minorHAnsi" w:hAnsiTheme="minorHAnsi" w:cs="Arial"/>
          <w:color w:val="000000" w:themeColor="text1"/>
          <w:sz w:val="24"/>
          <w:szCs w:val="24"/>
        </w:rPr>
      </w:pPr>
      <w:r w:rsidRPr="005D6B9D">
        <w:rPr>
          <w:rFonts w:asciiTheme="minorHAnsi" w:hAnsiTheme="minorHAnsi" w:cs="Arial"/>
          <w:color w:val="000000" w:themeColor="text1"/>
          <w:sz w:val="24"/>
          <w:szCs w:val="24"/>
        </w:rPr>
        <w:t xml:space="preserve">Digital Health and Care Wales (2018). </w:t>
      </w:r>
      <w:r w:rsidRPr="005D6B9D">
        <w:rPr>
          <w:rFonts w:asciiTheme="minorHAnsi" w:hAnsiTheme="minorHAnsi" w:cs="Arial"/>
          <w:i/>
          <w:iCs/>
          <w:color w:val="000000" w:themeColor="text1"/>
          <w:sz w:val="24"/>
          <w:szCs w:val="24"/>
        </w:rPr>
        <w:t xml:space="preserve">Welsh Clinical Portal. </w:t>
      </w:r>
      <w:r w:rsidRPr="005D6B9D">
        <w:rPr>
          <w:rFonts w:asciiTheme="minorHAnsi" w:hAnsiTheme="minorHAnsi" w:cs="Arial"/>
          <w:color w:val="000000" w:themeColor="text1"/>
          <w:sz w:val="24"/>
          <w:szCs w:val="24"/>
        </w:rPr>
        <w:t xml:space="preserve">Digital Health and Care Wales. </w:t>
      </w:r>
      <w:hyperlink r:id="rId6" w:history="1">
        <w:r w:rsidRPr="005D6B9D">
          <w:rPr>
            <w:rStyle w:val="Hyperlink"/>
            <w:rFonts w:asciiTheme="minorHAnsi" w:eastAsiaTheme="majorEastAsia" w:hAnsiTheme="minorHAnsi" w:cs="Arial"/>
            <w:color w:val="000000" w:themeColor="text1"/>
            <w:sz w:val="24"/>
            <w:szCs w:val="24"/>
            <w:u w:val="none"/>
          </w:rPr>
          <w:t>https://dhcw.nhs.wales/product-directory/our-digital-services/welsh-clinical-portal/</w:t>
        </w:r>
      </w:hyperlink>
      <w:r>
        <w:rPr>
          <w:rFonts w:asciiTheme="minorHAnsi" w:hAnsiTheme="minorHAnsi" w:cs="Arial"/>
          <w:color w:val="000000" w:themeColor="text1"/>
          <w:sz w:val="24"/>
          <w:szCs w:val="24"/>
        </w:rPr>
        <w:t xml:space="preserve"> [Accessed 01 November 2025]</w:t>
      </w:r>
    </w:p>
    <w:p w14:paraId="493C129C" w14:textId="77777777" w:rsidR="002424B5" w:rsidRPr="00DA0332" w:rsidRDefault="002424B5" w:rsidP="002424B5">
      <w:pPr>
        <w:spacing w:line="360" w:lineRule="auto"/>
        <w:rPr>
          <w:rFonts w:asciiTheme="minorHAnsi" w:hAnsiTheme="minorHAnsi" w:cs="Arial"/>
          <w:color w:val="000000" w:themeColor="text1"/>
          <w:sz w:val="24"/>
          <w:szCs w:val="24"/>
          <w:u w:val="single"/>
        </w:rPr>
      </w:pPr>
    </w:p>
    <w:p w14:paraId="20A2D466" w14:textId="77777777" w:rsidR="002424B5" w:rsidRDefault="002424B5" w:rsidP="002424B5">
      <w:pPr>
        <w:spacing w:line="360" w:lineRule="auto"/>
        <w:rPr>
          <w:rFonts w:asciiTheme="minorHAnsi" w:hAnsiTheme="minorHAnsi" w:cs="Arial"/>
          <w:color w:val="000000" w:themeColor="text1"/>
          <w:sz w:val="24"/>
          <w:szCs w:val="24"/>
        </w:rPr>
      </w:pPr>
      <w:r w:rsidRPr="005D6B9D">
        <w:rPr>
          <w:rFonts w:asciiTheme="minorHAnsi" w:hAnsiTheme="minorHAnsi" w:cs="Arial"/>
          <w:color w:val="000000" w:themeColor="text1"/>
          <w:sz w:val="24"/>
          <w:szCs w:val="24"/>
        </w:rPr>
        <w:t xml:space="preserve">Koizia, L.J, Wilson, </w:t>
      </w:r>
      <w:proofErr w:type="gramStart"/>
      <w:r w:rsidRPr="005D6B9D">
        <w:rPr>
          <w:rFonts w:asciiTheme="minorHAnsi" w:hAnsiTheme="minorHAnsi" w:cs="Arial"/>
          <w:color w:val="000000" w:themeColor="text1"/>
          <w:sz w:val="24"/>
          <w:szCs w:val="24"/>
        </w:rPr>
        <w:t>F .</w:t>
      </w:r>
      <w:proofErr w:type="gramEnd"/>
      <w:r w:rsidRPr="005D6B9D">
        <w:rPr>
          <w:rFonts w:asciiTheme="minorHAnsi" w:hAnsiTheme="minorHAnsi" w:cs="Arial"/>
          <w:color w:val="000000" w:themeColor="text1"/>
          <w:sz w:val="24"/>
          <w:szCs w:val="24"/>
        </w:rPr>
        <w:t xml:space="preserve">, Reilly, </w:t>
      </w:r>
      <w:proofErr w:type="gramStart"/>
      <w:r w:rsidRPr="005D6B9D">
        <w:rPr>
          <w:rFonts w:asciiTheme="minorHAnsi" w:hAnsiTheme="minorHAnsi" w:cs="Arial"/>
          <w:color w:val="000000" w:themeColor="text1"/>
          <w:sz w:val="24"/>
          <w:szCs w:val="24"/>
        </w:rPr>
        <w:t>P .</w:t>
      </w:r>
      <w:proofErr w:type="gramEnd"/>
      <w:r w:rsidRPr="005D6B9D">
        <w:rPr>
          <w:rFonts w:asciiTheme="minorHAnsi" w:hAnsiTheme="minorHAnsi" w:cs="Arial"/>
          <w:color w:val="000000" w:themeColor="text1"/>
          <w:sz w:val="24"/>
          <w:szCs w:val="24"/>
        </w:rPr>
        <w:t xml:space="preserve"> and Fertleman, M.B. (2019). </w:t>
      </w:r>
      <w:r>
        <w:rPr>
          <w:rFonts w:asciiTheme="minorHAnsi" w:hAnsiTheme="minorHAnsi" w:cs="Arial"/>
          <w:color w:val="000000" w:themeColor="text1"/>
          <w:sz w:val="24"/>
          <w:szCs w:val="24"/>
        </w:rPr>
        <w:t>‘</w:t>
      </w:r>
      <w:r w:rsidRPr="005D6B9D">
        <w:rPr>
          <w:rFonts w:asciiTheme="minorHAnsi" w:hAnsiTheme="minorHAnsi" w:cs="Arial"/>
          <w:color w:val="000000" w:themeColor="text1"/>
          <w:sz w:val="24"/>
          <w:szCs w:val="24"/>
        </w:rPr>
        <w:t>Delirium after emergency hip surgery- common and serious, but rarely consented for</w:t>
      </w:r>
      <w:r>
        <w:rPr>
          <w:rFonts w:asciiTheme="minorHAnsi" w:hAnsiTheme="minorHAnsi" w:cs="Arial"/>
          <w:color w:val="000000" w:themeColor="text1"/>
          <w:sz w:val="24"/>
          <w:szCs w:val="24"/>
        </w:rPr>
        <w:t>’</w:t>
      </w:r>
      <w:r w:rsidRPr="005D6B9D">
        <w:rPr>
          <w:rFonts w:asciiTheme="minorHAnsi" w:hAnsiTheme="minorHAnsi" w:cs="Arial"/>
          <w:color w:val="000000" w:themeColor="text1"/>
          <w:sz w:val="24"/>
          <w:szCs w:val="24"/>
        </w:rPr>
        <w:t xml:space="preserve">, </w:t>
      </w:r>
      <w:r w:rsidRPr="005D6B9D">
        <w:rPr>
          <w:rFonts w:asciiTheme="minorHAnsi" w:hAnsiTheme="minorHAnsi" w:cs="Arial"/>
          <w:i/>
          <w:iCs/>
          <w:color w:val="000000" w:themeColor="text1"/>
          <w:sz w:val="24"/>
          <w:szCs w:val="24"/>
        </w:rPr>
        <w:t>World Journal Of Orthopedics</w:t>
      </w:r>
      <w:r w:rsidRPr="005D6B9D">
        <w:rPr>
          <w:rFonts w:asciiTheme="minorHAnsi" w:hAnsiTheme="minorHAnsi" w:cs="Arial"/>
          <w:color w:val="000000" w:themeColor="text1"/>
          <w:sz w:val="24"/>
          <w:szCs w:val="24"/>
        </w:rPr>
        <w:t>, 10(6), pp.228-234. Doi:https</w:t>
      </w:r>
      <w:r w:rsidRPr="00C66CF9">
        <w:rPr>
          <w:rFonts w:asciiTheme="minorHAnsi" w:hAnsiTheme="minorHAnsi" w:cs="Arial"/>
          <w:color w:val="000000" w:themeColor="text1"/>
          <w:sz w:val="24"/>
          <w:szCs w:val="24"/>
        </w:rPr>
        <w:t>://doi.org/10.5312/wjo.v10.i6.228</w:t>
      </w:r>
      <w:r>
        <w:rPr>
          <w:rFonts w:asciiTheme="minorHAnsi" w:hAnsiTheme="minorHAnsi" w:cs="Arial"/>
          <w:color w:val="000000" w:themeColor="text1"/>
          <w:sz w:val="24"/>
          <w:szCs w:val="24"/>
        </w:rPr>
        <w:t>.</w:t>
      </w:r>
    </w:p>
    <w:p w14:paraId="21BB0BD9" w14:textId="77777777" w:rsidR="002424B5" w:rsidRDefault="002424B5" w:rsidP="002424B5">
      <w:pPr>
        <w:spacing w:line="360" w:lineRule="auto"/>
        <w:rPr>
          <w:rFonts w:asciiTheme="minorHAnsi" w:hAnsiTheme="minorHAnsi" w:cs="Arial"/>
          <w:color w:val="000000" w:themeColor="text1"/>
          <w:sz w:val="24"/>
          <w:szCs w:val="24"/>
        </w:rPr>
      </w:pPr>
    </w:p>
    <w:p w14:paraId="1FC23F8D" w14:textId="77777777" w:rsidR="002424B5" w:rsidRDefault="002424B5" w:rsidP="002424B5">
      <w:pPr>
        <w:spacing w:line="360" w:lineRule="auto"/>
        <w:rPr>
          <w:rFonts w:asciiTheme="minorHAnsi" w:hAnsiTheme="minorHAnsi"/>
          <w:i/>
          <w:iCs/>
          <w:color w:val="000000" w:themeColor="text1"/>
          <w:sz w:val="24"/>
          <w:szCs w:val="24"/>
        </w:rPr>
      </w:pPr>
      <w:r w:rsidRPr="005D6B9D">
        <w:rPr>
          <w:rFonts w:asciiTheme="minorHAnsi" w:hAnsiTheme="minorHAnsi"/>
          <w:color w:val="000000" w:themeColor="text1"/>
          <w:sz w:val="24"/>
          <w:szCs w:val="24"/>
        </w:rPr>
        <w:t xml:space="preserve">Montori, V.M., Ruissen, M.M., Hargraves, I.G., Brito, </w:t>
      </w:r>
      <w:proofErr w:type="gramStart"/>
      <w:r w:rsidRPr="005D6B9D">
        <w:rPr>
          <w:rFonts w:asciiTheme="minorHAnsi" w:hAnsiTheme="minorHAnsi"/>
          <w:color w:val="000000" w:themeColor="text1"/>
          <w:sz w:val="24"/>
          <w:szCs w:val="24"/>
        </w:rPr>
        <w:t>J.P .</w:t>
      </w:r>
      <w:proofErr w:type="gramEnd"/>
      <w:r w:rsidRPr="005D6B9D">
        <w:rPr>
          <w:rFonts w:asciiTheme="minorHAnsi" w:hAnsiTheme="minorHAnsi"/>
          <w:color w:val="000000" w:themeColor="text1"/>
          <w:sz w:val="24"/>
          <w:szCs w:val="24"/>
        </w:rPr>
        <w:t xml:space="preserve"> and Kunneman, M. (2022). </w:t>
      </w:r>
      <w:r>
        <w:rPr>
          <w:rFonts w:asciiTheme="minorHAnsi" w:hAnsiTheme="minorHAnsi"/>
          <w:color w:val="000000" w:themeColor="text1"/>
          <w:sz w:val="24"/>
          <w:szCs w:val="24"/>
        </w:rPr>
        <w:t>‘</w:t>
      </w:r>
      <w:r w:rsidRPr="005D6B9D">
        <w:rPr>
          <w:rFonts w:asciiTheme="minorHAnsi" w:hAnsiTheme="minorHAnsi"/>
          <w:color w:val="000000" w:themeColor="text1"/>
          <w:sz w:val="24"/>
          <w:szCs w:val="24"/>
        </w:rPr>
        <w:t>Shared decision-making as a Method of Care</w:t>
      </w:r>
      <w:r>
        <w:rPr>
          <w:rFonts w:asciiTheme="minorHAnsi" w:hAnsiTheme="minorHAnsi"/>
          <w:color w:val="000000" w:themeColor="text1"/>
          <w:sz w:val="24"/>
          <w:szCs w:val="24"/>
        </w:rPr>
        <w:t>’</w:t>
      </w:r>
      <w:r w:rsidRPr="005D6B9D">
        <w:rPr>
          <w:rFonts w:asciiTheme="minorHAnsi" w:hAnsiTheme="minorHAnsi"/>
          <w:color w:val="000000" w:themeColor="text1"/>
          <w:sz w:val="24"/>
          <w:szCs w:val="24"/>
        </w:rPr>
        <w:t xml:space="preserve">. </w:t>
      </w:r>
      <w:r w:rsidRPr="005D6B9D">
        <w:rPr>
          <w:rFonts w:asciiTheme="minorHAnsi" w:hAnsiTheme="minorHAnsi"/>
          <w:i/>
          <w:iCs/>
          <w:color w:val="000000" w:themeColor="text1"/>
          <w:sz w:val="24"/>
          <w:szCs w:val="24"/>
        </w:rPr>
        <w:t xml:space="preserve">BMJ Evidence-Based Medicine, </w:t>
      </w:r>
      <w:r w:rsidRPr="008E48D6">
        <w:rPr>
          <w:rFonts w:asciiTheme="minorHAnsi" w:hAnsiTheme="minorHAnsi"/>
          <w:color w:val="000000" w:themeColor="text1"/>
          <w:sz w:val="24"/>
          <w:szCs w:val="24"/>
        </w:rPr>
        <w:t>28(4), pp.213-217</w:t>
      </w:r>
      <w:r w:rsidRPr="005D6B9D">
        <w:rPr>
          <w:rFonts w:asciiTheme="minorHAnsi" w:hAnsiTheme="minorHAnsi"/>
          <w:i/>
          <w:iCs/>
          <w:color w:val="000000" w:themeColor="text1"/>
          <w:sz w:val="24"/>
          <w:szCs w:val="24"/>
        </w:rPr>
        <w:t>. Doi:https://doi.org/10.1136/bmjebm-2022-112068.</w:t>
      </w:r>
    </w:p>
    <w:p w14:paraId="7A0CD524" w14:textId="77777777" w:rsidR="002424B5" w:rsidRPr="005D6B9D" w:rsidRDefault="002424B5" w:rsidP="002424B5">
      <w:pPr>
        <w:spacing w:line="360" w:lineRule="auto"/>
        <w:rPr>
          <w:rFonts w:asciiTheme="minorHAnsi" w:hAnsiTheme="minorHAnsi"/>
          <w:i/>
          <w:iCs/>
          <w:color w:val="000000" w:themeColor="text1"/>
          <w:sz w:val="24"/>
          <w:szCs w:val="24"/>
        </w:rPr>
      </w:pPr>
    </w:p>
    <w:p w14:paraId="5959CCDF" w14:textId="77777777" w:rsidR="002424B5" w:rsidRDefault="002424B5" w:rsidP="002424B5">
      <w:pPr>
        <w:spacing w:line="360" w:lineRule="auto"/>
        <w:rPr>
          <w:rFonts w:asciiTheme="minorHAnsi" w:hAnsiTheme="minorHAnsi" w:cs="Arial"/>
          <w:color w:val="000000" w:themeColor="text1"/>
          <w:sz w:val="24"/>
          <w:szCs w:val="24"/>
        </w:rPr>
      </w:pPr>
      <w:r w:rsidRPr="005D6B9D">
        <w:rPr>
          <w:rFonts w:asciiTheme="minorHAnsi" w:hAnsiTheme="minorHAnsi" w:cs="Arial"/>
          <w:color w:val="000000" w:themeColor="text1"/>
          <w:sz w:val="24"/>
          <w:szCs w:val="24"/>
        </w:rPr>
        <w:t xml:space="preserve">Vermeir, </w:t>
      </w:r>
      <w:proofErr w:type="gramStart"/>
      <w:r w:rsidRPr="005D6B9D">
        <w:rPr>
          <w:rFonts w:asciiTheme="minorHAnsi" w:hAnsiTheme="minorHAnsi" w:cs="Arial"/>
          <w:color w:val="000000" w:themeColor="text1"/>
          <w:sz w:val="24"/>
          <w:szCs w:val="24"/>
        </w:rPr>
        <w:t>P .</w:t>
      </w:r>
      <w:proofErr w:type="gramEnd"/>
      <w:r w:rsidRPr="005D6B9D">
        <w:rPr>
          <w:rFonts w:asciiTheme="minorHAnsi" w:hAnsiTheme="minorHAnsi" w:cs="Arial"/>
          <w:color w:val="000000" w:themeColor="text1"/>
          <w:sz w:val="24"/>
          <w:szCs w:val="24"/>
        </w:rPr>
        <w:t xml:space="preserve">, Vandijck, D., Degroote, S., Peleman, R., Verhaeghe, R., Mortier, E., Hallaert, G., Van Daele, S., Buylaert, W. and Vogelaers, D. (2015). </w:t>
      </w:r>
      <w:r>
        <w:rPr>
          <w:rFonts w:asciiTheme="minorHAnsi" w:hAnsiTheme="minorHAnsi" w:cs="Arial"/>
          <w:color w:val="000000" w:themeColor="text1"/>
          <w:sz w:val="24"/>
          <w:szCs w:val="24"/>
        </w:rPr>
        <w:t>‘</w:t>
      </w:r>
      <w:r w:rsidRPr="005D6B9D">
        <w:rPr>
          <w:rFonts w:asciiTheme="minorHAnsi" w:hAnsiTheme="minorHAnsi" w:cs="Arial"/>
          <w:color w:val="000000" w:themeColor="text1"/>
          <w:sz w:val="24"/>
          <w:szCs w:val="24"/>
        </w:rPr>
        <w:t>Communication in healthcare: A narrative review of literature and practical recommendations</w:t>
      </w:r>
      <w:r>
        <w:rPr>
          <w:rFonts w:asciiTheme="minorHAnsi" w:hAnsiTheme="minorHAnsi" w:cs="Arial"/>
          <w:color w:val="000000" w:themeColor="text1"/>
          <w:sz w:val="24"/>
          <w:szCs w:val="24"/>
        </w:rPr>
        <w:t>’</w:t>
      </w:r>
      <w:r w:rsidRPr="005D6B9D">
        <w:rPr>
          <w:rFonts w:asciiTheme="minorHAnsi" w:hAnsiTheme="minorHAnsi" w:cs="Arial"/>
          <w:color w:val="000000" w:themeColor="text1"/>
          <w:sz w:val="24"/>
          <w:szCs w:val="24"/>
        </w:rPr>
        <w:t xml:space="preserve">. </w:t>
      </w:r>
      <w:r w:rsidRPr="005D6B9D">
        <w:rPr>
          <w:rFonts w:asciiTheme="minorHAnsi" w:hAnsiTheme="minorHAnsi" w:cs="Arial"/>
          <w:i/>
          <w:iCs/>
          <w:color w:val="000000" w:themeColor="text1"/>
          <w:sz w:val="24"/>
          <w:szCs w:val="24"/>
        </w:rPr>
        <w:t xml:space="preserve">International Journal of Clinical Practice, </w:t>
      </w:r>
      <w:r w:rsidRPr="005D6B9D">
        <w:rPr>
          <w:rFonts w:asciiTheme="minorHAnsi" w:hAnsiTheme="minorHAnsi" w:cs="Arial"/>
          <w:color w:val="000000" w:themeColor="text1"/>
          <w:sz w:val="24"/>
          <w:szCs w:val="24"/>
        </w:rPr>
        <w:t>69(11), pp.1257-1267.doi:https://doi.org/10.1111/ijcp.12686</w:t>
      </w:r>
      <w:r>
        <w:rPr>
          <w:rFonts w:asciiTheme="minorHAnsi" w:hAnsiTheme="minorHAnsi" w:cs="Arial"/>
          <w:color w:val="000000" w:themeColor="text1"/>
          <w:sz w:val="24"/>
          <w:szCs w:val="24"/>
        </w:rPr>
        <w:t>.</w:t>
      </w:r>
    </w:p>
    <w:p w14:paraId="65157E85" w14:textId="77777777" w:rsidR="002424B5" w:rsidRPr="005D6B9D" w:rsidRDefault="002424B5" w:rsidP="002424B5">
      <w:pPr>
        <w:spacing w:line="360" w:lineRule="auto"/>
        <w:rPr>
          <w:rFonts w:asciiTheme="minorHAnsi" w:hAnsiTheme="minorHAnsi" w:cs="Arial"/>
          <w:color w:val="000000" w:themeColor="text1"/>
          <w:sz w:val="24"/>
          <w:szCs w:val="24"/>
        </w:rPr>
      </w:pPr>
    </w:p>
    <w:p w14:paraId="04A3A9A8" w14:textId="77777777" w:rsidR="002424B5" w:rsidRPr="005D6B9D" w:rsidRDefault="002424B5" w:rsidP="002424B5">
      <w:pPr>
        <w:spacing w:line="360" w:lineRule="auto"/>
        <w:rPr>
          <w:rFonts w:asciiTheme="minorHAnsi" w:hAnsiTheme="minorHAnsi"/>
          <w:i/>
          <w:iCs/>
          <w:color w:val="000000" w:themeColor="text1"/>
          <w:sz w:val="24"/>
          <w:szCs w:val="24"/>
        </w:rPr>
      </w:pPr>
      <w:r w:rsidRPr="005D6B9D">
        <w:rPr>
          <w:rFonts w:asciiTheme="minorHAnsi" w:hAnsiTheme="minorHAnsi"/>
          <w:color w:val="000000" w:themeColor="text1"/>
          <w:sz w:val="24"/>
          <w:szCs w:val="24"/>
        </w:rPr>
        <w:t xml:space="preserve">Welsh Government (2014). </w:t>
      </w:r>
      <w:r w:rsidRPr="005D6B9D">
        <w:rPr>
          <w:rFonts w:asciiTheme="minorHAnsi" w:hAnsiTheme="minorHAnsi"/>
          <w:i/>
          <w:iCs/>
          <w:color w:val="000000" w:themeColor="text1"/>
          <w:sz w:val="24"/>
          <w:szCs w:val="24"/>
        </w:rPr>
        <w:t>Social services and well-being (Wales) Act 2014.</w:t>
      </w:r>
      <w:r w:rsidRPr="005D6B9D">
        <w:rPr>
          <w:rFonts w:asciiTheme="minorHAnsi" w:hAnsiTheme="minorHAnsi"/>
          <w:color w:val="000000" w:themeColor="text1"/>
          <w:sz w:val="24"/>
          <w:szCs w:val="24"/>
        </w:rPr>
        <w:t xml:space="preserve"> Available at: </w:t>
      </w:r>
      <w:hyperlink r:id="rId7" w:history="1">
        <w:r w:rsidRPr="00530A35">
          <w:rPr>
            <w:rStyle w:val="Hyperlink"/>
            <w:rFonts w:asciiTheme="minorHAnsi" w:eastAsiaTheme="majorEastAsia" w:hAnsiTheme="minorHAnsi"/>
            <w:color w:val="000000" w:themeColor="text1"/>
            <w:sz w:val="24"/>
            <w:szCs w:val="24"/>
            <w:u w:val="none"/>
          </w:rPr>
          <w:t>https://www.gov.wales/sites/default/files/publications/2019-05/social-services-and-well-being-Wales-act-2014-theessentials.pdf. [Access</w:t>
        </w:r>
      </w:hyperlink>
      <w:r w:rsidRPr="00530A35">
        <w:rPr>
          <w:rFonts w:asciiTheme="minorHAnsi" w:hAnsiTheme="minorHAnsi"/>
          <w:color w:val="000000" w:themeColor="text1"/>
          <w:sz w:val="24"/>
          <w:szCs w:val="24"/>
        </w:rPr>
        <w:t xml:space="preserve">ed </w:t>
      </w:r>
      <w:r>
        <w:rPr>
          <w:rFonts w:asciiTheme="minorHAnsi" w:hAnsiTheme="minorHAnsi"/>
          <w:color w:val="000000" w:themeColor="text1"/>
          <w:sz w:val="24"/>
          <w:szCs w:val="24"/>
        </w:rPr>
        <w:t>04 November 2025]</w:t>
      </w:r>
    </w:p>
    <w:p w14:paraId="7C62EAF6" w14:textId="77777777" w:rsidR="00E5050B" w:rsidRDefault="00E5050B" w:rsidP="002424B5"/>
    <w:sectPr w:rsidR="00E5050B">
      <w:footerReference w:type="default" r:id="rId8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0DE5CF74" w14:textId="77777777" w:rsidR="00C930C9" w:rsidRDefault="00C930C9" w:rsidP="00C930C9">
      <w:r>
        <w:separator/>
      </w:r>
    </w:p>
  </w:endnote>
  <w:endnote w:type="continuationSeparator" w:id="0">
    <w:p w14:paraId="3A0BD545" w14:textId="77777777" w:rsidR="00C930C9" w:rsidRDefault="00C930C9" w:rsidP="00C930C9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555512151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474681A6" w14:textId="56A19997" w:rsidR="00C930C9" w:rsidRDefault="00C930C9">
        <w:pPr>
          <w:pStyle w:val="Foo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59B23858" w14:textId="77777777" w:rsidR="00C930C9" w:rsidRDefault="00C930C9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3B1181BD" w14:textId="77777777" w:rsidR="00C930C9" w:rsidRDefault="00C930C9" w:rsidP="00C930C9">
      <w:r>
        <w:separator/>
      </w:r>
    </w:p>
  </w:footnote>
  <w:footnote w:type="continuationSeparator" w:id="0">
    <w:p w14:paraId="76543188" w14:textId="77777777" w:rsidR="00C930C9" w:rsidRDefault="00C930C9" w:rsidP="00C930C9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424B5"/>
    <w:rsid w:val="002424B5"/>
    <w:rsid w:val="00540D74"/>
    <w:rsid w:val="0083002B"/>
    <w:rsid w:val="00C930C9"/>
    <w:rsid w:val="00E5050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A7413DA"/>
  <w15:chartTrackingRefBased/>
  <w15:docId w15:val="{835B71B5-3C15-4EF8-A801-6A09B9F0C91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2424B5"/>
    <w:pPr>
      <w:spacing w:after="0" w:line="240" w:lineRule="auto"/>
    </w:pPr>
    <w:rPr>
      <w:rFonts w:ascii="Times New Roman" w:eastAsia="Times New Roman" w:hAnsi="Times New Roman" w:cs="Times New Roman"/>
      <w:kern w:val="0"/>
      <w:sz w:val="20"/>
      <w:szCs w:val="20"/>
      <w:lang w:eastAsia="en-GB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2424B5"/>
    <w:pPr>
      <w:keepNext/>
      <w:keepLines/>
      <w:spacing w:before="360" w:after="80" w:line="259" w:lineRule="auto"/>
      <w:outlineLvl w:val="0"/>
    </w:pPr>
    <w:rPr>
      <w:rFonts w:asciiTheme="majorHAnsi" w:eastAsiaTheme="majorEastAsia" w:hAnsiTheme="majorHAnsi" w:cstheme="majorBidi"/>
      <w:color w:val="0F4761" w:themeColor="accent1" w:themeShade="BF"/>
      <w:kern w:val="2"/>
      <w:sz w:val="40"/>
      <w:szCs w:val="40"/>
      <w:lang w:eastAsia="en-US"/>
      <w14:ligatures w14:val="standardContextual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2424B5"/>
    <w:pPr>
      <w:keepNext/>
      <w:keepLines/>
      <w:spacing w:before="160" w:after="80" w:line="259" w:lineRule="auto"/>
      <w:outlineLvl w:val="1"/>
    </w:pPr>
    <w:rPr>
      <w:rFonts w:asciiTheme="majorHAnsi" w:eastAsiaTheme="majorEastAsia" w:hAnsiTheme="majorHAnsi" w:cstheme="majorBidi"/>
      <w:color w:val="0F4761" w:themeColor="accent1" w:themeShade="BF"/>
      <w:kern w:val="2"/>
      <w:sz w:val="32"/>
      <w:szCs w:val="32"/>
      <w:lang w:eastAsia="en-US"/>
      <w14:ligatures w14:val="standardContextual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2424B5"/>
    <w:pPr>
      <w:keepNext/>
      <w:keepLines/>
      <w:spacing w:before="160" w:after="80" w:line="259" w:lineRule="auto"/>
      <w:outlineLvl w:val="2"/>
    </w:pPr>
    <w:rPr>
      <w:rFonts w:asciiTheme="minorHAnsi" w:eastAsiaTheme="majorEastAsia" w:hAnsiTheme="minorHAnsi" w:cstheme="majorBidi"/>
      <w:color w:val="0F4761" w:themeColor="accent1" w:themeShade="BF"/>
      <w:kern w:val="2"/>
      <w:sz w:val="28"/>
      <w:szCs w:val="28"/>
      <w:lang w:eastAsia="en-US"/>
      <w14:ligatures w14:val="standardContextual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2424B5"/>
    <w:pPr>
      <w:keepNext/>
      <w:keepLines/>
      <w:spacing w:before="80" w:after="40" w:line="259" w:lineRule="auto"/>
      <w:outlineLvl w:val="3"/>
    </w:pPr>
    <w:rPr>
      <w:rFonts w:asciiTheme="minorHAnsi" w:eastAsiaTheme="majorEastAsia" w:hAnsiTheme="minorHAnsi" w:cstheme="majorBidi"/>
      <w:i/>
      <w:iCs/>
      <w:color w:val="0F4761" w:themeColor="accent1" w:themeShade="BF"/>
      <w:kern w:val="2"/>
      <w:sz w:val="22"/>
      <w:szCs w:val="22"/>
      <w:lang w:eastAsia="en-US"/>
      <w14:ligatures w14:val="standardContextual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2424B5"/>
    <w:pPr>
      <w:keepNext/>
      <w:keepLines/>
      <w:spacing w:before="80" w:after="40" w:line="259" w:lineRule="auto"/>
      <w:outlineLvl w:val="4"/>
    </w:pPr>
    <w:rPr>
      <w:rFonts w:asciiTheme="minorHAnsi" w:eastAsiaTheme="majorEastAsia" w:hAnsiTheme="minorHAnsi" w:cstheme="majorBidi"/>
      <w:color w:val="0F4761" w:themeColor="accent1" w:themeShade="BF"/>
      <w:kern w:val="2"/>
      <w:sz w:val="22"/>
      <w:szCs w:val="22"/>
      <w:lang w:eastAsia="en-US"/>
      <w14:ligatures w14:val="standardContextual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2424B5"/>
    <w:pPr>
      <w:keepNext/>
      <w:keepLines/>
      <w:spacing w:before="40" w:line="259" w:lineRule="auto"/>
      <w:outlineLvl w:val="5"/>
    </w:pPr>
    <w:rPr>
      <w:rFonts w:asciiTheme="minorHAnsi" w:eastAsiaTheme="majorEastAsia" w:hAnsiTheme="minorHAnsi" w:cstheme="majorBidi"/>
      <w:i/>
      <w:iCs/>
      <w:color w:val="595959" w:themeColor="text1" w:themeTint="A6"/>
      <w:kern w:val="2"/>
      <w:sz w:val="22"/>
      <w:szCs w:val="22"/>
      <w:lang w:eastAsia="en-US"/>
      <w14:ligatures w14:val="standardContextual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2424B5"/>
    <w:pPr>
      <w:keepNext/>
      <w:keepLines/>
      <w:spacing w:before="40" w:line="259" w:lineRule="auto"/>
      <w:outlineLvl w:val="6"/>
    </w:pPr>
    <w:rPr>
      <w:rFonts w:asciiTheme="minorHAnsi" w:eastAsiaTheme="majorEastAsia" w:hAnsiTheme="minorHAnsi" w:cstheme="majorBidi"/>
      <w:color w:val="595959" w:themeColor="text1" w:themeTint="A6"/>
      <w:kern w:val="2"/>
      <w:sz w:val="22"/>
      <w:szCs w:val="22"/>
      <w:lang w:eastAsia="en-US"/>
      <w14:ligatures w14:val="standardContextual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2424B5"/>
    <w:pPr>
      <w:keepNext/>
      <w:keepLines/>
      <w:spacing w:line="259" w:lineRule="auto"/>
      <w:outlineLvl w:val="7"/>
    </w:pPr>
    <w:rPr>
      <w:rFonts w:asciiTheme="minorHAnsi" w:eastAsiaTheme="majorEastAsia" w:hAnsiTheme="minorHAnsi" w:cstheme="majorBidi"/>
      <w:i/>
      <w:iCs/>
      <w:color w:val="272727" w:themeColor="text1" w:themeTint="D8"/>
      <w:kern w:val="2"/>
      <w:sz w:val="22"/>
      <w:szCs w:val="22"/>
      <w:lang w:eastAsia="en-US"/>
      <w14:ligatures w14:val="standardContextual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2424B5"/>
    <w:pPr>
      <w:keepNext/>
      <w:keepLines/>
      <w:spacing w:line="259" w:lineRule="auto"/>
      <w:outlineLvl w:val="8"/>
    </w:pPr>
    <w:rPr>
      <w:rFonts w:asciiTheme="minorHAnsi" w:eastAsiaTheme="majorEastAsia" w:hAnsiTheme="minorHAnsi" w:cstheme="majorBidi"/>
      <w:color w:val="272727" w:themeColor="text1" w:themeTint="D8"/>
      <w:kern w:val="2"/>
      <w:sz w:val="22"/>
      <w:szCs w:val="22"/>
      <w:lang w:eastAsia="en-US"/>
      <w14:ligatures w14:val="standardContextual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2424B5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2424B5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2424B5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2424B5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2424B5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2424B5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2424B5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2424B5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2424B5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2424B5"/>
    <w:pPr>
      <w:spacing w:after="80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  <w:lang w:eastAsia="en-US"/>
      <w14:ligatures w14:val="standardContextual"/>
    </w:rPr>
  </w:style>
  <w:style w:type="character" w:customStyle="1" w:styleId="TitleChar">
    <w:name w:val="Title Char"/>
    <w:basedOn w:val="DefaultParagraphFont"/>
    <w:link w:val="Title"/>
    <w:uiPriority w:val="10"/>
    <w:rsid w:val="002424B5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2424B5"/>
    <w:pPr>
      <w:numPr>
        <w:ilvl w:val="1"/>
      </w:numPr>
      <w:spacing w:after="160" w:line="259" w:lineRule="auto"/>
    </w:pPr>
    <w:rPr>
      <w:rFonts w:asciiTheme="minorHAnsi" w:eastAsiaTheme="majorEastAsia" w:hAnsiTheme="minorHAnsi" w:cstheme="majorBidi"/>
      <w:color w:val="595959" w:themeColor="text1" w:themeTint="A6"/>
      <w:spacing w:val="15"/>
      <w:kern w:val="2"/>
      <w:sz w:val="28"/>
      <w:szCs w:val="28"/>
      <w:lang w:eastAsia="en-US"/>
      <w14:ligatures w14:val="standardContextual"/>
    </w:rPr>
  </w:style>
  <w:style w:type="character" w:customStyle="1" w:styleId="SubtitleChar">
    <w:name w:val="Subtitle Char"/>
    <w:basedOn w:val="DefaultParagraphFont"/>
    <w:link w:val="Subtitle"/>
    <w:uiPriority w:val="11"/>
    <w:rsid w:val="002424B5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2424B5"/>
    <w:pPr>
      <w:spacing w:before="160" w:after="160" w:line="259" w:lineRule="auto"/>
      <w:jc w:val="center"/>
    </w:pPr>
    <w:rPr>
      <w:rFonts w:asciiTheme="minorHAnsi" w:eastAsiaTheme="minorHAnsi" w:hAnsiTheme="minorHAnsi" w:cstheme="minorBidi"/>
      <w:i/>
      <w:iCs/>
      <w:color w:val="404040" w:themeColor="text1" w:themeTint="BF"/>
      <w:kern w:val="2"/>
      <w:sz w:val="22"/>
      <w:szCs w:val="22"/>
      <w:lang w:eastAsia="en-US"/>
      <w14:ligatures w14:val="standardContextual"/>
    </w:rPr>
  </w:style>
  <w:style w:type="character" w:customStyle="1" w:styleId="QuoteChar">
    <w:name w:val="Quote Char"/>
    <w:basedOn w:val="DefaultParagraphFont"/>
    <w:link w:val="Quote"/>
    <w:uiPriority w:val="29"/>
    <w:rsid w:val="002424B5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2424B5"/>
    <w:pPr>
      <w:spacing w:after="160" w:line="259" w:lineRule="auto"/>
      <w:ind w:left="720"/>
      <w:contextualSpacing/>
    </w:pPr>
    <w:rPr>
      <w:rFonts w:asciiTheme="minorHAnsi" w:eastAsiaTheme="minorHAnsi" w:hAnsiTheme="minorHAnsi" w:cstheme="minorBidi"/>
      <w:kern w:val="2"/>
      <w:sz w:val="22"/>
      <w:szCs w:val="22"/>
      <w:lang w:eastAsia="en-US"/>
      <w14:ligatures w14:val="standardContextual"/>
    </w:rPr>
  </w:style>
  <w:style w:type="character" w:styleId="IntenseEmphasis">
    <w:name w:val="Intense Emphasis"/>
    <w:basedOn w:val="DefaultParagraphFont"/>
    <w:uiPriority w:val="21"/>
    <w:qFormat/>
    <w:rsid w:val="002424B5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2424B5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 w:line="259" w:lineRule="auto"/>
      <w:ind w:left="864" w:right="864"/>
      <w:jc w:val="center"/>
    </w:pPr>
    <w:rPr>
      <w:rFonts w:asciiTheme="minorHAnsi" w:eastAsiaTheme="minorHAnsi" w:hAnsiTheme="minorHAnsi" w:cstheme="minorBidi"/>
      <w:i/>
      <w:iCs/>
      <w:color w:val="0F4761" w:themeColor="accent1" w:themeShade="BF"/>
      <w:kern w:val="2"/>
      <w:sz w:val="22"/>
      <w:szCs w:val="22"/>
      <w:lang w:eastAsia="en-US"/>
      <w14:ligatures w14:val="standardContextual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2424B5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2424B5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uiPriority w:val="99"/>
    <w:unhideWhenUsed/>
    <w:rsid w:val="002424B5"/>
    <w:rPr>
      <w:color w:val="0000FF"/>
      <w:u w:val="single"/>
    </w:rPr>
  </w:style>
  <w:style w:type="paragraph" w:styleId="Header">
    <w:name w:val="header"/>
    <w:basedOn w:val="Normal"/>
    <w:link w:val="HeaderChar"/>
    <w:uiPriority w:val="99"/>
    <w:unhideWhenUsed/>
    <w:rsid w:val="00C930C9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C930C9"/>
    <w:rPr>
      <w:rFonts w:ascii="Times New Roman" w:eastAsia="Times New Roman" w:hAnsi="Times New Roman" w:cs="Times New Roman"/>
      <w:kern w:val="0"/>
      <w:sz w:val="20"/>
      <w:szCs w:val="20"/>
      <w:lang w:eastAsia="en-GB"/>
      <w14:ligatures w14:val="none"/>
    </w:rPr>
  </w:style>
  <w:style w:type="paragraph" w:styleId="Footer">
    <w:name w:val="footer"/>
    <w:basedOn w:val="Normal"/>
    <w:link w:val="FooterChar"/>
    <w:uiPriority w:val="99"/>
    <w:unhideWhenUsed/>
    <w:rsid w:val="00C930C9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C930C9"/>
    <w:rPr>
      <w:rFonts w:ascii="Times New Roman" w:eastAsia="Times New Roman" w:hAnsi="Times New Roman" w:cs="Times New Roman"/>
      <w:kern w:val="0"/>
      <w:sz w:val="20"/>
      <w:szCs w:val="20"/>
      <w:lang w:eastAsia="en-GB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webSettings" Target="webSettings.xml"/><Relationship Id="rId7" Type="http://schemas.openxmlformats.org/officeDocument/2006/relationships/hyperlink" Target="https://www.gov.wales/sites/default/files/publications/2019-05/social-services-and-well-being-Wales-act-2014-theessentials.pdf.%20%5bAccess" TargetMode="Externa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dhcw.nhs.wales/product-directory/our-digital-services/welsh-clinical-portal/" TargetMode="External"/><Relationship Id="rId5" Type="http://schemas.openxmlformats.org/officeDocument/2006/relationships/endnotes" Target="endnotes.xml"/><Relationship Id="rId10" Type="http://schemas.openxmlformats.org/officeDocument/2006/relationships/theme" Target="theme/theme1.xml"/><Relationship Id="rId4" Type="http://schemas.openxmlformats.org/officeDocument/2006/relationships/footnotes" Target="footnote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23</TotalTime>
  <Pages>2</Pages>
  <Words>268</Words>
  <Characters>1530</Characters>
  <Application>Microsoft Office Word</Application>
  <DocSecurity>0</DocSecurity>
  <Lines>12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Hywel Dda University Health Board</Company>
  <LinksUpToDate>false</LinksUpToDate>
  <CharactersWithSpaces>1795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Gerallt Elias (Hywel Dda UHB- Therapy Assistant Practitioner)</dc:creator>
  <cp:keywords/>
  <dc:description/>
  <cp:lastModifiedBy>Gerallt Elias (Hywel Dda UHB- Therapy Assistant Practitioner)</cp:lastModifiedBy>
  <cp:revision>1</cp:revision>
  <dcterms:created xsi:type="dcterms:W3CDTF">2025-11-04T16:41:00Z</dcterms:created>
  <dcterms:modified xsi:type="dcterms:W3CDTF">2025-11-04T17:04:00Z</dcterms:modified>
</cp:coreProperties>
</file>