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3B513D" w14:textId="7B180C06" w:rsidR="00010A1A" w:rsidRDefault="00FB619B">
      <w:r>
        <w:t xml:space="preserve">Draft 2: </w:t>
      </w:r>
    </w:p>
    <w:p w14:paraId="1D6922C7" w14:textId="77777777" w:rsidR="00FB619B" w:rsidRDefault="00FB619B" w:rsidP="00FB619B"/>
    <w:p w14:paraId="6567DCC5" w14:textId="77777777" w:rsidR="00FB619B" w:rsidRDefault="00FB619B" w:rsidP="00FB619B">
      <w:pPr>
        <w:pStyle w:val="NormalWeb"/>
        <w:ind w:left="-142" w:right="-64"/>
        <w:rPr>
          <w:b/>
          <w:color w:val="000000"/>
          <w:sz w:val="27"/>
          <w:szCs w:val="27"/>
        </w:rPr>
      </w:pPr>
      <w:r>
        <w:rPr>
          <w:b/>
          <w:color w:val="000000"/>
          <w:sz w:val="27"/>
          <w:szCs w:val="27"/>
        </w:rPr>
        <w:t>2700 Words – Written Assignment</w:t>
      </w:r>
    </w:p>
    <w:p w14:paraId="369223ED" w14:textId="38B43163" w:rsidR="00FB619B" w:rsidRDefault="00FB619B" w:rsidP="00E93A5B">
      <w:pPr>
        <w:pStyle w:val="NormalWeb"/>
        <w:ind w:left="-142" w:right="-64"/>
        <w:rPr>
          <w:b/>
          <w:color w:val="000000"/>
          <w:sz w:val="27"/>
          <w:szCs w:val="27"/>
        </w:rPr>
      </w:pPr>
      <w:r>
        <w:rPr>
          <w:b/>
          <w:color w:val="000000"/>
          <w:sz w:val="27"/>
          <w:szCs w:val="27"/>
        </w:rPr>
        <w:t>1800 Words – Reflective Review</w:t>
      </w:r>
    </w:p>
    <w:p w14:paraId="1F78FA57" w14:textId="77777777" w:rsidR="00FB619B" w:rsidRPr="004B2A1E" w:rsidRDefault="00FB619B" w:rsidP="00FB619B">
      <w:pPr>
        <w:pStyle w:val="NormalWeb"/>
        <w:ind w:left="-142" w:right="-64"/>
        <w:rPr>
          <w:b/>
          <w:color w:val="000000"/>
          <w:sz w:val="27"/>
          <w:szCs w:val="27"/>
        </w:rPr>
      </w:pPr>
      <w:r w:rsidRPr="004B2A1E">
        <w:rPr>
          <w:b/>
          <w:color w:val="000000"/>
          <w:sz w:val="27"/>
          <w:szCs w:val="27"/>
        </w:rPr>
        <w:t>BMPF 7003: Working and Learning: An Introduction to Work-Based Higher Education</w:t>
      </w:r>
    </w:p>
    <w:p w14:paraId="7F289AC4" w14:textId="77777777" w:rsidR="00FB619B" w:rsidRPr="004B2A1E" w:rsidRDefault="00FB619B" w:rsidP="00FB619B">
      <w:pPr>
        <w:pStyle w:val="NormalWeb"/>
        <w:ind w:left="-142" w:right="-64"/>
        <w:rPr>
          <w:b/>
          <w:color w:val="000000"/>
          <w:sz w:val="27"/>
          <w:szCs w:val="27"/>
        </w:rPr>
      </w:pPr>
      <w:r w:rsidRPr="004B2A1E">
        <w:rPr>
          <w:b/>
          <w:color w:val="000000"/>
          <w:sz w:val="27"/>
          <w:szCs w:val="27"/>
        </w:rPr>
        <w:t>This is a two-part assignment</w:t>
      </w:r>
    </w:p>
    <w:tbl>
      <w:tblPr>
        <w:tblStyle w:val="TableGrid"/>
        <w:tblW w:w="0" w:type="auto"/>
        <w:tblLook w:val="04A0" w:firstRow="1" w:lastRow="0" w:firstColumn="1" w:lastColumn="0" w:noHBand="0" w:noVBand="1"/>
      </w:tblPr>
      <w:tblGrid>
        <w:gridCol w:w="8516"/>
      </w:tblGrid>
      <w:tr w:rsidR="00FB619B" w14:paraId="0DB2A357" w14:textId="77777777" w:rsidTr="005A113D">
        <w:tc>
          <w:tcPr>
            <w:tcW w:w="8516" w:type="dxa"/>
          </w:tcPr>
          <w:p w14:paraId="53C65620" w14:textId="77777777" w:rsidR="00FB619B" w:rsidRPr="004B2A1E" w:rsidRDefault="00FB619B" w:rsidP="005A113D">
            <w:pPr>
              <w:pStyle w:val="NormalWeb"/>
              <w:rPr>
                <w:b/>
                <w:color w:val="000000"/>
                <w:sz w:val="27"/>
                <w:szCs w:val="27"/>
              </w:rPr>
            </w:pPr>
            <w:r w:rsidRPr="004B2A1E">
              <w:rPr>
                <w:b/>
                <w:color w:val="000000"/>
                <w:sz w:val="27"/>
                <w:szCs w:val="27"/>
              </w:rPr>
              <w:t>Part 1</w:t>
            </w:r>
          </w:p>
          <w:p w14:paraId="7AE2EC74" w14:textId="77777777" w:rsidR="00FB619B" w:rsidRDefault="00FB619B" w:rsidP="005A113D">
            <w:pPr>
              <w:pStyle w:val="NormalWeb"/>
              <w:rPr>
                <w:color w:val="000000"/>
                <w:sz w:val="27"/>
                <w:szCs w:val="27"/>
              </w:rPr>
            </w:pPr>
            <w:r>
              <w:rPr>
                <w:color w:val="000000"/>
                <w:sz w:val="27"/>
                <w:szCs w:val="27"/>
              </w:rPr>
              <w:t>Critically evaluate a range of theories and models that you have recently studied, explaining their relevance to your workplace practice and procedures and develop a strategy applying what you have learned to improve your practice.</w:t>
            </w:r>
          </w:p>
          <w:p w14:paraId="6E960E61" w14:textId="77777777" w:rsidR="00FB619B" w:rsidRDefault="00FB619B" w:rsidP="005A113D">
            <w:pPr>
              <w:rPr>
                <w:b/>
              </w:rPr>
            </w:pPr>
          </w:p>
        </w:tc>
      </w:tr>
      <w:tr w:rsidR="00FB619B" w14:paraId="07698BC9" w14:textId="77777777" w:rsidTr="005A113D">
        <w:tc>
          <w:tcPr>
            <w:tcW w:w="8516" w:type="dxa"/>
          </w:tcPr>
          <w:p w14:paraId="1930FD13" w14:textId="77777777" w:rsidR="00FB619B" w:rsidRPr="004B2A1E" w:rsidRDefault="00FB619B" w:rsidP="005A113D">
            <w:pPr>
              <w:pStyle w:val="NormalWeb"/>
              <w:rPr>
                <w:color w:val="000000"/>
                <w:sz w:val="27"/>
                <w:szCs w:val="27"/>
              </w:rPr>
            </w:pPr>
            <w:r>
              <w:rPr>
                <w:color w:val="000000"/>
                <w:sz w:val="27"/>
                <w:szCs w:val="27"/>
              </w:rPr>
              <w:t>This part of the assignment is 2700 words and is 60%</w:t>
            </w:r>
          </w:p>
        </w:tc>
      </w:tr>
    </w:tbl>
    <w:p w14:paraId="7724553D" w14:textId="77777777" w:rsidR="00FB619B" w:rsidRDefault="00FB619B" w:rsidP="00FB619B">
      <w:pPr>
        <w:rPr>
          <w:b/>
        </w:rPr>
      </w:pPr>
    </w:p>
    <w:p w14:paraId="47E70058" w14:textId="77777777" w:rsidR="00FB619B" w:rsidRDefault="00FB619B" w:rsidP="00FB619B">
      <w:pPr>
        <w:rPr>
          <w:b/>
        </w:rPr>
      </w:pPr>
    </w:p>
    <w:p w14:paraId="0404FB20" w14:textId="77777777" w:rsidR="00FB619B" w:rsidRDefault="00FB619B" w:rsidP="00FB619B">
      <w:pPr>
        <w:rPr>
          <w:b/>
        </w:rPr>
      </w:pPr>
      <w:r>
        <w:rPr>
          <w:b/>
        </w:rPr>
        <w:t>Voice Registers: Discovering a universal language to teach effectively.</w:t>
      </w:r>
    </w:p>
    <w:p w14:paraId="4E22B538" w14:textId="77777777" w:rsidR="00FB619B" w:rsidRDefault="00FB619B" w:rsidP="00FB619B">
      <w:pPr>
        <w:rPr>
          <w:b/>
        </w:rPr>
      </w:pPr>
    </w:p>
    <w:p w14:paraId="248F00D5" w14:textId="77777777" w:rsidR="00FB619B" w:rsidRPr="00175692" w:rsidRDefault="00FB619B" w:rsidP="00FB619B">
      <w:pPr>
        <w:rPr>
          <w:b/>
        </w:rPr>
      </w:pPr>
      <w:r w:rsidRPr="00175692">
        <w:rPr>
          <w:b/>
        </w:rPr>
        <w:t>What is your objective?</w:t>
      </w:r>
    </w:p>
    <w:p w14:paraId="1D1FBCE7" w14:textId="77777777" w:rsidR="00FB619B" w:rsidRDefault="00FB619B" w:rsidP="00FB619B"/>
    <w:p w14:paraId="659EB55E" w14:textId="77777777" w:rsidR="00FB619B" w:rsidRPr="00E93A5B" w:rsidRDefault="00FB619B" w:rsidP="00FB619B">
      <w:pPr>
        <w:rPr>
          <w:rFonts w:cstheme="majorHAnsi"/>
        </w:rPr>
      </w:pPr>
      <w:commentRangeStart w:id="0"/>
      <w:r w:rsidRPr="00AA2326">
        <w:rPr>
          <w:rFonts w:cstheme="majorHAnsi"/>
          <w:highlight w:val="yellow"/>
        </w:rPr>
        <w:t>Through</w:t>
      </w:r>
      <w:commentRangeEnd w:id="0"/>
      <w:r w:rsidR="00AA2326">
        <w:rPr>
          <w:rStyle w:val="CommentReference"/>
          <w:rFonts w:eastAsiaTheme="minorEastAsia"/>
          <w:lang w:val="en-US"/>
        </w:rPr>
        <w:commentReference w:id="0"/>
      </w:r>
      <w:r w:rsidRPr="00AA2326">
        <w:rPr>
          <w:rFonts w:cstheme="majorHAnsi"/>
          <w:highlight w:val="yellow"/>
        </w:rPr>
        <w:t xml:space="preserve"> systematic research, my objective is to unearth the chaos of the historical adaptation of vocal register terminology</w:t>
      </w:r>
      <w:r w:rsidRPr="00E93A5B">
        <w:rPr>
          <w:rFonts w:cstheme="majorHAnsi"/>
        </w:rPr>
        <w:t xml:space="preserve">. I intend to build on my own knowledge, through researching scientific studies conducted by vocal scientists, to date, in hope that I uncover a pattern, of universal agreeability deepening my insight into functional anatomy enabling me to guide my students effectively. Implementing terminology into technique is an ongoing issue in my practice with my students at Vocally Yours LTD® whereby contemporary singing is taught, in a private setting on a 1-1 basis. </w:t>
      </w:r>
    </w:p>
    <w:p w14:paraId="14A0D3FB" w14:textId="77777777" w:rsidR="00FB619B" w:rsidRPr="00E93A5B" w:rsidRDefault="00FB619B" w:rsidP="00FB619B">
      <w:pPr>
        <w:spacing w:before="100" w:beforeAutospacing="1" w:after="100" w:afterAutospacing="1"/>
        <w:rPr>
          <w:rFonts w:eastAsia="Times New Roman" w:cstheme="majorHAnsi"/>
          <w:lang w:eastAsia="en-GB"/>
        </w:rPr>
      </w:pPr>
      <w:r w:rsidRPr="00E93A5B">
        <w:rPr>
          <w:rFonts w:eastAsia="Times New Roman" w:cstheme="majorHAnsi"/>
          <w:lang w:eastAsia="en-GB"/>
        </w:rPr>
        <w:t xml:space="preserve">A much-debated question is whether vocal register exists at all (Doscher, 1994). The ambiguity around the meaning of a vocal register term and its characterisation has evolved over century’s meaning as a result, singers, singing teachers and scientists debate (Kochis-Jennings </w:t>
      </w:r>
      <w:r w:rsidRPr="00E93A5B">
        <w:rPr>
          <w:rFonts w:eastAsia="Times New Roman" w:cstheme="majorHAnsi"/>
          <w:i/>
          <w:iCs/>
          <w:lang w:eastAsia="en-GB"/>
        </w:rPr>
        <w:t>et al.</w:t>
      </w:r>
      <w:r w:rsidRPr="00E93A5B">
        <w:rPr>
          <w:rFonts w:eastAsia="Times New Roman" w:cstheme="majorHAnsi"/>
          <w:lang w:eastAsia="en-GB"/>
        </w:rPr>
        <w:t>, 2014), years on, what the correct term to use is.</w:t>
      </w:r>
    </w:p>
    <w:p w14:paraId="78F10F2F" w14:textId="77777777" w:rsidR="00FB619B" w:rsidRPr="00E93A5B" w:rsidRDefault="00FB619B" w:rsidP="00FB619B">
      <w:pPr>
        <w:spacing w:before="100" w:beforeAutospacing="1" w:after="100" w:afterAutospacing="1"/>
        <w:rPr>
          <w:rFonts w:eastAsia="Times New Roman" w:cstheme="majorHAnsi"/>
          <w:lang w:eastAsia="en-GB"/>
        </w:rPr>
      </w:pPr>
      <w:r w:rsidRPr="00E93A5B">
        <w:rPr>
          <w:rFonts w:cstheme="majorHAnsi"/>
        </w:rPr>
        <w:t xml:space="preserve">To fully understand the chaos of register terminology I must firstly, understand where the terminology originated from in the first place and discover why, certain language was chosen as a label. </w:t>
      </w:r>
    </w:p>
    <w:p w14:paraId="52E07775" w14:textId="77777777" w:rsidR="00FB619B" w:rsidRPr="00E93A5B" w:rsidRDefault="00FB619B" w:rsidP="00FB619B">
      <w:pPr>
        <w:spacing w:before="100" w:beforeAutospacing="1" w:after="100" w:afterAutospacing="1"/>
        <w:rPr>
          <w:rFonts w:eastAsia="Times New Roman" w:cstheme="majorHAnsi"/>
          <w:lang w:eastAsia="en-GB"/>
        </w:rPr>
      </w:pPr>
      <w:r w:rsidRPr="00E93A5B">
        <w:rPr>
          <w:rFonts w:eastAsia="Times New Roman" w:cstheme="majorHAnsi"/>
          <w:lang w:eastAsia="en-GB"/>
        </w:rPr>
        <w:t xml:space="preserve">“The term </w:t>
      </w:r>
      <w:r w:rsidRPr="00E93A5B">
        <w:rPr>
          <w:rFonts w:eastAsia="Times New Roman" w:cstheme="majorHAnsi"/>
          <w:i/>
          <w:iCs/>
          <w:lang w:eastAsia="en-GB"/>
        </w:rPr>
        <w:t xml:space="preserve">register was </w:t>
      </w:r>
      <w:r w:rsidRPr="00E93A5B">
        <w:rPr>
          <w:rFonts w:eastAsia="Times New Roman" w:cstheme="majorHAnsi"/>
          <w:lang w:eastAsia="en-GB"/>
        </w:rPr>
        <w:t xml:space="preserve">borrowed from the terminology of keyboard organs (Merkel, 1863)” (Thurman </w:t>
      </w:r>
      <w:r w:rsidRPr="00E93A5B">
        <w:rPr>
          <w:rFonts w:eastAsia="Times New Roman" w:cstheme="majorHAnsi"/>
          <w:i/>
          <w:iCs/>
          <w:lang w:eastAsia="en-GB"/>
        </w:rPr>
        <w:t>et al.</w:t>
      </w:r>
      <w:r w:rsidRPr="00E93A5B">
        <w:rPr>
          <w:rFonts w:eastAsia="Times New Roman" w:cstheme="majorHAnsi"/>
          <w:lang w:eastAsia="en-GB"/>
        </w:rPr>
        <w:t>, 2004, p.3). It has been used in vocal terminology since at least the 13</w:t>
      </w:r>
      <w:r w:rsidRPr="00E93A5B">
        <w:rPr>
          <w:rFonts w:eastAsia="Times New Roman" w:cstheme="majorHAnsi"/>
          <w:vertAlign w:val="superscript"/>
          <w:lang w:eastAsia="en-GB"/>
        </w:rPr>
        <w:t>th</w:t>
      </w:r>
      <w:r w:rsidRPr="00E93A5B">
        <w:rPr>
          <w:rFonts w:eastAsia="Times New Roman" w:cstheme="majorHAnsi"/>
          <w:lang w:eastAsia="en-GB"/>
        </w:rPr>
        <w:t xml:space="preserve"> century (Duey, 1951), (Thurman </w:t>
      </w:r>
      <w:r w:rsidRPr="00E93A5B">
        <w:rPr>
          <w:rFonts w:eastAsia="Times New Roman" w:cstheme="majorHAnsi"/>
          <w:i/>
          <w:iCs/>
          <w:lang w:eastAsia="en-GB"/>
        </w:rPr>
        <w:t>et al.</w:t>
      </w:r>
      <w:r w:rsidRPr="00E93A5B">
        <w:rPr>
          <w:rFonts w:eastAsia="Times New Roman" w:cstheme="majorHAnsi"/>
          <w:lang w:eastAsia="en-GB"/>
        </w:rPr>
        <w:t xml:space="preserve">, 2004). Using logic as the only guide available in this era besides “personal perception and metaphoric communications” (Thurman </w:t>
      </w:r>
      <w:r w:rsidRPr="00E93A5B">
        <w:rPr>
          <w:rFonts w:eastAsia="Times New Roman" w:cstheme="majorHAnsi"/>
          <w:i/>
          <w:iCs/>
          <w:lang w:eastAsia="en-GB"/>
        </w:rPr>
        <w:t>et al.</w:t>
      </w:r>
      <w:r w:rsidRPr="00E93A5B">
        <w:rPr>
          <w:rFonts w:eastAsia="Times New Roman" w:cstheme="majorHAnsi"/>
          <w:lang w:eastAsia="en-GB"/>
        </w:rPr>
        <w:t xml:space="preserve">, 2004, p.3). If vibrations were felt in the head when singing ‘upper pitch range’, this would be determined as the ‘head voice’ and the same applied for the ‘lower pitch range’ believing that the voice was coming from the ‘chest voice’ (Thurman </w:t>
      </w:r>
      <w:r w:rsidRPr="00E93A5B">
        <w:rPr>
          <w:rFonts w:eastAsia="Times New Roman" w:cstheme="majorHAnsi"/>
          <w:i/>
          <w:iCs/>
          <w:lang w:eastAsia="en-GB"/>
        </w:rPr>
        <w:t>et al.</w:t>
      </w:r>
      <w:r w:rsidRPr="00E93A5B">
        <w:rPr>
          <w:rFonts w:eastAsia="Times New Roman" w:cstheme="majorHAnsi"/>
          <w:lang w:eastAsia="en-GB"/>
        </w:rPr>
        <w:t xml:space="preserve">, 2004), </w:t>
      </w:r>
    </w:p>
    <w:p w14:paraId="0853A73D" w14:textId="46E36E57" w:rsidR="00FB619B" w:rsidRPr="00E93A5B" w:rsidRDefault="00FB619B" w:rsidP="00FB619B">
      <w:pPr>
        <w:spacing w:before="100" w:beforeAutospacing="1" w:after="100" w:afterAutospacing="1"/>
        <w:rPr>
          <w:rFonts w:eastAsia="Times New Roman" w:cstheme="majorHAnsi"/>
          <w:lang w:eastAsia="en-GB"/>
        </w:rPr>
      </w:pPr>
      <w:r w:rsidRPr="00E93A5B">
        <w:rPr>
          <w:rFonts w:eastAsia="Times New Roman" w:cstheme="majorHAnsi"/>
          <w:lang w:eastAsia="en-GB"/>
        </w:rPr>
        <w:t>The problem with the method and terminology is, it has created misconception, (Chipman, 2008, p.79) into believing that a register can be ‘placed’, “when they changed from one place to another, they p</w:t>
      </w:r>
      <w:r w:rsidRPr="00E93A5B">
        <w:rPr>
          <w:rFonts w:eastAsia="Times New Roman" w:cstheme="majorHAnsi"/>
          <w:color w:val="000000" w:themeColor="text1"/>
          <w:lang w:eastAsia="en-GB"/>
        </w:rPr>
        <w:t xml:space="preserve">hysically felt the transition from one “place” in the body to another” (Thurman </w:t>
      </w:r>
      <w:r w:rsidRPr="00E93A5B">
        <w:rPr>
          <w:rFonts w:eastAsia="Times New Roman" w:cstheme="majorHAnsi"/>
          <w:i/>
          <w:iCs/>
          <w:color w:val="000000" w:themeColor="text1"/>
          <w:lang w:eastAsia="en-GB"/>
        </w:rPr>
        <w:t>et al.</w:t>
      </w:r>
      <w:r w:rsidRPr="00E93A5B">
        <w:rPr>
          <w:rFonts w:eastAsia="Times New Roman" w:cstheme="majorHAnsi"/>
          <w:color w:val="000000" w:themeColor="text1"/>
          <w:lang w:eastAsia="en-GB"/>
        </w:rPr>
        <w:t xml:space="preserve">, 2004, p.4). </w:t>
      </w:r>
      <w:r w:rsidR="00E93A5B" w:rsidRPr="00E93A5B">
        <w:rPr>
          <w:rFonts w:eastAsia="Times New Roman" w:cstheme="majorHAnsi"/>
          <w:color w:val="642BFF"/>
          <w:lang w:eastAsia="en-GB"/>
        </w:rPr>
        <w:t>{</w:t>
      </w:r>
      <w:r w:rsidRPr="00E93A5B">
        <w:rPr>
          <w:color w:val="642BFF"/>
        </w:rPr>
        <w:t>Good – what are the implications for practice here. You could link to confusing terminology perhaps. More of a hindrance than a help to practitioners.</w:t>
      </w:r>
      <w:r w:rsidR="00E93A5B" w:rsidRPr="00E93A5B">
        <w:rPr>
          <w:color w:val="642BFF"/>
        </w:rPr>
        <w:t>}</w:t>
      </w:r>
    </w:p>
    <w:p w14:paraId="0C437993" w14:textId="77777777" w:rsidR="00FB619B" w:rsidRPr="00E93A5B" w:rsidRDefault="00FB619B" w:rsidP="00FB619B">
      <w:pPr>
        <w:spacing w:before="100" w:beforeAutospacing="1" w:after="100" w:afterAutospacing="1"/>
        <w:rPr>
          <w:rFonts w:cstheme="majorHAnsi"/>
        </w:rPr>
      </w:pPr>
      <w:r w:rsidRPr="00E93A5B">
        <w:rPr>
          <w:rFonts w:cstheme="majorHAnsi"/>
        </w:rPr>
        <w:t xml:space="preserve">My students appear confused when asked to transition from ‘head’ to ‘chest’ voice, it usually requires further explanation and demonstration. I do ask students to place hands on their chest to feel the vibration ‘switch’ however, I agree with Chipman, it does cause misconception because it is not at true reflection, it is a façade. </w:t>
      </w:r>
    </w:p>
    <w:p w14:paraId="139BA88A" w14:textId="77777777" w:rsidR="00FB619B" w:rsidRPr="00E93A5B" w:rsidRDefault="00FB619B" w:rsidP="00FB619B">
      <w:pPr>
        <w:rPr>
          <w:rFonts w:cstheme="majorHAnsi"/>
          <w:color w:val="000000" w:themeColor="text1"/>
        </w:rPr>
      </w:pPr>
      <w:r w:rsidRPr="00E93A5B">
        <w:rPr>
          <w:rFonts w:cstheme="majorHAnsi"/>
        </w:rPr>
        <w:t>In the 17</w:t>
      </w:r>
      <w:r w:rsidRPr="00E93A5B">
        <w:rPr>
          <w:rFonts w:cstheme="majorHAnsi"/>
          <w:vertAlign w:val="superscript"/>
        </w:rPr>
        <w:t>th</w:t>
      </w:r>
      <w:r w:rsidRPr="00E93A5B">
        <w:rPr>
          <w:rFonts w:cstheme="majorHAnsi"/>
        </w:rPr>
        <w:t xml:space="preserve"> and 18</w:t>
      </w:r>
      <w:r w:rsidRPr="00E93A5B">
        <w:rPr>
          <w:rFonts w:cstheme="majorHAnsi"/>
          <w:vertAlign w:val="superscript"/>
        </w:rPr>
        <w:t>th</w:t>
      </w:r>
      <w:r w:rsidRPr="00E93A5B">
        <w:rPr>
          <w:rFonts w:cstheme="majorHAnsi"/>
        </w:rPr>
        <w:t xml:space="preserve"> century terminology to describe the voice register was still descriptive to the location of where the sound of pitch felt like it was coming from due to vibratory resonance and terms such as; full voice, voice of the throat, voice of the head and voice of the chest </w:t>
      </w:r>
      <w:r w:rsidRPr="00E93A5B">
        <w:rPr>
          <w:rFonts w:cstheme="majorHAnsi"/>
        </w:rPr>
        <w:fldChar w:fldCharType="begin" w:fldLock="1"/>
      </w:r>
      <w:r w:rsidRPr="00E93A5B">
        <w:rPr>
          <w:rFonts w:cstheme="majorHAnsi"/>
        </w:rPr>
        <w:instrText>ADDIN CSL_CITATION {"citationItems":[{"id":"ITEM-1","itemData":{"abstract":"This paper analyzes and evaluates several explicit and implicit assumptions that are embedded in the concepts, terminologies, and practices related to vocal registers. A reconciliation of the varied and conflicting register concepts, terminologies, and practices is proposed, including: 1. a brief historical context of vocal registers, 2. a documented science-based theory that accounts for vocal register phenomena from perceptual, physiological, and acoustical perspectives, 3. criteria for selection of science-based categorical word labels for register phenomena and suggested colloquial English terms that meet the criteria, 4. how the theory can be beneficially applied to the learning of efficient, skilled singing and speaking when guided by music educators, choral conductors, singing teachers, speech teachers, theatre directors, and when applied to therapeutic clinical settings.","author":[{"dropping-particle":"","family":"Thurman","given":"Leon","non-dropping-particle":"","parse-names":false,"suffix":""},{"dropping-particle":"","family":"Welch","given":"Graham","non-dropping-particle":"","parse-names":false,"suffix":""},{"dropping-particle":"","family":"Theimer","given":"Axel","non-dropping-particle":"","parse-names":false,"suffix":""},{"dropping-particle":"","family":"Klitzke","given":"Carol","non-dropping-particle":"","parse-names":false,"suffix":""}],"container-title":"The Phsiology and Acoustics of Singing National CenTer for Voice and Speech","id":"ITEM-1","issued":{"date-parts":[["2004"]]},"page":"1-64","publisher-place":"Denvor, Colorado, USA","title":"Addressing Vocal Register Discrepancies: An Alternative, Science-Based Theory of Register Phenomena","type":"paper-conference"},"uris":["http://www.mendeley.com/documents/?uuid=25beb3d0-5cff-4ba4-8969-4e8c9c88ced9"]}],"mendeley":{"formattedCitation":"(Thurman &lt;i&gt;et al.&lt;/i&gt;, 2004)","manualFormatting":"(Thurman et al., 2004)","plainTextFormattedCitation":"(Thurman et al., 2004)","previouslyFormattedCitation":"(Thurman &lt;i&gt;et al.&lt;/i&gt;, 2004)"},"properties":{"noteIndex":0},"schema":"https://github.com/citation-style-language/schema/raw/master/csl-citation.json"}</w:instrText>
      </w:r>
      <w:r w:rsidRPr="00E93A5B">
        <w:rPr>
          <w:rFonts w:cstheme="majorHAnsi"/>
        </w:rPr>
        <w:fldChar w:fldCharType="separate"/>
      </w:r>
      <w:r w:rsidRPr="00E93A5B">
        <w:rPr>
          <w:rFonts w:cstheme="majorHAnsi"/>
          <w:noProof/>
        </w:rPr>
        <w:t xml:space="preserve">(Thurman </w:t>
      </w:r>
      <w:r w:rsidRPr="00E93A5B">
        <w:rPr>
          <w:rFonts w:cstheme="majorHAnsi"/>
          <w:i/>
          <w:noProof/>
        </w:rPr>
        <w:t>et al.</w:t>
      </w:r>
      <w:r w:rsidRPr="00E93A5B">
        <w:rPr>
          <w:rFonts w:cstheme="majorHAnsi"/>
          <w:noProof/>
        </w:rPr>
        <w:t>, 2004)</w:t>
      </w:r>
      <w:r w:rsidRPr="00E93A5B">
        <w:rPr>
          <w:rFonts w:cstheme="majorHAnsi"/>
        </w:rPr>
        <w:fldChar w:fldCharType="end"/>
      </w:r>
      <w:r w:rsidRPr="00E93A5B">
        <w:rPr>
          <w:rFonts w:cstheme="majorHAnsi"/>
        </w:rPr>
        <w:t xml:space="preserve"> were being used to describe vocal register</w:t>
      </w:r>
      <w:r w:rsidRPr="00E93A5B">
        <w:rPr>
          <w:rFonts w:cstheme="majorHAnsi"/>
          <w:color w:val="000000" w:themeColor="text1"/>
        </w:rPr>
        <w:t xml:space="preserve">s. </w:t>
      </w:r>
    </w:p>
    <w:p w14:paraId="559D6915" w14:textId="77777777" w:rsidR="00FB619B" w:rsidRPr="00E93A5B" w:rsidRDefault="00FB619B" w:rsidP="00FB619B">
      <w:pPr>
        <w:rPr>
          <w:rFonts w:cstheme="majorHAnsi"/>
          <w:color w:val="000000" w:themeColor="text1"/>
        </w:rPr>
      </w:pPr>
    </w:p>
    <w:p w14:paraId="12D53841" w14:textId="77777777" w:rsidR="00FB619B" w:rsidRPr="00E93A5B" w:rsidRDefault="00FB619B" w:rsidP="00FB619B">
      <w:pPr>
        <w:shd w:val="clear" w:color="auto" w:fill="FDFDFD"/>
        <w:spacing w:before="48" w:after="48"/>
        <w:jc w:val="both"/>
        <w:rPr>
          <w:rFonts w:cstheme="majorHAnsi"/>
          <w:shd w:val="clear" w:color="auto" w:fill="FFFFFF"/>
          <w:lang w:eastAsia="en-GB"/>
        </w:rPr>
      </w:pPr>
      <w:r w:rsidRPr="00AA2326">
        <w:rPr>
          <w:rFonts w:eastAsia="Times New Roman" w:cstheme="majorHAnsi"/>
          <w:color w:val="000000" w:themeColor="text1"/>
          <w:highlight w:val="yellow"/>
          <w:lang w:eastAsia="en-GB"/>
        </w:rPr>
        <w:t xml:space="preserve">It was not until Manual Garcia, a Spanish singer who was interested in seeing his glottis purely from a singer’s inquisitiveness, with wanting to prove his own singing theories; pressed a long dentist mirror against his uvula and with the luck of the correct angle, holding a hand mirror in his hand, with use of sunrays </w:t>
      </w:r>
      <w:r w:rsidRPr="00AA2326">
        <w:rPr>
          <w:rFonts w:cstheme="majorHAnsi"/>
          <w:color w:val="000000" w:themeColor="text1"/>
          <w:highlight w:val="yellow"/>
        </w:rPr>
        <w:t>(</w:t>
      </w:r>
      <w:r w:rsidRPr="00AA2326">
        <w:rPr>
          <w:rFonts w:eastAsia="Times New Roman" w:cstheme="majorHAnsi"/>
          <w:color w:val="000000" w:themeColor="text1"/>
          <w:highlight w:val="yellow"/>
          <w:shd w:val="clear" w:color="auto" w:fill="FFFFFF"/>
          <w:lang w:eastAsia="en-GB"/>
        </w:rPr>
        <w:t xml:space="preserve">Mackinlay 2011,p.201) </w:t>
      </w:r>
      <w:r w:rsidRPr="00AA2326">
        <w:rPr>
          <w:rFonts w:eastAsia="Times New Roman" w:cstheme="majorHAnsi"/>
          <w:color w:val="222222"/>
          <w:highlight w:val="yellow"/>
          <w:lang w:eastAsia="en-GB"/>
        </w:rPr>
        <w:t xml:space="preserve">was </w:t>
      </w:r>
      <w:r w:rsidRPr="00AA2326">
        <w:rPr>
          <w:rFonts w:eastAsia="Times New Roman" w:cstheme="majorHAnsi"/>
          <w:color w:val="000000" w:themeColor="text1"/>
          <w:highlight w:val="yellow"/>
          <w:lang w:eastAsia="en-GB"/>
        </w:rPr>
        <w:t>credited in 1854, with the invention of the laryngoscope (</w:t>
      </w:r>
      <w:r w:rsidRPr="00AA2326">
        <w:rPr>
          <w:rFonts w:cstheme="majorHAnsi"/>
          <w:color w:val="000000" w:themeColor="text1"/>
          <w:highlight w:val="yellow"/>
        </w:rPr>
        <w:t>Radomski, 2005, p.1) when successfully demonstrating the vision through the apparatus, of the glottis and part of the trachea (</w:t>
      </w:r>
      <w:r w:rsidRPr="00AA2326">
        <w:rPr>
          <w:rFonts w:eastAsia="Times New Roman" w:cstheme="majorHAnsi"/>
          <w:color w:val="000000" w:themeColor="text1"/>
          <w:highlight w:val="yellow"/>
          <w:shd w:val="clear" w:color="auto" w:fill="FFFFFF"/>
          <w:lang w:eastAsia="en-GB"/>
        </w:rPr>
        <w:t xml:space="preserve">Mackinlay 2011, p. 201). </w:t>
      </w:r>
      <w:r w:rsidRPr="00AA2326">
        <w:rPr>
          <w:rFonts w:cstheme="majorHAnsi"/>
          <w:highlight w:val="yellow"/>
          <w:shd w:val="clear" w:color="auto" w:fill="FFFFFF"/>
          <w:lang w:eastAsia="en-GB"/>
        </w:rPr>
        <w:t xml:space="preserve">This invention was a turning point in vocal history and meant vocal pedagogues could finally see the larynx and begin to experiment and present findings of factual evidence on vocal ability technique, as opposed to mythical estimates based on </w:t>
      </w:r>
      <w:commentRangeStart w:id="1"/>
      <w:r w:rsidRPr="00AA2326">
        <w:rPr>
          <w:rFonts w:cstheme="majorHAnsi"/>
          <w:highlight w:val="yellow"/>
          <w:shd w:val="clear" w:color="auto" w:fill="FFFFFF"/>
          <w:lang w:eastAsia="en-GB"/>
        </w:rPr>
        <w:t>resonance</w:t>
      </w:r>
      <w:commentRangeEnd w:id="1"/>
      <w:r w:rsidR="00AA2326">
        <w:rPr>
          <w:rStyle w:val="CommentReference"/>
          <w:rFonts w:eastAsiaTheme="minorEastAsia"/>
          <w:lang w:val="en-US"/>
        </w:rPr>
        <w:commentReference w:id="1"/>
      </w:r>
      <w:r w:rsidRPr="00AA2326">
        <w:rPr>
          <w:rFonts w:cstheme="majorHAnsi"/>
          <w:highlight w:val="yellow"/>
          <w:shd w:val="clear" w:color="auto" w:fill="FFFFFF"/>
          <w:lang w:eastAsia="en-GB"/>
        </w:rPr>
        <w:t>.</w:t>
      </w:r>
      <w:r w:rsidRPr="00E93A5B">
        <w:rPr>
          <w:rFonts w:cstheme="majorHAnsi"/>
          <w:shd w:val="clear" w:color="auto" w:fill="FFFFFF"/>
          <w:lang w:eastAsia="en-GB"/>
        </w:rPr>
        <w:t xml:space="preserve"> </w:t>
      </w:r>
    </w:p>
    <w:p w14:paraId="18DBBF20" w14:textId="77777777" w:rsidR="00FB619B" w:rsidRPr="00E93A5B" w:rsidRDefault="00FB619B" w:rsidP="00FB619B">
      <w:pPr>
        <w:shd w:val="clear" w:color="auto" w:fill="FDFDFD"/>
        <w:spacing w:before="48" w:after="48"/>
        <w:jc w:val="both"/>
        <w:rPr>
          <w:rFonts w:cstheme="majorHAnsi"/>
          <w:shd w:val="clear" w:color="auto" w:fill="FFFFFF"/>
          <w:lang w:eastAsia="en-GB"/>
        </w:rPr>
      </w:pPr>
    </w:p>
    <w:p w14:paraId="413FFA3A" w14:textId="77777777" w:rsidR="00FB619B" w:rsidRPr="00E93A5B" w:rsidRDefault="00FB619B" w:rsidP="00FB619B">
      <w:pPr>
        <w:shd w:val="clear" w:color="auto" w:fill="FDFDFD"/>
        <w:spacing w:before="48" w:after="48"/>
        <w:jc w:val="both"/>
        <w:rPr>
          <w:rFonts w:cstheme="majorHAnsi"/>
          <w:shd w:val="clear" w:color="auto" w:fill="FFFFFF"/>
          <w:lang w:eastAsia="en-GB"/>
        </w:rPr>
      </w:pPr>
      <w:r w:rsidRPr="00E93A5B">
        <w:rPr>
          <w:rFonts w:cstheme="majorHAnsi"/>
          <w:shd w:val="clear" w:color="auto" w:fill="FFFFFF"/>
          <w:lang w:eastAsia="en-GB"/>
        </w:rPr>
        <w:t>My core objective in this study is to focus on voice register terminology. I am interested to discover how register terminology industrialised after the invention of the laryngoscope.</w:t>
      </w:r>
    </w:p>
    <w:p w14:paraId="4E6F6779" w14:textId="77777777" w:rsidR="00FB619B" w:rsidRPr="00E93A5B" w:rsidRDefault="00FB619B" w:rsidP="00FB619B">
      <w:pPr>
        <w:shd w:val="clear" w:color="auto" w:fill="FDFDFD"/>
        <w:spacing w:before="48" w:after="48"/>
        <w:jc w:val="both"/>
        <w:rPr>
          <w:rFonts w:cstheme="majorHAnsi"/>
          <w:shd w:val="clear" w:color="auto" w:fill="FFFFFF"/>
          <w:lang w:eastAsia="en-GB"/>
        </w:rPr>
      </w:pPr>
    </w:p>
    <w:p w14:paraId="22E17615" w14:textId="77777777" w:rsidR="00FB619B" w:rsidRPr="00E93A5B" w:rsidRDefault="00FB619B" w:rsidP="00FB619B">
      <w:pPr>
        <w:pStyle w:val="NoSpacing"/>
        <w:rPr>
          <w:rFonts w:cstheme="majorHAnsi"/>
          <w:color w:val="000000" w:themeColor="text1"/>
        </w:rPr>
      </w:pPr>
      <w:r w:rsidRPr="00E93A5B">
        <w:rPr>
          <w:rFonts w:cstheme="majorHAnsi"/>
          <w:shd w:val="clear" w:color="auto" w:fill="FFFFFF"/>
          <w:lang w:eastAsia="en-GB"/>
        </w:rPr>
        <w:t xml:space="preserve">Originally, vocalists related a vocal register as a series of similar tones from low to high and relied on the resonance chamber </w:t>
      </w:r>
      <w:r w:rsidRPr="00E93A5B">
        <w:rPr>
          <w:rFonts w:eastAsia="Times New Roman" w:cstheme="majorHAnsi"/>
          <w:lang w:val="en-GB" w:eastAsia="en-GB"/>
        </w:rPr>
        <w:t xml:space="preserve">(Thurman </w:t>
      </w:r>
      <w:r w:rsidRPr="00E93A5B">
        <w:rPr>
          <w:rFonts w:eastAsia="Times New Roman" w:cstheme="majorHAnsi"/>
          <w:i/>
          <w:iCs/>
          <w:lang w:val="en-GB" w:eastAsia="en-GB"/>
        </w:rPr>
        <w:t>et al.</w:t>
      </w:r>
      <w:r w:rsidRPr="00E93A5B">
        <w:rPr>
          <w:rFonts w:eastAsia="Times New Roman" w:cstheme="majorHAnsi"/>
          <w:lang w:val="en-GB" w:eastAsia="en-GB"/>
        </w:rPr>
        <w:t xml:space="preserve">, 2004). </w:t>
      </w:r>
      <w:r w:rsidRPr="00E93A5B">
        <w:rPr>
          <w:rFonts w:cstheme="majorHAnsi"/>
          <w:shd w:val="clear" w:color="auto" w:fill="FFFFFF"/>
          <w:lang w:eastAsia="en-GB"/>
        </w:rPr>
        <w:t xml:space="preserve">Garcia, with use of the Laryngoscope was able to confirm vocal registers by ‘separate mechanical principles, which were different laryngeal functions’ </w:t>
      </w:r>
      <w:r w:rsidRPr="00E93A5B">
        <w:rPr>
          <w:rFonts w:eastAsia="Times New Roman" w:cstheme="majorHAnsi"/>
          <w:color w:val="000000" w:themeColor="text1"/>
          <w:lang w:val="en-GB" w:eastAsia="en-GB"/>
        </w:rPr>
        <w:t>(</w:t>
      </w:r>
      <w:r w:rsidRPr="00E93A5B">
        <w:rPr>
          <w:rFonts w:cstheme="majorHAnsi"/>
          <w:color w:val="000000" w:themeColor="text1"/>
        </w:rPr>
        <w:t xml:space="preserve">Radomski, 2005, p.20) and described these as ‘chest, falsetto (which he also called medium) and head’ </w:t>
      </w:r>
      <w:r w:rsidRPr="00E93A5B">
        <w:rPr>
          <w:rFonts w:eastAsia="Times New Roman" w:cstheme="majorHAnsi"/>
          <w:color w:val="000000" w:themeColor="text1"/>
          <w:lang w:val="en-GB" w:eastAsia="en-GB"/>
        </w:rPr>
        <w:t>(</w:t>
      </w:r>
      <w:r w:rsidRPr="00E93A5B">
        <w:rPr>
          <w:rFonts w:cstheme="majorHAnsi"/>
          <w:color w:val="000000" w:themeColor="text1"/>
        </w:rPr>
        <w:t xml:space="preserve">Radomski, 2005, p.20). When determining the mechanical principle of a vocal register in ‘chest’ register, Garcia, explains how the arytenoid cartilage in terms of its actions are engaged in vibrations and as the sound rises the lip tension increases </w:t>
      </w:r>
      <w:r w:rsidRPr="00E93A5B">
        <w:rPr>
          <w:rFonts w:eastAsia="Times New Roman" w:cstheme="majorHAnsi"/>
          <w:color w:val="000000" w:themeColor="text1"/>
          <w:lang w:val="en-GB" w:eastAsia="en-GB"/>
        </w:rPr>
        <w:t>(</w:t>
      </w:r>
      <w:r w:rsidRPr="00E93A5B">
        <w:rPr>
          <w:rFonts w:cstheme="majorHAnsi"/>
          <w:color w:val="000000" w:themeColor="text1"/>
        </w:rPr>
        <w:t>Radomski, 2005, p.20). The arytenoid cartilages are pyramid shaped and the vocal folds are suspended in-between these cartilages enabling sound when brought together as air passes through, they vibrate, as a result of the arytenoid cartilages rotating inward (Dimon,2008, p.26).</w:t>
      </w:r>
    </w:p>
    <w:p w14:paraId="3E7BD766" w14:textId="77777777" w:rsidR="00FB619B" w:rsidRPr="00E93A5B" w:rsidRDefault="00FB619B" w:rsidP="00FB619B">
      <w:pPr>
        <w:pStyle w:val="NoSpacing"/>
        <w:rPr>
          <w:rFonts w:cstheme="majorHAnsi"/>
          <w:color w:val="000000" w:themeColor="text1"/>
        </w:rPr>
      </w:pPr>
    </w:p>
    <w:p w14:paraId="300340BE" w14:textId="77777777" w:rsidR="00FB619B" w:rsidRPr="00E93A5B" w:rsidRDefault="00FB619B" w:rsidP="00FB619B">
      <w:pPr>
        <w:pStyle w:val="NoSpacing"/>
        <w:rPr>
          <w:rFonts w:cstheme="majorHAnsi"/>
          <w:color w:val="000000" w:themeColor="text1"/>
        </w:rPr>
      </w:pPr>
      <w:r w:rsidRPr="00E93A5B">
        <w:rPr>
          <w:rFonts w:cstheme="majorHAnsi"/>
          <w:color w:val="000000" w:themeColor="text1"/>
        </w:rPr>
        <w:t xml:space="preserve">In early reflection of my research so far, </w:t>
      </w:r>
      <w:r w:rsidRPr="00AA2326">
        <w:rPr>
          <w:rFonts w:cstheme="majorHAnsi"/>
          <w:color w:val="000000" w:themeColor="text1"/>
          <w:highlight w:val="yellow"/>
        </w:rPr>
        <w:t>I am dissatisfied to hear that even when given a tool to look at the anatomy of the vocal function, that terminology of a vocal register remained the same as the 17</w:t>
      </w:r>
      <w:r w:rsidRPr="00AA2326">
        <w:rPr>
          <w:rFonts w:cstheme="majorHAnsi"/>
          <w:color w:val="000000" w:themeColor="text1"/>
          <w:highlight w:val="yellow"/>
          <w:vertAlign w:val="superscript"/>
        </w:rPr>
        <w:t>th</w:t>
      </w:r>
      <w:r w:rsidRPr="00AA2326">
        <w:rPr>
          <w:rFonts w:cstheme="majorHAnsi"/>
          <w:color w:val="000000" w:themeColor="text1"/>
          <w:highlight w:val="yellow"/>
        </w:rPr>
        <w:t xml:space="preserve"> century. There was a window of opportunity to develop a mechanical terminology that reflects honestly, the action of a vocal register. Dimon may offer a more comprehensive insight however, Garcia it would appear, understood the process at the time, so why the terminology did not develop is a mystery I intend </w:t>
      </w:r>
      <w:commentRangeStart w:id="2"/>
      <w:r w:rsidRPr="00AA2326">
        <w:rPr>
          <w:rFonts w:cstheme="majorHAnsi"/>
          <w:color w:val="000000" w:themeColor="text1"/>
          <w:highlight w:val="yellow"/>
        </w:rPr>
        <w:t>ascertain</w:t>
      </w:r>
      <w:commentRangeEnd w:id="2"/>
      <w:r w:rsidR="00AA2326">
        <w:rPr>
          <w:rStyle w:val="CommentReference"/>
        </w:rPr>
        <w:commentReference w:id="2"/>
      </w:r>
      <w:r w:rsidRPr="00E93A5B">
        <w:rPr>
          <w:rFonts w:cstheme="majorHAnsi"/>
          <w:color w:val="000000" w:themeColor="text1"/>
        </w:rPr>
        <w:t>.</w:t>
      </w:r>
    </w:p>
    <w:p w14:paraId="07D786F4" w14:textId="77777777" w:rsidR="00FB619B" w:rsidRPr="00E93A5B" w:rsidRDefault="00FB619B" w:rsidP="00FB619B">
      <w:pPr>
        <w:pStyle w:val="NoSpacing"/>
        <w:rPr>
          <w:rFonts w:cstheme="majorHAnsi"/>
          <w:color w:val="000000" w:themeColor="text1"/>
        </w:rPr>
      </w:pPr>
    </w:p>
    <w:p w14:paraId="7260EE84" w14:textId="77777777" w:rsidR="00FB619B" w:rsidRPr="00E93A5B" w:rsidRDefault="00FB619B" w:rsidP="00FB619B">
      <w:pPr>
        <w:rPr>
          <w:rFonts w:cstheme="majorHAnsi"/>
          <w:color w:val="000000" w:themeColor="text1"/>
        </w:rPr>
      </w:pPr>
      <w:r w:rsidRPr="00E93A5B">
        <w:rPr>
          <w:rFonts w:cstheme="majorHAnsi"/>
          <w:color w:val="000000" w:themeColor="text1"/>
        </w:rPr>
        <w:t>It was not until the 19</w:t>
      </w:r>
      <w:r w:rsidRPr="00E93A5B">
        <w:rPr>
          <w:rFonts w:cstheme="majorHAnsi"/>
          <w:color w:val="000000" w:themeColor="text1"/>
          <w:vertAlign w:val="superscript"/>
        </w:rPr>
        <w:t>th</w:t>
      </w:r>
      <w:r w:rsidRPr="00E93A5B">
        <w:rPr>
          <w:rFonts w:cstheme="majorHAnsi"/>
          <w:color w:val="000000" w:themeColor="text1"/>
        </w:rPr>
        <w:t xml:space="preserve"> century that terminology began to develop and differentiate between genders “Merkel (1873) wrote of chest and falsetto registers in men” </w:t>
      </w:r>
      <w:r w:rsidRPr="00E93A5B">
        <w:rPr>
          <w:rFonts w:cstheme="majorHAnsi"/>
          <w:color w:val="000000" w:themeColor="text1"/>
        </w:rPr>
        <w:fldChar w:fldCharType="begin" w:fldLock="1"/>
      </w:r>
      <w:r w:rsidRPr="00E93A5B">
        <w:rPr>
          <w:rFonts w:cstheme="majorHAnsi"/>
          <w:color w:val="000000" w:themeColor="text1"/>
        </w:rPr>
        <w:instrText>ADDIN CSL_CITATION {"citationItems":[{"id":"ITEM-1","itemData":{"abstract":"This paper analyzes and evaluates several explicit and implicit assumptions that are embedded in the concepts, terminologies, and practices related to vocal registers. A reconciliation of the varied and conflicting register concepts, terminologies, and practices is proposed, including: 1. a brief historical context of vocal registers, 2. a documented science-based theory that accounts for vocal register phenomena from perceptual, physiological, and acoustical perspectives, 3. criteria for selection of science-based categorical word labels for register phenomena and suggested colloquial English terms that meet the criteria, 4. how the theory can be beneficially applied to the learning of efficient, skilled singing and speaking when guided by music educators, choral conductors, singing teachers, speech teachers, theatre directors, and when applied to therapeutic clinical settings.","author":[{"dropping-particle":"","family":"Thurman","given":"Leon","non-dropping-particle":"","parse-names":false,"suffix":""},{"dropping-particle":"","family":"Welch","given":"Graham","non-dropping-particle":"","parse-names":false,"suffix":""},{"dropping-particle":"","family":"Theimer","given":"Axel","non-dropping-particle":"","parse-names":false,"suffix":""},{"dropping-particle":"","family":"Klitzke","given":"Carol","non-dropping-particle":"","parse-names":false,"suffix":""}],"container-title":"The Phsiology and Acoustics of Singing National CenTer for Voice and Speech","id":"ITEM-1","issued":{"date-parts":[["2004"]]},"page":"1-64","publisher-place":"Denvor, Colorado, USA","title":"Addressing Vocal Register Discrepancies: An Alternative, Science-Based Theory of Register Phenomena","type":"paper-conference"},"uris":["http://www.mendeley.com/documents/?uuid=25beb3d0-5cff-4ba4-8969-4e8c9c88ced9"]}],"mendeley":{"formattedCitation":"(Thurman &lt;i&gt;et al.&lt;/i&gt;, 2004)","manualFormatting":"(Thurman et al., 2004, p.4)","plainTextFormattedCitation":"(Thurman et al., 2004)","previouslyFormattedCitation":"(Thurman &lt;i&gt;et al.&lt;/i&gt;, 2004)"},"properties":{"noteIndex":0},"schema":"https://github.com/citation-style-language/schema/raw/master/csl-citation.json"}</w:instrText>
      </w:r>
      <w:r w:rsidRPr="00E93A5B">
        <w:rPr>
          <w:rFonts w:cstheme="majorHAnsi"/>
          <w:color w:val="000000" w:themeColor="text1"/>
        </w:rPr>
        <w:fldChar w:fldCharType="separate"/>
      </w:r>
      <w:r w:rsidRPr="00E93A5B">
        <w:rPr>
          <w:rFonts w:cstheme="majorHAnsi"/>
          <w:noProof/>
          <w:color w:val="000000" w:themeColor="text1"/>
        </w:rPr>
        <w:t xml:space="preserve">(Thurman </w:t>
      </w:r>
      <w:r w:rsidRPr="00E93A5B">
        <w:rPr>
          <w:rFonts w:cstheme="majorHAnsi"/>
          <w:i/>
          <w:noProof/>
          <w:color w:val="000000" w:themeColor="text1"/>
        </w:rPr>
        <w:t>et al.</w:t>
      </w:r>
      <w:r w:rsidRPr="00E93A5B">
        <w:rPr>
          <w:rFonts w:cstheme="majorHAnsi"/>
          <w:noProof/>
          <w:color w:val="000000" w:themeColor="text1"/>
        </w:rPr>
        <w:t>, 2004, p.4)</w:t>
      </w:r>
      <w:r w:rsidRPr="00E93A5B">
        <w:rPr>
          <w:rFonts w:cstheme="majorHAnsi"/>
          <w:color w:val="000000" w:themeColor="text1"/>
        </w:rPr>
        <w:fldChar w:fldCharType="end"/>
      </w:r>
      <w:r w:rsidRPr="00E93A5B">
        <w:rPr>
          <w:rFonts w:cstheme="majorHAnsi"/>
          <w:color w:val="000000" w:themeColor="text1"/>
        </w:rPr>
        <w:t xml:space="preserve"> and this is when, the evolution of the register terminology confusion was activated. </w:t>
      </w:r>
    </w:p>
    <w:p w14:paraId="0BAB40C8" w14:textId="77777777" w:rsidR="00FB619B" w:rsidRPr="00E93A5B" w:rsidRDefault="00FB619B" w:rsidP="00FB619B">
      <w:pPr>
        <w:pStyle w:val="NoSpacing"/>
        <w:rPr>
          <w:rFonts w:cstheme="majorHAnsi"/>
          <w:color w:val="000000" w:themeColor="text1"/>
        </w:rPr>
      </w:pPr>
    </w:p>
    <w:p w14:paraId="43E0F1D4" w14:textId="77777777" w:rsidR="00FB619B" w:rsidRPr="00E93A5B" w:rsidRDefault="00FB619B" w:rsidP="00FB619B">
      <w:pPr>
        <w:widowControl w:val="0"/>
        <w:tabs>
          <w:tab w:val="left" w:pos="220"/>
          <w:tab w:val="left" w:pos="4111"/>
        </w:tabs>
        <w:autoSpaceDE w:val="0"/>
        <w:autoSpaceDN w:val="0"/>
        <w:adjustRightInd w:val="0"/>
        <w:spacing w:after="240"/>
        <w:rPr>
          <w:rFonts w:cstheme="majorHAnsi"/>
        </w:rPr>
      </w:pPr>
      <w:r w:rsidRPr="00E93A5B">
        <w:rPr>
          <w:rFonts w:cstheme="majorHAnsi"/>
        </w:rPr>
        <w:t xml:space="preserve">If science is correct in that the laryngeal behavior is what determines the vocal register then determining a register against a resonance would be deemed </w:t>
      </w:r>
      <w:commentRangeStart w:id="3"/>
      <w:r w:rsidRPr="00E93A5B">
        <w:rPr>
          <w:rFonts w:cstheme="majorHAnsi"/>
        </w:rPr>
        <w:t>incorrect</w:t>
      </w:r>
      <w:commentRangeEnd w:id="3"/>
      <w:r w:rsidR="00432F22">
        <w:rPr>
          <w:rStyle w:val="CommentReference"/>
          <w:rFonts w:eastAsiaTheme="minorEastAsia"/>
          <w:lang w:val="en-US"/>
        </w:rPr>
        <w:commentReference w:id="3"/>
      </w:r>
      <w:r w:rsidRPr="00E93A5B">
        <w:rPr>
          <w:rFonts w:cstheme="majorHAnsi"/>
        </w:rPr>
        <w:t xml:space="preserve">, “Registers originate in laryngeal function” </w:t>
      </w:r>
      <w:r w:rsidRPr="00E93A5B">
        <w:rPr>
          <w:rFonts w:cstheme="majorHAnsi"/>
        </w:rPr>
        <w:fldChar w:fldCharType="begin" w:fldLock="1"/>
      </w:r>
      <w:r w:rsidRPr="00E93A5B">
        <w:rPr>
          <w:rFonts w:cstheme="majorHAnsi"/>
        </w:rPr>
        <w:instrText>ADDIN CSL_CITATION {"citationItems":[{"id":"ITEM-1","itemData":{"abstract":"Diagnosis and Correction of Vocal Faults","author":[{"dropping-particle":"","family":"James C. McKinney","given":"","non-dropping-particle":"","parse-names":false,"suffix":""}],"id":"ITEM-1","issued":{"date-parts":[["1994"]]},"number-of-pages":"93-106","publisher":"Singular Publishing Group","publisher-place":"USA","title":"The Diagnosis and Correction of Vocal Faults: A Manual for Teachers of Singing and for Choir Directors","type":"book"},"uris":["http://www.mendeley.com/documents/?uuid=8c44b9f3-d28e-4ac2-a2ac-72b410723728"]}],"mendeley":{"formattedCitation":"(James C. McKinney, 1994)","manualFormatting":"(James C. McKinney, 1994, p.93)","plainTextFormattedCitation":"(James C. McKinney, 1994)","previouslyFormattedCitation":"(James C. McKinney, 1994)"},"properties":{"noteIndex":0},"schema":"https://github.com/citation-style-language/schema/raw/master/csl-citation.json"}</w:instrText>
      </w:r>
      <w:r w:rsidRPr="00E93A5B">
        <w:rPr>
          <w:rFonts w:cstheme="majorHAnsi"/>
        </w:rPr>
        <w:fldChar w:fldCharType="separate"/>
      </w:r>
      <w:r w:rsidRPr="00E93A5B">
        <w:rPr>
          <w:rFonts w:cstheme="majorHAnsi"/>
          <w:noProof/>
        </w:rPr>
        <w:t>(</w:t>
      </w:r>
      <w:r w:rsidRPr="00E93A5B">
        <w:rPr>
          <w:rFonts w:cs="Arial"/>
          <w:noProof/>
        </w:rPr>
        <w:t>Mckinney,1994,</w:t>
      </w:r>
      <w:r w:rsidRPr="00E93A5B">
        <w:rPr>
          <w:rFonts w:cstheme="majorHAnsi"/>
          <w:noProof/>
        </w:rPr>
        <w:t xml:space="preserve"> p.93)</w:t>
      </w:r>
      <w:r w:rsidRPr="00E93A5B">
        <w:rPr>
          <w:rFonts w:cstheme="majorHAnsi"/>
        </w:rPr>
        <w:fldChar w:fldCharType="end"/>
      </w:r>
      <w:r w:rsidRPr="00E93A5B">
        <w:rPr>
          <w:rFonts w:cstheme="majorHAnsi"/>
        </w:rPr>
        <w:t xml:space="preserve">. With this in mind, I am curious to see if resonance definitions continued to reference the definition of vocal registers after Garcia continued to operate with original terminology even after, physically being able to prove the mechanics. </w:t>
      </w:r>
    </w:p>
    <w:p w14:paraId="27AA1C32" w14:textId="77777777" w:rsidR="00FB619B" w:rsidRPr="00E93A5B" w:rsidRDefault="00FB619B" w:rsidP="00FB619B">
      <w:pPr>
        <w:widowControl w:val="0"/>
        <w:tabs>
          <w:tab w:val="left" w:pos="220"/>
          <w:tab w:val="left" w:pos="4111"/>
        </w:tabs>
        <w:autoSpaceDE w:val="0"/>
        <w:autoSpaceDN w:val="0"/>
        <w:adjustRightInd w:val="0"/>
        <w:spacing w:after="240"/>
        <w:rPr>
          <w:rFonts w:cstheme="majorHAnsi"/>
        </w:rPr>
      </w:pPr>
      <w:r w:rsidRPr="00E93A5B">
        <w:rPr>
          <w:rFonts w:cstheme="majorHAnsi"/>
        </w:rPr>
        <w:t>I will investigate an anatomical reflective definition of what a vocal register ‘really’ is to support with best practice in my studio when teaching vocal registers now that it had been recognised that resonance definition is misleading. I will now compare voice scientists’ descriptions of ‘what is a register’ by aiming to determine patterns of similarity on terminology, honing in on scientific evidence for guidance that I can then develop into my practice.</w:t>
      </w:r>
    </w:p>
    <w:p w14:paraId="44087D42" w14:textId="77777777" w:rsidR="00FB619B" w:rsidRPr="00E93A5B" w:rsidRDefault="00FB619B" w:rsidP="00FB619B">
      <w:pPr>
        <w:widowControl w:val="0"/>
        <w:tabs>
          <w:tab w:val="left" w:pos="220"/>
          <w:tab w:val="left" w:pos="4111"/>
        </w:tabs>
        <w:autoSpaceDE w:val="0"/>
        <w:autoSpaceDN w:val="0"/>
        <w:adjustRightInd w:val="0"/>
        <w:spacing w:after="240"/>
        <w:rPr>
          <w:rFonts w:cstheme="majorHAnsi"/>
        </w:rPr>
      </w:pPr>
      <w:r w:rsidRPr="00E93A5B">
        <w:rPr>
          <w:rFonts w:cstheme="majorHAnsi"/>
        </w:rPr>
        <w:t>Hollien declares a vocal register as a laryngeal event, “a range of consecutively phonated frequencies” (</w:t>
      </w:r>
      <w:r w:rsidRPr="00E93A5B">
        <w:rPr>
          <w:rFonts w:cstheme="majorHAnsi"/>
          <w:noProof/>
        </w:rPr>
        <w:t xml:space="preserve">Hollien,1974, p.125) </w:t>
      </w:r>
      <w:r w:rsidRPr="00E93A5B">
        <w:rPr>
          <w:rFonts w:cstheme="majorHAnsi"/>
        </w:rPr>
        <w:t>that produce “a nearly identical vocal quality” (</w:t>
      </w:r>
      <w:r w:rsidRPr="00E93A5B">
        <w:rPr>
          <w:rFonts w:cstheme="majorHAnsi"/>
          <w:noProof/>
        </w:rPr>
        <w:t xml:space="preserve">Hollien,1974, p.125) </w:t>
      </w:r>
      <w:r w:rsidRPr="00E93A5B">
        <w:rPr>
          <w:rFonts w:cstheme="majorHAnsi"/>
        </w:rPr>
        <w:t xml:space="preserve">believing it should be looked at </w:t>
      </w:r>
      <w:r w:rsidRPr="00E93A5B">
        <w:rPr>
          <w:rFonts w:eastAsia="Times New Roman" w:cstheme="majorHAnsi"/>
          <w:lang w:eastAsia="en-GB"/>
        </w:rPr>
        <w:t xml:space="preserve">operationally, “(1) perceptually, (2) acoustically, (3) physiologically and (4) aerodynamically” (Hollien,1974, P.126). </w:t>
      </w:r>
      <w:r w:rsidRPr="00E93A5B">
        <w:rPr>
          <w:rFonts w:eastAsia="Times New Roman" w:cstheme="majorHAnsi"/>
          <w:shd w:val="clear" w:color="auto" w:fill="FFFFFF"/>
        </w:rPr>
        <w:t>The approach Hollien foresaw is similar to that used by other researchers in the 20</w:t>
      </w:r>
      <w:r w:rsidRPr="00E93A5B">
        <w:rPr>
          <w:rFonts w:eastAsia="Times New Roman" w:cstheme="majorHAnsi"/>
          <w:shd w:val="clear" w:color="auto" w:fill="FFFFFF"/>
          <w:vertAlign w:val="superscript"/>
        </w:rPr>
        <w:t xml:space="preserve">th </w:t>
      </w:r>
      <w:r w:rsidRPr="00E93A5B">
        <w:rPr>
          <w:rFonts w:eastAsia="Times New Roman" w:cstheme="majorHAnsi"/>
          <w:shd w:val="clear" w:color="auto" w:fill="FFFFFF"/>
        </w:rPr>
        <w:t xml:space="preserve">century who </w:t>
      </w:r>
      <w:r w:rsidRPr="00E93A5B">
        <w:rPr>
          <w:rFonts w:cstheme="majorHAnsi"/>
        </w:rPr>
        <w:t xml:space="preserve">have gathered a homogenous overview on the meaning of a vocal register in that they believe it to be similar tones driven by the same mechanical drive </w:t>
      </w:r>
      <w:r w:rsidRPr="00E93A5B">
        <w:rPr>
          <w:rFonts w:cstheme="majorHAnsi"/>
        </w:rPr>
        <w:fldChar w:fldCharType="begin" w:fldLock="1"/>
      </w:r>
      <w:r w:rsidRPr="00E93A5B">
        <w:rPr>
          <w:rFonts w:cstheme="majorHAnsi"/>
        </w:rPr>
        <w:instrText>ADDIN CSL_CITATION {"citationItems":[{"id":"ITEM-1","itemData":{"DOI":"10.1093/oxfordhb/9780199660773.013.011","ISBN":"9780199660773","author":[{"dropping-particle":"","family":"Herbst","given":"Christian T.","non-dropping-particle":"","parse-names":false,"suffix":""},{"dropping-particle":"","family":"Howard","given":"David M.","non-dropping-particle":"","parse-names":false,"suffix":""},{"dropping-particle":"","family":"Švec","given":"Jan G.","non-dropping-particle":"","parse-names":false,"suffix":""},{"dropping-particle":"","family":"Herbst","given":"Christian T.","non-dropping-particle":"","parse-names":false,"suffix":""},{"dropping-particle":"","family":"Howard","given":"David M.","non-dropping-particle":"","parse-names":false,"suffix":""},{"dropping-particle":"","family":"Švec","given":"Jan G.","non-dropping-particle":"","parse-names":false,"suffix":""}],"container-title":"The Oxford Handbook of Singing","id":"ITEM-1","issue":"January 2016","issued":{"date-parts":[["2019"]]},"page":"108-144","title":"The Sound Source in Singing","type":"article-journal"},"uris":["http://www.mendeley.com/documents/?uuid=e7891172-fce7-4ca0-8aab-24762d73f965"]}],"mendeley":{"formattedCitation":"(Herbst &lt;i&gt;et al.&lt;/i&gt;, 2019)","plainTextFormattedCitation":"(Herbst et al., 2019)","previouslyFormattedCitation":"(Herbst &lt;i&gt;et al.&lt;/i&gt;, 2019)"},"properties":{"noteIndex":0},"schema":"https://github.com/citation-style-language/schema/raw/master/csl-citation.json"}</w:instrText>
      </w:r>
      <w:r w:rsidRPr="00E93A5B">
        <w:rPr>
          <w:rFonts w:cstheme="majorHAnsi"/>
        </w:rPr>
        <w:fldChar w:fldCharType="separate"/>
      </w:r>
      <w:r w:rsidRPr="00E93A5B">
        <w:rPr>
          <w:rFonts w:cstheme="majorHAnsi"/>
          <w:noProof/>
        </w:rPr>
        <w:t xml:space="preserve">(Herbst </w:t>
      </w:r>
      <w:r w:rsidRPr="00E93A5B">
        <w:rPr>
          <w:rFonts w:cstheme="majorHAnsi"/>
          <w:i/>
          <w:noProof/>
        </w:rPr>
        <w:t>et al.</w:t>
      </w:r>
      <w:r w:rsidRPr="00E93A5B">
        <w:rPr>
          <w:rFonts w:cstheme="majorHAnsi"/>
          <w:noProof/>
        </w:rPr>
        <w:t>, 2019)</w:t>
      </w:r>
      <w:r w:rsidRPr="00E93A5B">
        <w:rPr>
          <w:rFonts w:cstheme="majorHAnsi"/>
        </w:rPr>
        <w:fldChar w:fldCharType="end"/>
      </w:r>
      <w:r w:rsidRPr="00E93A5B">
        <w:rPr>
          <w:rFonts w:cstheme="majorHAnsi"/>
        </w:rPr>
        <w:t xml:space="preserve"> and as such believe in four vocal registers; vocal fry, chest, falsetto and whistle register. </w:t>
      </w:r>
    </w:p>
    <w:p w14:paraId="14BA37AD" w14:textId="77777777" w:rsidR="00FB619B" w:rsidRPr="00E93A5B" w:rsidRDefault="00FB619B" w:rsidP="00FB619B">
      <w:pPr>
        <w:widowControl w:val="0"/>
        <w:tabs>
          <w:tab w:val="left" w:pos="220"/>
          <w:tab w:val="left" w:pos="4111"/>
        </w:tabs>
        <w:autoSpaceDE w:val="0"/>
        <w:autoSpaceDN w:val="0"/>
        <w:adjustRightInd w:val="0"/>
        <w:spacing w:after="240"/>
        <w:rPr>
          <w:rFonts w:cstheme="majorHAnsi"/>
        </w:rPr>
      </w:pPr>
      <w:r w:rsidRPr="00E93A5B">
        <w:rPr>
          <w:rFonts w:cstheme="majorHAnsi"/>
        </w:rPr>
        <w:t>Sundberg, claimed there is no clear definition of a vocal register but that there is a “common description” (Sundberg, 1987, p.49) and that is a “phonation frequency range” (Sundberg, 1987, p.49) meaning that frequency, produced similarly, that has the same character (Sundberg, 1987, p.49).</w:t>
      </w:r>
    </w:p>
    <w:p w14:paraId="46F6B480" w14:textId="77777777" w:rsidR="00FB619B" w:rsidRPr="00E93A5B" w:rsidRDefault="00FB619B" w:rsidP="00FB619B">
      <w:pPr>
        <w:widowControl w:val="0"/>
        <w:tabs>
          <w:tab w:val="left" w:pos="4111"/>
        </w:tabs>
        <w:autoSpaceDE w:val="0"/>
        <w:autoSpaceDN w:val="0"/>
        <w:adjustRightInd w:val="0"/>
        <w:spacing w:after="240"/>
        <w:rPr>
          <w:rFonts w:cstheme="majorHAnsi"/>
        </w:rPr>
      </w:pPr>
      <w:r w:rsidRPr="00E93A5B">
        <w:rPr>
          <w:rFonts w:cstheme="majorHAnsi"/>
        </w:rPr>
        <w:t xml:space="preserve">“Vocal registers arise from the different vibratory patterns produced by the vocal cords” </w:t>
      </w:r>
      <w:r w:rsidRPr="00E93A5B">
        <w:rPr>
          <w:rFonts w:cstheme="majorHAnsi"/>
        </w:rPr>
        <w:fldChar w:fldCharType="begin" w:fldLock="1"/>
      </w:r>
      <w:r w:rsidRPr="00E93A5B">
        <w:rPr>
          <w:rFonts w:cstheme="majorHAnsi"/>
        </w:rPr>
        <w:instrText>ADDIN CSL_CITATION {"citationItems":[{"id":"ITEM-1","itemData":{"abstract":"Diagnosis and Correction of Vocal Faults","author":[{"dropping-particle":"","family":"James C. McKinney","given":"","non-dropping-particle":"","parse-names":false,"suffix":""}],"id":"ITEM-1","issued":{"date-parts":[["1994"]]},"number-of-pages":"93-106","publisher":"Singular Publishing Group","publisher-place":"USA","title":"The Diagnosis and Correction of Vocal Faults: A Manual for Teachers of Singing and for Choir Directors","type":"book"},"uris":["http://www.mendeley.com/documents/?uuid=8c44b9f3-d28e-4ac2-a2ac-72b410723728"]}],"mendeley":{"formattedCitation":"(James C. McKinney, 1994)","manualFormatting":"(James C. McKinney, 1994, p.94)","plainTextFormattedCitation":"(James C. McKinney, 1994)","previouslyFormattedCitation":"(James C. McKinney, 1994)"},"properties":{"noteIndex":0},"schema":"https://github.com/citation-style-language/schema/raw/master/csl-citation.json"}</w:instrText>
      </w:r>
      <w:r w:rsidRPr="00E93A5B">
        <w:rPr>
          <w:rFonts w:cstheme="majorHAnsi"/>
        </w:rPr>
        <w:fldChar w:fldCharType="separate"/>
      </w:r>
      <w:r w:rsidRPr="00E93A5B">
        <w:rPr>
          <w:rFonts w:cstheme="majorHAnsi"/>
          <w:noProof/>
        </w:rPr>
        <w:t>(Mckinney,1994, p.94)</w:t>
      </w:r>
      <w:r w:rsidRPr="00E93A5B">
        <w:rPr>
          <w:rFonts w:cstheme="majorHAnsi"/>
        </w:rPr>
        <w:fldChar w:fldCharType="end"/>
      </w:r>
      <w:r w:rsidRPr="00E93A5B">
        <w:rPr>
          <w:rFonts w:cstheme="majorHAnsi"/>
        </w:rPr>
        <w:t xml:space="preserve">. As technology developed over time, acoustic and aerodynamic studies have allowed us a greater understanding into the world of registers, “The term ‘register’ has been defined as a series of tones and frequencies that are perceived to be of similar vocal quality” </w:t>
      </w:r>
      <w:r w:rsidRPr="00E93A5B">
        <w:rPr>
          <w:rFonts w:cstheme="majorHAnsi"/>
        </w:rPr>
        <w:fldChar w:fldCharType="begin" w:fldLock="1"/>
      </w:r>
      <w:r w:rsidRPr="00E93A5B">
        <w:rPr>
          <w:rFonts w:cstheme="majorHAnsi"/>
        </w:rPr>
        <w:instrText>ADDIN CSL_CITATION {"citationItems":[{"id":"ITEM-1","itemData":{"DOI":"10.1016/j.jvoice.2014.01.017","ISSN":"18734588","abstract":"Hypothesis. Headmix and head registers use cricothyroid (CT) muscle dominant voicing, whereas chest and chestmix registers use thyroarytenoid (TA) muscle dominant voicing. Study Design. Cross-sectional study. Methods. CT and TA electromyographic data obtained from five untrained singers and two trained singers were analyzed to determine CT and TA muscle dominance as a function of register. Simultaneous recordings of TA and CT muscle activity and audio were obtained during production of pitch glides and a variety of midrange and upper pitches in chest, chestmix, headmix, and head registers. Results. TA dominant phonation was only observed for chest productions and headmix/head register productions below 300 Hz. All phonation above 300 Hz, regardless of register, showed CT:TA muscle activity ratios that were CT dominant or close to 1, indicating nearly equal CTand TA muscle activity. This was true for all subjects on all vocal tasks. For the subjects sampled in this study, pitch level appeared to have a greater effect on TA and CT muscle dominance than vocal register. Conclusion. Preliminary findings regarding CTand TA dominance and register control do not support the assumption that all chest and chestmix production has greater TA muscle activity than CT muscle activity or that all headmix and head production require greater CT muscle activity than TA muscle activity. The data indicate that pitch level may play a greater role in determining TA and CT dominance than register.","author":[{"dropping-particle":"","family":"Kochis-Jennings","given":"Karen Ann","non-dropping-particle":"","parse-names":false,"suffix":""},{"dropping-particle":"","family":"Finnegan","given":"Eileen M.","non-dropping-particle":"","parse-names":false,"suffix":""},{"dropping-particle":"","family":"Hoffman","given":"Henry T.","non-dropping-particle":"","parse-names":false,"suffix":""},{"dropping-particle":"","family":"Jaiswal","given":"Sanyukta","non-dropping-particle":"","parse-names":false,"suffix":""},{"dropping-particle":"","family":"Hull","given":"Darcey","non-dropping-particle":"","parse-names":false,"suffix":""}],"container-title":"Journal of Voice","id":"ITEM-1","issue":"5","issued":{"date-parts":[["2014"]]},"page":"652.e21-652.e29","publisher":"Elsevier","title":"Cricothyroid muscle and thyroarytenoid muscle dominance in vocal register control: preliminary results","type":"article-journal","volume":"28"},"uris":["http://www.mendeley.com/documents/?uuid=a970d1a6-320f-4924-842b-a4965262d4a6"]}],"mendeley":{"formattedCitation":"(Kochis-Jennings &lt;i&gt;et al.&lt;/i&gt;, 2014)","manualFormatting":"(Kochis-Jennings et al., 2014,P.652.e21)","plainTextFormattedCitation":"(Kochis-Jennings et al., 2014)","previouslyFormattedCitation":"(Kochis-Jennings &lt;i&gt;et al.&lt;/i&gt;, 2014)"},"properties":{"noteIndex":0},"schema":"https://github.com/citation-style-language/schema/raw/master/csl-citation.json"}</w:instrText>
      </w:r>
      <w:r w:rsidRPr="00E93A5B">
        <w:rPr>
          <w:rFonts w:cstheme="majorHAnsi"/>
        </w:rPr>
        <w:fldChar w:fldCharType="separate"/>
      </w:r>
      <w:r w:rsidRPr="00E93A5B">
        <w:rPr>
          <w:rFonts w:cstheme="majorHAnsi"/>
          <w:noProof/>
        </w:rPr>
        <w:t xml:space="preserve">(Kochis-Jennings </w:t>
      </w:r>
      <w:r w:rsidRPr="00E93A5B">
        <w:rPr>
          <w:rFonts w:cstheme="majorHAnsi"/>
          <w:i/>
          <w:noProof/>
        </w:rPr>
        <w:t>et al.</w:t>
      </w:r>
      <w:r w:rsidRPr="00E93A5B">
        <w:rPr>
          <w:rFonts w:cstheme="majorHAnsi"/>
          <w:noProof/>
        </w:rPr>
        <w:t>, 2014,P.652.e21)</w:t>
      </w:r>
      <w:r w:rsidRPr="00E93A5B">
        <w:rPr>
          <w:rFonts w:cstheme="majorHAnsi"/>
        </w:rPr>
        <w:fldChar w:fldCharType="end"/>
      </w:r>
      <w:r w:rsidRPr="00E93A5B">
        <w:rPr>
          <w:rFonts w:cstheme="majorHAnsi"/>
        </w:rPr>
        <w:t xml:space="preserve"> and with new electroglottography ( EGG ) technology, it has allowed us to be closer to understanding certain types of registers such as; chest, falsetto and glottal fry </w:t>
      </w:r>
      <w:r w:rsidRPr="00E93A5B">
        <w:rPr>
          <w:rFonts w:cstheme="majorHAnsi"/>
        </w:rPr>
        <w:fldChar w:fldCharType="begin" w:fldLock="1"/>
      </w:r>
      <w:r w:rsidRPr="00E93A5B">
        <w:rPr>
          <w:rFonts w:cstheme="majorHAnsi"/>
        </w:rPr>
        <w:instrText>ADDIN CSL_CITATION {"citationItems":[{"id":"ITEM-1","itemData":{"DOI":"10.1016/j.jvoice.2014.01.017","ISSN":"18734588","abstract":"Hypothesis. Headmix and head registers use cricothyroid (CT) muscle dominant voicing, whereas chest and chestmix registers use thyroarytenoid (TA) muscle dominant voicing. Study Design. Cross-sectional study. Methods. CT and TA electromyographic data obtained from five untrained singers and two trained singers were analyzed to determine CT and TA muscle dominance as a function of register. Simultaneous recordings of TA and CT muscle activity and audio were obtained during production of pitch glides and a variety of midrange and upper pitches in chest, chestmix, headmix, and head registers. Results. TA dominant phonation was only observed for chest productions and headmix/head register productions below 300 Hz. All phonation above 300 Hz, regardless of register, showed CT:TA muscle activity ratios that were CT dominant or close to 1, indicating nearly equal CTand TA muscle activity. This was true for all subjects on all vocal tasks. For the subjects sampled in this study, pitch level appeared to have a greater effect on TA and CT muscle dominance than vocal register. Conclusion. Preliminary findings regarding CTand TA dominance and register control do not support the assumption that all chest and chestmix production has greater TA muscle activity than CT muscle activity or that all headmix and head production require greater CT muscle activity than TA muscle activity. The data indicate that pitch level may play a greater role in determining TA and CT dominance than register.","author":[{"dropping-particle":"","family":"Kochis-Jennings","given":"Karen Ann","non-dropping-particle":"","parse-names":false,"suffix":""},{"dropping-particle":"","family":"Finnegan","given":"Eileen M.","non-dropping-particle":"","parse-names":false,"suffix":""},{"dropping-particle":"","family":"Hoffman","given":"Henry T.","non-dropping-particle":"","parse-names":false,"suffix":""},{"dropping-particle":"","family":"Jaiswal","given":"Sanyukta","non-dropping-particle":"","parse-names":false,"suffix":""},{"dropping-particle":"","family":"Hull","given":"Darcey","non-dropping-particle":"","parse-names":false,"suffix":""}],"container-title":"Journal of Voice","id":"ITEM-1","issue":"5","issued":{"date-parts":[["2014"]]},"page":"652.e21-652.e29","publisher":"Elsevier","title":"Cricothyroid muscle and thyroarytenoid muscle dominance in vocal register control: preliminary results","type":"article-journal","volume":"28"},"uris":["http://www.mendeley.com/documents/?uuid=a970d1a6-320f-4924-842b-a4965262d4a6"]}],"mendeley":{"formattedCitation":"(Kochis-Jennings &lt;i&gt;et al.&lt;/i&gt;, 2014)","plainTextFormattedCitation":"(Kochis-Jennings et al., 2014)","previouslyFormattedCitation":"(Kochis-Jennings &lt;i&gt;et al.&lt;/i&gt;, 2014)"},"properties":{"noteIndex":0},"schema":"https://github.com/citation-style-language/schema/raw/master/csl-citation.json"}</w:instrText>
      </w:r>
      <w:r w:rsidRPr="00E93A5B">
        <w:rPr>
          <w:rFonts w:cstheme="majorHAnsi"/>
        </w:rPr>
        <w:fldChar w:fldCharType="separate"/>
      </w:r>
      <w:r w:rsidRPr="00E93A5B">
        <w:rPr>
          <w:rFonts w:cstheme="majorHAnsi"/>
          <w:noProof/>
        </w:rPr>
        <w:t xml:space="preserve">(Kochis-Jennings </w:t>
      </w:r>
      <w:r w:rsidRPr="00E93A5B">
        <w:rPr>
          <w:rFonts w:cstheme="majorHAnsi"/>
          <w:i/>
          <w:noProof/>
        </w:rPr>
        <w:t>et al.</w:t>
      </w:r>
      <w:r w:rsidRPr="00E93A5B">
        <w:rPr>
          <w:rFonts w:cstheme="majorHAnsi"/>
          <w:noProof/>
        </w:rPr>
        <w:t>, 2014)</w:t>
      </w:r>
      <w:r w:rsidRPr="00E93A5B">
        <w:rPr>
          <w:rFonts w:cstheme="majorHAnsi"/>
        </w:rPr>
        <w:fldChar w:fldCharType="end"/>
      </w:r>
      <w:r w:rsidRPr="00E93A5B">
        <w:rPr>
          <w:rFonts w:cstheme="majorHAnsi"/>
        </w:rPr>
        <w:t xml:space="preserve">.  </w:t>
      </w:r>
    </w:p>
    <w:p w14:paraId="01776560" w14:textId="77777777" w:rsidR="00FB619B" w:rsidRPr="00E93A5B" w:rsidRDefault="00FB619B" w:rsidP="00FB619B">
      <w:pPr>
        <w:rPr>
          <w:rFonts w:eastAsia="Times New Roman" w:cstheme="majorHAnsi"/>
          <w:lang w:eastAsia="en-GB"/>
        </w:rPr>
      </w:pPr>
      <w:r w:rsidRPr="00E93A5B">
        <w:rPr>
          <w:rFonts w:cstheme="majorHAnsi"/>
        </w:rPr>
        <w:t xml:space="preserve">At this stage in my research, it is clear to determine that </w:t>
      </w:r>
      <w:r w:rsidRPr="00E93A5B">
        <w:rPr>
          <w:rFonts w:eastAsia="Times New Roman" w:cstheme="majorHAnsi"/>
          <w:lang w:eastAsia="en-GB"/>
        </w:rPr>
        <w:t xml:space="preserve">voice register terminology is confusing </w:t>
      </w:r>
      <w:r w:rsidRPr="00E93A5B">
        <w:rPr>
          <w:rFonts w:cstheme="majorHAnsi"/>
        </w:rPr>
        <w:t xml:space="preserve">(Sundberg,1987). Most commonly, three registers are used; chest, middle and head register (Sundberg,1987) which, is the register terminology I currently use, passed down by word of mouth from teachers and singers around me. </w:t>
      </w:r>
      <w:r w:rsidRPr="00E93A5B">
        <w:rPr>
          <w:rFonts w:eastAsia="Times New Roman" w:cstheme="majorHAnsi"/>
          <w:lang w:eastAsia="en-GB"/>
        </w:rPr>
        <w:t xml:space="preserve">I am seeing a pattern on general agreement amongst voice scientists in that when a singer ‘moves through pitch range and qualities’ (Shewell,2009, p.174) it is understood that this is due to the vocal fold vibration and not the resonance chamber, on where vibration is felt in the body, so I will explore this further to gain a deeper insight to see if I can make sense of why such terminology is used to date, </w:t>
      </w:r>
      <w:r w:rsidRPr="00E93A5B">
        <w:rPr>
          <w:rFonts w:cstheme="majorHAnsi"/>
        </w:rPr>
        <w:t>to support with my discovery into becoming more anatomically knowledgeable.</w:t>
      </w:r>
    </w:p>
    <w:p w14:paraId="5C78C34E" w14:textId="77777777" w:rsidR="00FB619B" w:rsidRPr="00E93A5B" w:rsidRDefault="00FB619B" w:rsidP="00FB619B">
      <w:pPr>
        <w:rPr>
          <w:rFonts w:cstheme="majorHAnsi"/>
        </w:rPr>
      </w:pPr>
    </w:p>
    <w:p w14:paraId="1FE9605B" w14:textId="77777777" w:rsidR="00FB619B" w:rsidRPr="00E93A5B" w:rsidRDefault="00FB619B" w:rsidP="00FB619B">
      <w:pPr>
        <w:widowControl w:val="0"/>
        <w:tabs>
          <w:tab w:val="left" w:pos="220"/>
          <w:tab w:val="left" w:pos="4111"/>
        </w:tabs>
        <w:autoSpaceDE w:val="0"/>
        <w:autoSpaceDN w:val="0"/>
        <w:adjustRightInd w:val="0"/>
        <w:spacing w:after="240"/>
        <w:rPr>
          <w:rFonts w:cstheme="majorHAnsi"/>
        </w:rPr>
      </w:pPr>
      <w:r w:rsidRPr="00E93A5B">
        <w:rPr>
          <w:rFonts w:cstheme="majorHAnsi"/>
        </w:rPr>
        <w:t xml:space="preserve">Evolution has formed upper folds (exit valves) that are downturned, preventing air from exiting the lungs and lower folds that are upturned preventing air coming into the lungs. The evolutionary development in the thyroartytenoid muscle meant that the Larynx could produce sound as an outcome because the lower folds (vocal folds) can vibrate freely, it allows more control to be able to produce “a greater range of pitches, volume, and different thickness, or registers” (Dimon, 2008). </w:t>
      </w:r>
    </w:p>
    <w:p w14:paraId="572239E8" w14:textId="77777777" w:rsidR="00FB619B" w:rsidRPr="00E93A5B" w:rsidRDefault="00FB619B" w:rsidP="00FB619B">
      <w:pPr>
        <w:rPr>
          <w:rFonts w:eastAsia="Times New Roman" w:cstheme="majorHAnsi"/>
        </w:rPr>
      </w:pPr>
      <w:r w:rsidRPr="00E93A5B">
        <w:rPr>
          <w:rFonts w:eastAsia="Times New Roman" w:cstheme="majorHAnsi"/>
        </w:rPr>
        <w:t xml:space="preserve">With this in mind, it is imperative that I question if the sound produced, if it is the same for everyone or do anatomical factors have different effects for each </w:t>
      </w:r>
      <w:commentRangeStart w:id="4"/>
      <w:r w:rsidRPr="00E93A5B">
        <w:rPr>
          <w:rFonts w:eastAsia="Times New Roman" w:cstheme="majorHAnsi"/>
        </w:rPr>
        <w:t>person</w:t>
      </w:r>
      <w:commentRangeEnd w:id="4"/>
      <w:r w:rsidR="00432F22">
        <w:rPr>
          <w:rStyle w:val="CommentReference"/>
          <w:rFonts w:eastAsiaTheme="minorEastAsia"/>
          <w:lang w:val="en-US"/>
        </w:rPr>
        <w:commentReference w:id="4"/>
      </w:r>
      <w:r w:rsidRPr="00E93A5B">
        <w:rPr>
          <w:rFonts w:eastAsia="Times New Roman" w:cstheme="majorHAnsi"/>
        </w:rPr>
        <w:t>?</w:t>
      </w:r>
    </w:p>
    <w:p w14:paraId="5714519F" w14:textId="77777777" w:rsidR="00FB619B" w:rsidRPr="00E93A5B" w:rsidRDefault="00FB619B" w:rsidP="00FB619B">
      <w:pPr>
        <w:rPr>
          <w:rFonts w:eastAsia="Times New Roman" w:cstheme="majorHAnsi"/>
        </w:rPr>
      </w:pPr>
    </w:p>
    <w:p w14:paraId="418C2085" w14:textId="77777777" w:rsidR="00FB619B" w:rsidRPr="00E93A5B" w:rsidRDefault="00FB619B" w:rsidP="00FB619B">
      <w:pPr>
        <w:widowControl w:val="0"/>
        <w:tabs>
          <w:tab w:val="left" w:pos="220"/>
          <w:tab w:val="left" w:pos="4111"/>
        </w:tabs>
        <w:autoSpaceDE w:val="0"/>
        <w:autoSpaceDN w:val="0"/>
        <w:adjustRightInd w:val="0"/>
        <w:spacing w:after="240"/>
        <w:rPr>
          <w:rFonts w:cstheme="majorHAnsi"/>
        </w:rPr>
      </w:pPr>
      <w:r w:rsidRPr="00E93A5B">
        <w:rPr>
          <w:rFonts w:eastAsia="Times New Roman" w:cstheme="majorHAnsi"/>
        </w:rPr>
        <w:t xml:space="preserve">Thick vocal fold edges with a ‘longish closed phase’ </w:t>
      </w:r>
      <w:r w:rsidRPr="00E93A5B">
        <w:rPr>
          <w:rFonts w:eastAsia="Times New Roman" w:cstheme="majorHAnsi"/>
          <w:lang w:eastAsia="en-GB"/>
        </w:rPr>
        <w:t>(Shewell,2009, p.174) will produce a rich sound ‘chest’ registers and a softer, lighter sound is the result of thinner vocal folds often referred to as ‘head’ registers (Shewell,2009, p.174) which, to me, does make sense, I can hear when a student talks before they sing if they have a thick or a thin vocal fold.</w:t>
      </w:r>
      <w:r w:rsidRPr="00E93A5B">
        <w:rPr>
          <w:rFonts w:cstheme="majorHAnsi"/>
        </w:rPr>
        <w:t xml:space="preserve"> In 1995, physiologist </w:t>
      </w:r>
      <w:r w:rsidRPr="00E93A5B">
        <w:rPr>
          <w:rFonts w:eastAsia="Times New Roman" w:cstheme="majorHAnsi"/>
          <w:bCs/>
        </w:rPr>
        <w:t xml:space="preserve">Johannes Müller through anatomical and physiological study explained that </w:t>
      </w:r>
      <w:r w:rsidRPr="00E93A5B">
        <w:rPr>
          <w:rFonts w:cstheme="majorHAnsi"/>
        </w:rPr>
        <w:t xml:space="preserve">“in chest phonation the vocal folds are thick, the vibratory amplitude is large, and the glottal closure is complete” </w:t>
      </w:r>
      <w:r w:rsidRPr="00E93A5B">
        <w:rPr>
          <w:rFonts w:cstheme="majorHAnsi"/>
        </w:rPr>
        <w:fldChar w:fldCharType="begin" w:fldLock="1"/>
      </w:r>
      <w:r w:rsidRPr="00E93A5B">
        <w:rPr>
          <w:rFonts w:cstheme="majorHAnsi"/>
        </w:rPr>
        <w:instrText>ADDIN CSL_CITATION {"citationItems":[{"id":"ITEM-1","itemData":{"DOI":"10.1016/S0892-1997(05)80224-3","ISSN":"08921997","abstract":"Register shift between the chest and falsetto register is generally studied in the higher-than-speaking pitch range. However, a similar difference can also be produced at speaking pitch level. The shift from breathy \"falsetto\" phonation to normal chest voice phonation was studied in normal female (pitch range 170-180 Hz) and male (pitch range 94-110 Hz) subjects. The phonations gliding from falsetto to normal chest voice were analyzed using iterative adaptive inverse filtering and electroglottography. Both trained and untrained, as well as female and male subjects, were able to produce an abrupt register shift from soft falsetto to soft chest register phonation. The differences between male and female speakers in the glottal flow waveforms were smaller than expected. The register shift is interpreted in terms of a \"critical mass\" concept of chest register phonation. © 1995 Raven Press, Ltd., New York.","author":[{"dropping-particle":"","family":"Vilkman","given":"E.","non-dropping-particle":"","parse-names":false,"suffix":""},{"dropping-particle":"","family":"Alku","given":"P.","non-dropping-particle":"","parse-names":false,"suffix":""},{"dropping-particle":"","family":"Laukkanen","given":"A. M.","non-dropping-particle":"","parse-names":false,"suffix":""}],"container-title":"Journal of Voice","id":"ITEM-1","issue":"1","issued":{"date-parts":[["1995"]]},"page":"66-73","title":"Vocal-fold Collision Mass as a Differentiator between Registers in the Low-pitch Range","type":"article-journal","volume":"9"},"uris":["http://www.mendeley.com/documents/?uuid=e18c0d5b-e0aa-4596-b5a7-7b14e23e61b4"]}],"mendeley":{"formattedCitation":"(Vilkman, Alku and Laukkanen, 1995)","manualFormatting":"(Vilkman, Alku and Laukkanen, 1995, p.66)","plainTextFormattedCitation":"(Vilkman, Alku and Laukkanen, 1995)","previouslyFormattedCitation":"(Vilkman, Alku and Laukkanen, 1995)"},"properties":{"noteIndex":0},"schema":"https://github.com/citation-style-language/schema/raw/master/csl-citation.json"}</w:instrText>
      </w:r>
      <w:r w:rsidRPr="00E93A5B">
        <w:rPr>
          <w:rFonts w:cstheme="majorHAnsi"/>
        </w:rPr>
        <w:fldChar w:fldCharType="separate"/>
      </w:r>
      <w:r w:rsidRPr="00E93A5B">
        <w:rPr>
          <w:rFonts w:cstheme="majorHAnsi"/>
          <w:noProof/>
        </w:rPr>
        <w:t>(Vilkman, Alku and Laukkanen, 1995, p.66)</w:t>
      </w:r>
      <w:r w:rsidRPr="00E93A5B">
        <w:rPr>
          <w:rFonts w:cstheme="majorHAnsi"/>
        </w:rPr>
        <w:fldChar w:fldCharType="end"/>
      </w:r>
      <w:r w:rsidRPr="00E93A5B">
        <w:rPr>
          <w:rFonts w:cstheme="majorHAnsi"/>
        </w:rPr>
        <w:t xml:space="preserve"> and “ in falsetto the vocal folds are thin, only the vocal-fold edges vibrate, and the glottal closure is incomplete” </w:t>
      </w:r>
      <w:r w:rsidRPr="00E93A5B">
        <w:rPr>
          <w:rFonts w:cstheme="majorHAnsi"/>
        </w:rPr>
        <w:fldChar w:fldCharType="begin" w:fldLock="1"/>
      </w:r>
      <w:r w:rsidRPr="00E93A5B">
        <w:rPr>
          <w:rFonts w:cstheme="majorHAnsi"/>
        </w:rPr>
        <w:instrText>ADDIN CSL_CITATION {"citationItems":[{"id":"ITEM-1","itemData":{"DOI":"10.1016/S0892-1997(05)80224-3","ISSN":"08921997","abstract":"Register shift between the chest and falsetto register is generally studied in the higher-than-speaking pitch range. However, a similar difference can also be produced at speaking pitch level. The shift from breathy \"falsetto\" phonation to normal chest voice phonation was studied in normal female (pitch range 170-180 Hz) and male (pitch range 94-110 Hz) subjects. The phonations gliding from falsetto to normal chest voice were analyzed using iterative adaptive inverse filtering and electroglottography. Both trained and untrained, as well as female and male subjects, were able to produce an abrupt register shift from soft falsetto to soft chest register phonation. The differences between male and female speakers in the glottal flow waveforms were smaller than expected. The register shift is interpreted in terms of a \"critical mass\" concept of chest register phonation. © 1995 Raven Press, Ltd., New York.","author":[{"dropping-particle":"","family":"Vilkman","given":"E.","non-dropping-particle":"","parse-names":false,"suffix":""},{"dropping-particle":"","family":"Alku","given":"P.","non-dropping-particle":"","parse-names":false,"suffix":""},{"dropping-particle":"","family":"Laukkanen","given":"A. M.","non-dropping-particle":"","parse-names":false,"suffix":""}],"container-title":"Journal of Voice","id":"ITEM-1","issue":"1","issued":{"date-parts":[["1995"]]},"page":"66-73","title":"Vocal-fold Collision Mass as a Differentiator between Registers in the Low-pitch Range","type":"article-journal","volume":"9"},"uris":["http://www.mendeley.com/documents/?uuid=e18c0d5b-e0aa-4596-b5a7-7b14e23e61b4"]}],"mendeley":{"formattedCitation":"(Vilkman, Alku and Laukkanen, 1995)","manualFormatting":"(Vilkman, Alku and Laukkanen, 1995, p.66)","plainTextFormattedCitation":"(Vilkman, Alku and Laukkanen, 1995)","previouslyFormattedCitation":"(Vilkman, Alku and Laukkanen, 1995)"},"properties":{"noteIndex":0},"schema":"https://github.com/citation-style-language/schema/raw/master/csl-citation.json"}</w:instrText>
      </w:r>
      <w:r w:rsidRPr="00E93A5B">
        <w:rPr>
          <w:rFonts w:cstheme="majorHAnsi"/>
        </w:rPr>
        <w:fldChar w:fldCharType="separate"/>
      </w:r>
      <w:r w:rsidRPr="00E93A5B">
        <w:rPr>
          <w:rFonts w:cstheme="majorHAnsi"/>
          <w:noProof/>
        </w:rPr>
        <w:t>(Vilkman, Alku and Laukkanen, 1995, p.66)</w:t>
      </w:r>
      <w:r w:rsidRPr="00E93A5B">
        <w:rPr>
          <w:rFonts w:cstheme="majorHAnsi"/>
        </w:rPr>
        <w:fldChar w:fldCharType="end"/>
      </w:r>
      <w:r w:rsidRPr="00E93A5B">
        <w:rPr>
          <w:rFonts w:cstheme="majorHAnsi"/>
        </w:rPr>
        <w:t xml:space="preserve">, similarly, “In 1875, John Curwen suggested </w:t>
      </w:r>
      <w:r w:rsidRPr="00E93A5B">
        <w:rPr>
          <w:rFonts w:cstheme="majorHAnsi"/>
          <w:i/>
        </w:rPr>
        <w:t>thick, thin and small</w:t>
      </w:r>
      <w:r w:rsidRPr="00E93A5B">
        <w:rPr>
          <w:rFonts w:cstheme="majorHAnsi"/>
        </w:rPr>
        <w:t xml:space="preserve"> as names for vocal registers” </w:t>
      </w:r>
      <w:r w:rsidRPr="00E93A5B">
        <w:rPr>
          <w:rFonts w:cstheme="majorHAnsi"/>
        </w:rPr>
        <w:fldChar w:fldCharType="begin" w:fldLock="1"/>
      </w:r>
      <w:r w:rsidRPr="00E93A5B">
        <w:rPr>
          <w:rFonts w:cstheme="majorHAnsi"/>
        </w:rPr>
        <w:instrText>ADDIN CSL_CITATION {"citationItems":[{"id":"ITEM-1","itemData":{"abstract":"This paper analyzes and evaluates several explicit and implicit assumptions that are embedded in the concepts, terminologies, and practices related to vocal registers. A reconciliation of the varied and conflicting register concepts, terminologies, and practices is proposed, including: 1. a brief historical context of vocal registers, 2. a documented science-based theory that accounts for vocal register phenomena from perceptual, physiological, and acoustical perspectives, 3. criteria for selection of science-based categorical word labels for register phenomena and suggested colloquial English terms that meet the criteria, 4. how the theory can be beneficially applied to the learning of efficient, skilled singing and speaking when guided by music educators, choral conductors, singing teachers, speech teachers, theatre directors, and when applied to therapeutic clinical settings.","author":[{"dropping-particle":"","family":"Thurman","given":"Leon","non-dropping-particle":"","parse-names":false,"suffix":""},{"dropping-particle":"","family":"Welch","given":"Graham","non-dropping-particle":"","parse-names":false,"suffix":""},{"dropping-particle":"","family":"Theimer","given":"Axel","non-dropping-particle":"","parse-names":false,"suffix":""},{"dropping-particle":"","family":"Klitzke","given":"Carol","non-dropping-particle":"","parse-names":false,"suffix":""}],"container-title":"The Phsiology and Acoustics of Singing National CenTer for Voice and Speech","id":"ITEM-1","issued":{"date-parts":[["2004"]]},"page":"1-64","publisher-place":"Denvor, Colorado, USA","title":"Addressing Vocal Register Discrepancies: An Alternative, Science-Based Theory of Register Phenomena","type":"paper-conference"},"uris":["http://www.mendeley.com/documents/?uuid=25beb3d0-5cff-4ba4-8969-4e8c9c88ced9"]}],"mendeley":{"formattedCitation":"(Thurman &lt;i&gt;et al.&lt;/i&gt;, 2004)","manualFormatting":"(Thurman et al., 2004, p.4)","plainTextFormattedCitation":"(Thurman et al., 2004)","previouslyFormattedCitation":"(Thurman &lt;i&gt;et al.&lt;/i&gt;, 2004)"},"properties":{"noteIndex":0},"schema":"https://github.com/citation-style-language/schema/raw/master/csl-citation.json"}</w:instrText>
      </w:r>
      <w:r w:rsidRPr="00E93A5B">
        <w:rPr>
          <w:rFonts w:cstheme="majorHAnsi"/>
        </w:rPr>
        <w:fldChar w:fldCharType="separate"/>
      </w:r>
      <w:r w:rsidRPr="00E93A5B">
        <w:rPr>
          <w:rFonts w:cstheme="majorHAnsi"/>
          <w:noProof/>
        </w:rPr>
        <w:t xml:space="preserve">(Thurman </w:t>
      </w:r>
      <w:r w:rsidRPr="00E93A5B">
        <w:rPr>
          <w:rFonts w:cstheme="majorHAnsi"/>
          <w:i/>
          <w:noProof/>
        </w:rPr>
        <w:t>et al.</w:t>
      </w:r>
      <w:r w:rsidRPr="00E93A5B">
        <w:rPr>
          <w:rFonts w:cstheme="majorHAnsi"/>
          <w:noProof/>
        </w:rPr>
        <w:t>, 2004, p.4)</w:t>
      </w:r>
      <w:r w:rsidRPr="00E93A5B">
        <w:rPr>
          <w:rFonts w:cstheme="majorHAnsi"/>
        </w:rPr>
        <w:fldChar w:fldCharType="end"/>
      </w:r>
      <w:r w:rsidRPr="00E93A5B">
        <w:rPr>
          <w:rFonts w:cstheme="majorHAnsi"/>
        </w:rPr>
        <w:t xml:space="preserve"> which, highlights the debate, can we imagine what we hear? If equipment was not available in 1875 to support this theory yet the results descriptions are the same years on. </w:t>
      </w:r>
    </w:p>
    <w:p w14:paraId="37C86D67" w14:textId="77777777" w:rsidR="00FB619B" w:rsidRPr="00E93A5B" w:rsidRDefault="00FB619B" w:rsidP="00FB619B">
      <w:pPr>
        <w:rPr>
          <w:rFonts w:cstheme="majorHAnsi"/>
        </w:rPr>
      </w:pPr>
      <w:r w:rsidRPr="00E93A5B">
        <w:rPr>
          <w:rFonts w:cstheme="majorHAnsi"/>
        </w:rPr>
        <w:t xml:space="preserve">Defining a firm definition of the vocal register is appearing to be difficult and some pedagogues, are relying on singers themselves to conclude the term (Miller,2000, p.128). </w:t>
      </w:r>
    </w:p>
    <w:p w14:paraId="1F19CF27" w14:textId="77777777" w:rsidR="00FB619B" w:rsidRPr="00E93A5B" w:rsidRDefault="00FB619B" w:rsidP="00FB619B">
      <w:pPr>
        <w:rPr>
          <w:rFonts w:cstheme="majorHAnsi"/>
        </w:rPr>
      </w:pPr>
    </w:p>
    <w:p w14:paraId="3C2CD0A1" w14:textId="77777777" w:rsidR="00FB619B" w:rsidRPr="00E93A5B" w:rsidRDefault="00FB619B" w:rsidP="00FB619B">
      <w:pPr>
        <w:widowControl w:val="0"/>
        <w:tabs>
          <w:tab w:val="left" w:pos="220"/>
          <w:tab w:val="left" w:pos="4111"/>
        </w:tabs>
        <w:autoSpaceDE w:val="0"/>
        <w:autoSpaceDN w:val="0"/>
        <w:adjustRightInd w:val="0"/>
        <w:spacing w:after="240"/>
        <w:rPr>
          <w:rFonts w:cstheme="majorHAnsi"/>
        </w:rPr>
      </w:pPr>
      <w:r w:rsidRPr="00E93A5B">
        <w:rPr>
          <w:rFonts w:cstheme="majorHAnsi"/>
        </w:rPr>
        <w:t xml:space="preserve">Terminology, seemingly, is being caught as opposed to taught and has been for centuries (Chapman, 2006), it would appear language to describe sound is much like a game of Chinese whispers, in that it could be misunderstood or made sense of, either way it shifts with time and still, is misconstrued (Chapman, 2006). </w:t>
      </w:r>
      <w:r w:rsidRPr="00E93A5B">
        <w:rPr>
          <w:rFonts w:eastAsia="Times New Roman" w:cstheme="majorHAnsi"/>
          <w:lang w:eastAsia="en-GB"/>
        </w:rPr>
        <w:t>The resonance chamber method in the 18</w:t>
      </w:r>
      <w:r w:rsidRPr="00E93A5B">
        <w:rPr>
          <w:rFonts w:eastAsia="Times New Roman" w:cstheme="majorHAnsi"/>
          <w:vertAlign w:val="superscript"/>
          <w:lang w:eastAsia="en-GB"/>
        </w:rPr>
        <w:t>th</w:t>
      </w:r>
      <w:r w:rsidRPr="00E93A5B">
        <w:rPr>
          <w:rFonts w:eastAsia="Times New Roman" w:cstheme="majorHAnsi"/>
          <w:lang w:eastAsia="en-GB"/>
        </w:rPr>
        <w:t xml:space="preserve"> century must have been the instigator for the ‘Chinese whisper’</w:t>
      </w:r>
      <w:r w:rsidRPr="00E93A5B">
        <w:rPr>
          <w:rFonts w:cstheme="majorHAnsi"/>
        </w:rPr>
        <w:t xml:space="preserve">(Chapman, 2006) of </w:t>
      </w:r>
      <w:r w:rsidRPr="00E93A5B">
        <w:rPr>
          <w:rFonts w:eastAsia="Times New Roman" w:cstheme="majorHAnsi"/>
          <w:lang w:eastAsia="en-GB"/>
        </w:rPr>
        <w:t xml:space="preserve"> language of the voice register terminology by the singer claiming the location of the vibratory sensation, as an indication of where the sound register was being produced.</w:t>
      </w:r>
    </w:p>
    <w:p w14:paraId="1E4C7294" w14:textId="77777777" w:rsidR="00FB619B" w:rsidRPr="00E93A5B" w:rsidRDefault="00FB619B" w:rsidP="00FB619B">
      <w:pPr>
        <w:spacing w:before="100" w:beforeAutospacing="1" w:after="100" w:afterAutospacing="1"/>
        <w:rPr>
          <w:rFonts w:eastAsia="Times New Roman" w:cstheme="majorHAnsi"/>
          <w:lang w:eastAsia="en-GB"/>
        </w:rPr>
      </w:pPr>
      <w:r w:rsidRPr="00E93A5B">
        <w:rPr>
          <w:rFonts w:eastAsia="Times New Roman" w:cstheme="majorHAnsi"/>
          <w:lang w:eastAsia="en-GB"/>
        </w:rPr>
        <w:t xml:space="preserve">Lack of clarity on the description of vocal register over the centuries has led to the development of mechanistic terminology exiling the term register and replacing it with a ‘range’, “The range of the human voice can be divided into four ranges (registers)” (Unteregger </w:t>
      </w:r>
      <w:r w:rsidRPr="00E93A5B">
        <w:rPr>
          <w:rFonts w:eastAsia="Times New Roman" w:cstheme="majorHAnsi"/>
          <w:i/>
          <w:iCs/>
          <w:lang w:eastAsia="en-GB"/>
        </w:rPr>
        <w:t>et al.</w:t>
      </w:r>
      <w:r w:rsidRPr="00E93A5B">
        <w:rPr>
          <w:rFonts w:eastAsia="Times New Roman" w:cstheme="majorHAnsi"/>
          <w:lang w:eastAsia="en-GB"/>
        </w:rPr>
        <w:t>, 2017). Vocal registers take many forms; M0 (vocal fry) M1 (head register for men), M2 (head register for women), M3 (whistle register), (Roubeau, Henrich and Castellengo, 2009), fry, strohbass, pulse; perceiving low frequencies and flageolet, flute, whistle and sifflet used to perceive high frequencies (Roubeau, Henrich and Castellengo, 2009). Although mechanical alterations were developed, these terms still do not reflect the anatomical action of a vocal register, they merely relate to an instrument ‘flute’ and lack in vocal identity and I fail to see any benefit in using these terms in my practice.</w:t>
      </w:r>
    </w:p>
    <w:p w14:paraId="75D4532E" w14:textId="77777777" w:rsidR="00FB619B" w:rsidRPr="00E93A5B" w:rsidRDefault="00FB619B" w:rsidP="00FB619B">
      <w:pPr>
        <w:spacing w:before="100" w:beforeAutospacing="1" w:after="100" w:afterAutospacing="1"/>
        <w:rPr>
          <w:rFonts w:eastAsia="Times New Roman" w:cstheme="majorHAnsi"/>
          <w:lang w:eastAsia="en-GB"/>
        </w:rPr>
      </w:pPr>
      <w:r w:rsidRPr="00E93A5B">
        <w:rPr>
          <w:rFonts w:eastAsia="Times New Roman" w:cstheme="majorHAnsi"/>
          <w:lang w:eastAsia="en-GB"/>
        </w:rPr>
        <w:t xml:space="preserve">The more I research the more registers I come across. It is unknown how many registers actually exist with reports varying from one to seven, (Mckinney,1994).The old Italian school claimed that there were two registers, “chest voice and the head voice” (Stark, 2008,p.57) Brown and Behnke proposed five register; lower thick, upper thick, lower thin, upper thin, and small (Thurman </w:t>
      </w:r>
      <w:r w:rsidRPr="00E93A5B">
        <w:rPr>
          <w:rFonts w:eastAsia="Times New Roman" w:cstheme="majorHAnsi"/>
          <w:i/>
          <w:iCs/>
          <w:lang w:eastAsia="en-GB"/>
        </w:rPr>
        <w:t>et al.</w:t>
      </w:r>
      <w:r w:rsidRPr="00E93A5B">
        <w:rPr>
          <w:rFonts w:eastAsia="Times New Roman" w:cstheme="majorHAnsi"/>
          <w:lang w:eastAsia="en-GB"/>
        </w:rPr>
        <w:t xml:space="preserve">, 2004). </w:t>
      </w:r>
    </w:p>
    <w:p w14:paraId="6D880D7C" w14:textId="77777777" w:rsidR="00FB619B" w:rsidRPr="00E93A5B" w:rsidRDefault="00FB619B" w:rsidP="00FB619B">
      <w:pPr>
        <w:spacing w:before="100" w:beforeAutospacing="1" w:after="100" w:afterAutospacing="1"/>
        <w:rPr>
          <w:rFonts w:cstheme="majorHAnsi"/>
        </w:rPr>
      </w:pPr>
      <w:r w:rsidRPr="00E93A5B">
        <w:rPr>
          <w:rFonts w:cstheme="majorHAnsi"/>
        </w:rPr>
        <w:t>Whilst Miller, investigates pitch adjustment aided by use of spectrograms, claiming a boundary ‘where F1, firmly linked to the second harmonic, reaches its upper limit’  (Miller,2000, p.134) eventually stretching the vocal folds to the max until the voice will ‘ break’, if the singer wanted to transition to the next higher register. This is a useful concept with wanting to further my understanding of the anatomical adjustment of the ‘break’ or transition between registers when teaching.</w:t>
      </w:r>
    </w:p>
    <w:p w14:paraId="177A3EF7" w14:textId="77777777" w:rsidR="00FB619B" w:rsidRPr="00E93A5B" w:rsidRDefault="00FB619B" w:rsidP="00FB619B">
      <w:pPr>
        <w:rPr>
          <w:rFonts w:cstheme="majorHAnsi"/>
        </w:rPr>
      </w:pPr>
      <w:r w:rsidRPr="00E93A5B">
        <w:rPr>
          <w:rFonts w:eastAsia="Times New Roman" w:cstheme="majorHAnsi"/>
          <w:shd w:val="clear" w:color="auto" w:fill="FFFFFF"/>
        </w:rPr>
        <w:t xml:space="preserve">“The register break occurs when the mucosal stiffness grows and/or the thyroarytenoid muscle can no longer maintain the vertical thickness of the glottis” </w:t>
      </w:r>
      <w:r w:rsidRPr="00E93A5B">
        <w:rPr>
          <w:rFonts w:eastAsia="Times New Roman" w:cstheme="majorHAnsi"/>
          <w:shd w:val="clear" w:color="auto" w:fill="FFFFFF"/>
        </w:rPr>
        <w:fldChar w:fldCharType="begin" w:fldLock="1"/>
      </w:r>
      <w:r w:rsidRPr="00E93A5B">
        <w:rPr>
          <w:rFonts w:eastAsia="Times New Roman" w:cstheme="majorHAnsi"/>
          <w:shd w:val="clear" w:color="auto" w:fill="FFFFFF"/>
        </w:rPr>
        <w:instrText>ADDIN CSL_CITATION {"citationItems":[{"id":"ITEM-1","itemData":{"author":[{"dropping-particle":"","family":"Cleveland","given":"T","non-dropping-particle":"","parse-names":false,"suffix":""}],"container-title":"Journal of Singing - The Official Journal of the National Association of Teachers of Singing","id":"ITEM-1","issue":"3","issued":{"date-parts":[["1999"]]},"page":"67-68","title":"Vocal Pedagogy for the 21st Century: Registers and Register Transitions","type":"article-journal","volume":"55"},"uris":["http://www.mendeley.com/documents/?uuid=802722b2-af61-4d1a-b79e-4dd2ac6749aa"]}],"mendeley":{"formattedCitation":"(Cleveland, 1999)","manualFormatting":"(Cleveland, 1999, p.68)","plainTextFormattedCitation":"(Cleveland, 1999)","previouslyFormattedCitation":"(Cleveland, 1999)"},"properties":{"noteIndex":0},"schema":"https://github.com/citation-style-language/schema/raw/master/csl-citation.json"}</w:instrText>
      </w:r>
      <w:r w:rsidRPr="00E93A5B">
        <w:rPr>
          <w:rFonts w:eastAsia="Times New Roman" w:cstheme="majorHAnsi"/>
          <w:shd w:val="clear" w:color="auto" w:fill="FFFFFF"/>
        </w:rPr>
        <w:fldChar w:fldCharType="separate"/>
      </w:r>
      <w:r w:rsidRPr="00E93A5B">
        <w:rPr>
          <w:rFonts w:eastAsia="Times New Roman" w:cstheme="majorHAnsi"/>
          <w:noProof/>
          <w:shd w:val="clear" w:color="auto" w:fill="FFFFFF"/>
        </w:rPr>
        <w:t>(Cleveland, 1999, p.68)</w:t>
      </w:r>
      <w:r w:rsidRPr="00E93A5B">
        <w:rPr>
          <w:rFonts w:eastAsia="Times New Roman" w:cstheme="majorHAnsi"/>
          <w:shd w:val="clear" w:color="auto" w:fill="FFFFFF"/>
        </w:rPr>
        <w:fldChar w:fldCharType="end"/>
      </w:r>
      <w:r w:rsidRPr="00E93A5B">
        <w:rPr>
          <w:rFonts w:cstheme="majorHAnsi"/>
        </w:rPr>
        <w:t>.</w:t>
      </w:r>
    </w:p>
    <w:p w14:paraId="47CE5961" w14:textId="77777777" w:rsidR="00FB619B" w:rsidRPr="00E93A5B" w:rsidRDefault="00FB619B" w:rsidP="00FB619B">
      <w:pPr>
        <w:rPr>
          <w:rFonts w:cstheme="majorHAnsi"/>
        </w:rPr>
      </w:pPr>
    </w:p>
    <w:p w14:paraId="5247BB4C" w14:textId="77777777" w:rsidR="00FB619B" w:rsidRPr="00E93A5B" w:rsidRDefault="00FB619B" w:rsidP="00FB619B">
      <w:pPr>
        <w:rPr>
          <w:rFonts w:cstheme="majorHAnsi"/>
        </w:rPr>
      </w:pPr>
      <w:r w:rsidRPr="00E93A5B">
        <w:rPr>
          <w:rFonts w:eastAsia="Times New Roman" w:cstheme="majorHAnsi"/>
        </w:rPr>
        <w:t>Theories suggest a skilled singer will sing with no breaks (</w:t>
      </w:r>
      <w:r w:rsidRPr="00E93A5B">
        <w:rPr>
          <w:rFonts w:eastAsia="Times New Roman" w:cstheme="majorHAnsi"/>
          <w:noProof/>
          <w:shd w:val="clear" w:color="auto" w:fill="FFFFFF"/>
        </w:rPr>
        <w:t xml:space="preserve">Herbst </w:t>
      </w:r>
      <w:r w:rsidRPr="00E93A5B">
        <w:rPr>
          <w:rFonts w:eastAsia="Times New Roman" w:cstheme="majorHAnsi"/>
          <w:i/>
          <w:noProof/>
          <w:shd w:val="clear" w:color="auto" w:fill="FFFFFF"/>
        </w:rPr>
        <w:t>et al.</w:t>
      </w:r>
      <w:r w:rsidRPr="00E93A5B">
        <w:rPr>
          <w:rFonts w:eastAsia="Times New Roman" w:cstheme="majorHAnsi"/>
          <w:noProof/>
          <w:shd w:val="clear" w:color="auto" w:fill="FFFFFF"/>
        </w:rPr>
        <w:t>, 2019 ). A break is recognised as the transitional hurdle between registers (</w:t>
      </w:r>
      <w:r w:rsidRPr="00E93A5B">
        <w:rPr>
          <w:rFonts w:cs="Arial"/>
          <w:noProof/>
        </w:rPr>
        <w:t>Stark, 2008, p.</w:t>
      </w:r>
      <w:r w:rsidRPr="00E93A5B">
        <w:rPr>
          <w:rFonts w:eastAsia="Times New Roman" w:cstheme="majorHAnsi"/>
          <w:noProof/>
          <w:shd w:val="clear" w:color="auto" w:fill="FFFFFF"/>
        </w:rPr>
        <w:t>57) or, a ‘passaggio’ in western operatic tradition, if a tenor was to manouvre their voice from ‘chest’ to ‘head’ (</w:t>
      </w:r>
      <w:r w:rsidRPr="00E93A5B">
        <w:rPr>
          <w:rFonts w:cstheme="majorHAnsi"/>
        </w:rPr>
        <w:t>Miller,2000, p.127).</w:t>
      </w:r>
    </w:p>
    <w:p w14:paraId="24E94361" w14:textId="77777777" w:rsidR="00FB619B" w:rsidRPr="00E93A5B" w:rsidRDefault="00FB619B" w:rsidP="00FB619B">
      <w:pPr>
        <w:tabs>
          <w:tab w:val="left" w:pos="4111"/>
        </w:tabs>
        <w:rPr>
          <w:rFonts w:eastAsia="Times New Roman" w:cstheme="majorHAnsi"/>
          <w:shd w:val="clear" w:color="auto" w:fill="FFFFFF"/>
        </w:rPr>
      </w:pPr>
    </w:p>
    <w:p w14:paraId="23CAA1E1" w14:textId="77777777" w:rsidR="00FB619B" w:rsidRPr="00E93A5B" w:rsidRDefault="00FB619B" w:rsidP="00FB619B">
      <w:pPr>
        <w:tabs>
          <w:tab w:val="left" w:pos="4111"/>
        </w:tabs>
        <w:rPr>
          <w:rFonts w:eastAsia="Times New Roman" w:cstheme="majorHAnsi"/>
          <w:shd w:val="clear" w:color="auto" w:fill="FFFFFF"/>
        </w:rPr>
      </w:pPr>
      <w:r w:rsidRPr="00E93A5B">
        <w:rPr>
          <w:rFonts w:eastAsia="Times New Roman" w:cstheme="majorHAnsi"/>
          <w:noProof/>
          <w:shd w:val="clear" w:color="auto" w:fill="FFFFFF"/>
        </w:rPr>
        <w:t xml:space="preserve">In contrast to the above statements, </w:t>
      </w:r>
      <w:r w:rsidRPr="00E93A5B">
        <w:rPr>
          <w:rFonts w:cstheme="majorHAnsi"/>
        </w:rPr>
        <w:t>in the early 20</w:t>
      </w:r>
      <w:r w:rsidRPr="00E93A5B">
        <w:rPr>
          <w:rFonts w:cstheme="majorHAnsi"/>
          <w:vertAlign w:val="superscript"/>
        </w:rPr>
        <w:t>th</w:t>
      </w:r>
      <w:r w:rsidRPr="00E93A5B">
        <w:rPr>
          <w:rFonts w:cstheme="majorHAnsi"/>
        </w:rPr>
        <w:t xml:space="preserve"> century, </w:t>
      </w:r>
      <w:r w:rsidRPr="00E93A5B">
        <w:rPr>
          <w:rFonts w:eastAsia="Times New Roman" w:cstheme="majorHAnsi"/>
          <w:shd w:val="clear" w:color="auto" w:fill="FFFFFF"/>
        </w:rPr>
        <w:t xml:space="preserve">Fröschels declared, “ a “natural” voice has no registers, so that voices were only one register” </w:t>
      </w:r>
      <w:r w:rsidRPr="00E93A5B">
        <w:rPr>
          <w:rFonts w:eastAsia="Times New Roman" w:cstheme="majorHAnsi"/>
          <w:shd w:val="clear" w:color="auto" w:fill="FFFFFF"/>
        </w:rPr>
        <w:fldChar w:fldCharType="begin" w:fldLock="1"/>
      </w:r>
      <w:r w:rsidRPr="00E93A5B">
        <w:rPr>
          <w:rFonts w:eastAsia="Times New Roman" w:cstheme="majorHAnsi"/>
          <w:shd w:val="clear" w:color="auto" w:fill="FFFFFF"/>
        </w:rPr>
        <w:instrText>ADDIN CSL_CITATION {"citationItems":[{"id":"ITEM-1","itemData":{"abstract":"This paper analyzes and evaluates several explicit and implicit assumptions that are embedded in the concepts, terminologies, and practices related to vocal registers. A reconciliation of the varied and conflicting register concepts, terminologies, and practices is proposed, including: 1. a brief historical context of vocal registers, 2. a documented science-based theory that accounts for vocal register phenomena from perceptual, physiological, and acoustical perspectives, 3. criteria for selection of science-based categorical word labels for register phenomena and suggested colloquial English terms that meet the criteria, 4. how the theory can be beneficially applied to the learning of efficient, skilled singing and speaking when guided by music educators, choral conductors, singing teachers, speech teachers, theatre directors, and when applied to therapeutic clinical settings.","author":[{"dropping-particle":"","family":"Thurman","given":"Leon","non-dropping-particle":"","parse-names":false,"suffix":""},{"dropping-particle":"","family":"Welch","given":"Graham","non-dropping-particle":"","parse-names":false,"suffix":""},{"dropping-particle":"","family":"Theimer","given":"Axel","non-dropping-particle":"","parse-names":false,"suffix":""},{"dropping-particle":"","family":"Klitzke","given":"Carol","non-dropping-particle":"","parse-names":false,"suffix":""}],"container-title":"The Phsiology and Acoustics of Singing National CenTer for Voice and Speech","id":"ITEM-1","issued":{"date-parts":[["2004"]]},"page":"1-64","publisher-place":"Denvor, Colorado, USA","title":"Addressing Vocal Register Discrepancies: An Alternative, Science-Based Theory of Register Phenomena","type":"paper-conference"},"uris":["http://www.mendeley.com/documents/?uuid=25beb3d0-5cff-4ba4-8969-4e8c9c88ced9"]}],"mendeley":{"formattedCitation":"(Thurman &lt;i&gt;et al.&lt;/i&gt;, 2004)","manualFormatting":"(Thurman et al., 2004, p.4)","plainTextFormattedCitation":"(Thurman et al., 2004)","previouslyFormattedCitation":"(Thurman &lt;i&gt;et al.&lt;/i&gt;, 2004)"},"properties":{"noteIndex":0},"schema":"https://github.com/citation-style-language/schema/raw/master/csl-citation.json"}</w:instrText>
      </w:r>
      <w:r w:rsidRPr="00E93A5B">
        <w:rPr>
          <w:rFonts w:eastAsia="Times New Roman" w:cstheme="majorHAnsi"/>
          <w:shd w:val="clear" w:color="auto" w:fill="FFFFFF"/>
        </w:rPr>
        <w:fldChar w:fldCharType="separate"/>
      </w:r>
      <w:r w:rsidRPr="00E93A5B">
        <w:rPr>
          <w:rFonts w:eastAsia="Times New Roman" w:cstheme="majorHAnsi"/>
          <w:noProof/>
          <w:shd w:val="clear" w:color="auto" w:fill="FFFFFF"/>
        </w:rPr>
        <w:t xml:space="preserve">(Thurman </w:t>
      </w:r>
      <w:r w:rsidRPr="00E93A5B">
        <w:rPr>
          <w:rFonts w:eastAsia="Times New Roman" w:cstheme="majorHAnsi"/>
          <w:i/>
          <w:noProof/>
          <w:shd w:val="clear" w:color="auto" w:fill="FFFFFF"/>
        </w:rPr>
        <w:t>et al.</w:t>
      </w:r>
      <w:r w:rsidRPr="00E93A5B">
        <w:rPr>
          <w:rFonts w:eastAsia="Times New Roman" w:cstheme="majorHAnsi"/>
          <w:noProof/>
          <w:shd w:val="clear" w:color="auto" w:fill="FFFFFF"/>
        </w:rPr>
        <w:t>, 2004, p.4)</w:t>
      </w:r>
      <w:r w:rsidRPr="00E93A5B">
        <w:rPr>
          <w:rFonts w:eastAsia="Times New Roman" w:cstheme="majorHAnsi"/>
          <w:shd w:val="clear" w:color="auto" w:fill="FFFFFF"/>
        </w:rPr>
        <w:fldChar w:fldCharType="end"/>
      </w:r>
      <w:r w:rsidRPr="00E93A5B">
        <w:rPr>
          <w:rFonts w:eastAsia="Times New Roman" w:cstheme="majorHAnsi"/>
          <w:shd w:val="clear" w:color="auto" w:fill="FFFFFF"/>
        </w:rPr>
        <w:t xml:space="preserve">. It is thought that acoustic pressure has a protuberant effect on whether the stability of a register change will jump or ‘break’ </w:t>
      </w:r>
      <w:r w:rsidRPr="00E93A5B">
        <w:rPr>
          <w:rFonts w:eastAsia="Times New Roman" w:cstheme="majorHAnsi"/>
          <w:shd w:val="clear" w:color="auto" w:fill="FFFFFF"/>
        </w:rPr>
        <w:fldChar w:fldCharType="begin" w:fldLock="1"/>
      </w:r>
      <w:r w:rsidRPr="00E93A5B">
        <w:rPr>
          <w:rFonts w:eastAsia="Times New Roman" w:cstheme="majorHAnsi"/>
          <w:shd w:val="clear" w:color="auto" w:fill="FFFFFF"/>
        </w:rPr>
        <w:instrText>ADDIN CSL_CITATION {"citationItems":[{"id":"ITEM-1","itemData":{"DOI":"10.1016/j.jvoice.2013.02.007","ISSN":"18734588","abstract":"Objective: The present study aimed to investigate the vocal tract and glottal function during and after phonation into a tube and a stirring straw. Methods: A male classically trained singer was assessed. Computerized tomography (CT) was performed when the subject produced [a:] at comfortable speaking pitch, phonated into the resonance tube and when repeating [a:] after the exercise. Similar procedure was performed with a narrow straw after 15 minutes silence. Anatomic distances and area measures were obtained from CT midsagittal and transversal images. Acoustic, perceptual, electroglottographic (EGG), and subglottic pressure measures were also obtained. Results: During and after phonation into the tube or straw, the velum closed the nasal passage better, the larynx position lowered, and hypopharynx area widened. Moreover, the ratio between the inlet of the lower pharynx and the outlet of the epilaryngeal tube became larger during and after tube/straw phonation. Acoustic results revealed a stronger spectral prominence in the singer/speaker's formant cluster region after exercising. Listening test demonstrated better voice quality after straw/tube than before. Contact quotient derived from EGG decreased during both tube and straw and remained lower after exercising. Subglottic pressure increased during straw and remained somewhat higher after it. Conclusion: CT and acoustic results indicated that vocal exercises with increased vocal tract impedance lead to increased vocal efficiency and economy. One of the major changes was the more prominent singer's/speaker's formant cluster. Vocal tract and glottal modifications were more prominent during and after straw exercising compared with tube phonation. © 2013 The Voice Foundation.","author":[{"dropping-particle":"","family":"Guzman","given":"Marco","non-dropping-particle":"","parse-names":false,"suffix":""},{"dropping-particle":"","family":"Laukkanen","given":"Anne Maria","non-dropping-particle":"","parse-names":false,"suffix":""},{"dropping-particle":"","family":"Krupa","given":"Petr","non-dropping-particle":"","parse-names":false,"suffix":""},{"dropping-particle":"","family":"Horáček","given":"Jaromir","non-dropping-particle":"","parse-names":false,"suffix":""},{"dropping-particle":"","family":"Švec","given":"Jan G.","non-dropping-particle":"","parse-names":false,"suffix":""},{"dropping-particle":"","family":"Geneid","given":"Ahmed","non-dropping-particle":"","parse-names":false,"suffix":""}],"container-title":"Journal of Voice","id":"ITEM-1","issue":"4","issued":{"date-parts":[["2013"]]},"page":"523.e19-523.e34","title":"Vocal tract and glottal function during and after vocal exercising with resonance tube and straw","type":"article-journal","volume":"27"},"uris":["http://www.mendeley.com/documents/?uuid=32e0bce0-6e15-43ed-a5f9-d88e9e504df0"]}],"mendeley":{"formattedCitation":"(Guzman &lt;i&gt;et al.&lt;/i&gt;, 2013)","plainTextFormattedCitation":"(Guzman et al., 2013)"},"properties":{"noteIndex":0},"schema":"https://github.com/citation-style-language/schema/raw/master/csl-citation.json"}</w:instrText>
      </w:r>
      <w:r w:rsidRPr="00E93A5B">
        <w:rPr>
          <w:rFonts w:eastAsia="Times New Roman" w:cstheme="majorHAnsi"/>
          <w:shd w:val="clear" w:color="auto" w:fill="FFFFFF"/>
        </w:rPr>
        <w:fldChar w:fldCharType="separate"/>
      </w:r>
      <w:r w:rsidRPr="00E93A5B">
        <w:rPr>
          <w:rFonts w:eastAsia="Times New Roman" w:cstheme="majorHAnsi"/>
          <w:noProof/>
          <w:shd w:val="clear" w:color="auto" w:fill="FFFFFF"/>
        </w:rPr>
        <w:t xml:space="preserve">(Guzman </w:t>
      </w:r>
      <w:r w:rsidRPr="00E93A5B">
        <w:rPr>
          <w:rFonts w:eastAsia="Times New Roman" w:cstheme="majorHAnsi"/>
          <w:i/>
          <w:noProof/>
          <w:shd w:val="clear" w:color="auto" w:fill="FFFFFF"/>
        </w:rPr>
        <w:t>et al.</w:t>
      </w:r>
      <w:r w:rsidRPr="00E93A5B">
        <w:rPr>
          <w:rFonts w:eastAsia="Times New Roman" w:cstheme="majorHAnsi"/>
          <w:noProof/>
          <w:shd w:val="clear" w:color="auto" w:fill="FFFFFF"/>
        </w:rPr>
        <w:t>, 2013, 523.e19)</w:t>
      </w:r>
      <w:r w:rsidRPr="00E93A5B">
        <w:rPr>
          <w:rFonts w:eastAsia="Times New Roman" w:cstheme="majorHAnsi"/>
          <w:shd w:val="clear" w:color="auto" w:fill="FFFFFF"/>
        </w:rPr>
        <w:fldChar w:fldCharType="end"/>
      </w:r>
      <w:r w:rsidRPr="00E93A5B">
        <w:rPr>
          <w:rFonts w:eastAsia="Times New Roman" w:cstheme="majorHAnsi"/>
          <w:shd w:val="clear" w:color="auto" w:fill="FFFFFF"/>
        </w:rPr>
        <w:t>.</w:t>
      </w:r>
    </w:p>
    <w:p w14:paraId="2FB0ECB6" w14:textId="77777777" w:rsidR="00FB619B" w:rsidRPr="00E93A5B" w:rsidRDefault="00FB619B" w:rsidP="00FB619B">
      <w:pPr>
        <w:tabs>
          <w:tab w:val="left" w:pos="4111"/>
        </w:tabs>
        <w:rPr>
          <w:rFonts w:eastAsia="Times New Roman" w:cstheme="majorHAnsi"/>
          <w:shd w:val="clear" w:color="auto" w:fill="FFFFFF"/>
        </w:rPr>
      </w:pPr>
    </w:p>
    <w:p w14:paraId="3175CFE5" w14:textId="77777777" w:rsidR="00FB619B" w:rsidRPr="00E93A5B" w:rsidRDefault="00FB619B" w:rsidP="00FB619B">
      <w:pPr>
        <w:tabs>
          <w:tab w:val="left" w:pos="4111"/>
        </w:tabs>
        <w:rPr>
          <w:rFonts w:eastAsia="Times New Roman" w:cstheme="majorHAnsi"/>
          <w:shd w:val="clear" w:color="auto" w:fill="FFFFFF"/>
        </w:rPr>
      </w:pPr>
      <w:r w:rsidRPr="00E93A5B">
        <w:rPr>
          <w:rFonts w:eastAsia="Times New Roman" w:cstheme="majorHAnsi"/>
          <w:shd w:val="clear" w:color="auto" w:fill="FFFFFF"/>
        </w:rPr>
        <w:t xml:space="preserve">Fröschels fails to address any sense of perception to that of the external listener in comparison to Herbst’s theory who uses anatomical justification. Herbst, proposes an opposition of perception to that of Fröschels explaining how transitioning registers are that of an anatomical skill, “fine-tuning the action of the cricothyroid muscle vs. the thryroarytenoid muscle” </w:t>
      </w:r>
      <w:r w:rsidRPr="00E93A5B">
        <w:rPr>
          <w:rFonts w:eastAsia="Times New Roman" w:cstheme="majorHAnsi"/>
          <w:shd w:val="clear" w:color="auto" w:fill="FFFFFF"/>
        </w:rPr>
        <w:fldChar w:fldCharType="begin" w:fldLock="1"/>
      </w:r>
      <w:r w:rsidRPr="00E93A5B">
        <w:rPr>
          <w:rFonts w:eastAsia="Times New Roman" w:cstheme="majorHAnsi"/>
          <w:shd w:val="clear" w:color="auto" w:fill="FFFFFF"/>
        </w:rPr>
        <w:instrText>ADDIN CSL_CITATION {"citationItems":[{"id":"ITEM-1","itemData":{"DOI":"10.1093/oxfordhb/9780199660773.013.011","ISBN":"9780199660773","author":[{"dropping-particle":"","family":"Herbst","given":"Christian T.","non-dropping-particle":"","parse-names":false,"suffix":""},{"dropping-particle":"","family":"Howard","given":"David M.","non-dropping-particle":"","parse-names":false,"suffix":""},{"dropping-particle":"","family":"Švec","given":"Jan G.","non-dropping-particle":"","parse-names":false,"suffix":""},{"dropping-particle":"","family":"Herbst","given":"Christian T.","non-dropping-particle":"","parse-names":false,"suffix":""},{"dropping-particle":"","family":"Howard","given":"David M.","non-dropping-particle":"","parse-names":false,"suffix":""},{"dropping-particle":"","family":"Švec","given":"Jan G.","non-dropping-particle":"","parse-names":false,"suffix":""}],"container-title":"The Oxford Handbook of Singing","id":"ITEM-1","issue":"January 2016","issued":{"date-parts":[["2019"]]},"page":"108-144","title":"The Sound Source in Singing","type":"article-journal"},"uris":["http://www.mendeley.com/documents/?uuid=e7891172-fce7-4ca0-8aab-24762d73f965"]}],"mendeley":{"formattedCitation":"(Herbst &lt;i&gt;et al.&lt;/i&gt;, 2019)","manualFormatting":"(Herbst et al., 2019, p.13)","plainTextFormattedCitation":"(Herbst et al., 2019)","previouslyFormattedCitation":"(Herbst &lt;i&gt;et al.&lt;/i&gt;, 2019)"},"properties":{"noteIndex":0},"schema":"https://github.com/citation-style-language/schema/raw/master/csl-citation.json"}</w:instrText>
      </w:r>
      <w:r w:rsidRPr="00E93A5B">
        <w:rPr>
          <w:rFonts w:eastAsia="Times New Roman" w:cstheme="majorHAnsi"/>
          <w:shd w:val="clear" w:color="auto" w:fill="FFFFFF"/>
        </w:rPr>
        <w:fldChar w:fldCharType="separate"/>
      </w:r>
      <w:r w:rsidRPr="00E93A5B">
        <w:rPr>
          <w:rFonts w:eastAsia="Times New Roman" w:cstheme="majorHAnsi"/>
          <w:noProof/>
          <w:shd w:val="clear" w:color="auto" w:fill="FFFFFF"/>
        </w:rPr>
        <w:t xml:space="preserve">(Herbst </w:t>
      </w:r>
      <w:r w:rsidRPr="00E93A5B">
        <w:rPr>
          <w:rFonts w:eastAsia="Times New Roman" w:cstheme="majorHAnsi"/>
          <w:i/>
          <w:noProof/>
          <w:shd w:val="clear" w:color="auto" w:fill="FFFFFF"/>
        </w:rPr>
        <w:t>et al.</w:t>
      </w:r>
      <w:r w:rsidRPr="00E93A5B">
        <w:rPr>
          <w:rFonts w:eastAsia="Times New Roman" w:cstheme="majorHAnsi"/>
          <w:noProof/>
          <w:shd w:val="clear" w:color="auto" w:fill="FFFFFF"/>
        </w:rPr>
        <w:t>, 2019, p.13)</w:t>
      </w:r>
      <w:r w:rsidRPr="00E93A5B">
        <w:rPr>
          <w:rFonts w:eastAsia="Times New Roman" w:cstheme="majorHAnsi"/>
          <w:shd w:val="clear" w:color="auto" w:fill="FFFFFF"/>
        </w:rPr>
        <w:fldChar w:fldCharType="end"/>
      </w:r>
      <w:r w:rsidRPr="00E93A5B">
        <w:rPr>
          <w:rFonts w:eastAsia="Times New Roman" w:cstheme="majorHAnsi"/>
          <w:noProof/>
          <w:shd w:val="clear" w:color="auto" w:fill="FFFFFF"/>
        </w:rPr>
        <w:t xml:space="preserve"> </w:t>
      </w:r>
      <w:r w:rsidRPr="00E93A5B">
        <w:rPr>
          <w:rFonts w:eastAsia="Times New Roman" w:cstheme="majorHAnsi"/>
          <w:shd w:val="clear" w:color="auto" w:fill="FFFFFF"/>
        </w:rPr>
        <w:t xml:space="preserve">and it is this technique that offers the audience the perception of no </w:t>
      </w:r>
      <w:commentRangeStart w:id="5"/>
      <w:r w:rsidRPr="00E93A5B">
        <w:rPr>
          <w:rFonts w:eastAsia="Times New Roman" w:cstheme="majorHAnsi"/>
          <w:shd w:val="clear" w:color="auto" w:fill="FFFFFF"/>
        </w:rPr>
        <w:t>register</w:t>
      </w:r>
      <w:commentRangeEnd w:id="5"/>
      <w:r w:rsidR="00E7192B">
        <w:rPr>
          <w:rStyle w:val="CommentReference"/>
          <w:rFonts w:eastAsiaTheme="minorEastAsia"/>
          <w:lang w:val="en-US"/>
        </w:rPr>
        <w:commentReference w:id="5"/>
      </w:r>
      <w:r w:rsidRPr="00E93A5B">
        <w:rPr>
          <w:rFonts w:eastAsia="Times New Roman" w:cstheme="majorHAnsi"/>
          <w:shd w:val="clear" w:color="auto" w:fill="FFFFFF"/>
        </w:rPr>
        <w:t xml:space="preserve">. </w:t>
      </w:r>
    </w:p>
    <w:p w14:paraId="0FB54C80" w14:textId="77777777" w:rsidR="00FB619B" w:rsidRPr="00E93A5B" w:rsidRDefault="00FB619B" w:rsidP="00FB619B">
      <w:pPr>
        <w:tabs>
          <w:tab w:val="left" w:pos="4111"/>
        </w:tabs>
        <w:rPr>
          <w:rFonts w:eastAsia="Times New Roman" w:cstheme="majorHAnsi"/>
          <w:shd w:val="clear" w:color="auto" w:fill="FFFFFF"/>
        </w:rPr>
      </w:pPr>
    </w:p>
    <w:p w14:paraId="394488D7" w14:textId="6D46C45C" w:rsidR="00FB619B" w:rsidRPr="00E93A5B" w:rsidRDefault="00FB619B" w:rsidP="00FB619B">
      <w:pPr>
        <w:tabs>
          <w:tab w:val="left" w:pos="4111"/>
        </w:tabs>
        <w:rPr>
          <w:rFonts w:eastAsia="Times New Roman" w:cstheme="majorHAnsi"/>
          <w:shd w:val="clear" w:color="auto" w:fill="FFFFFF"/>
        </w:rPr>
      </w:pPr>
      <w:r w:rsidRPr="00E93A5B">
        <w:rPr>
          <w:rFonts w:eastAsia="Times New Roman" w:cstheme="majorHAnsi"/>
          <w:shd w:val="clear" w:color="auto" w:fill="FFFFFF"/>
        </w:rPr>
        <w:t xml:space="preserve">Cleveland was an activist of the register and believed when “precisely timed and tuned” </w:t>
      </w:r>
      <w:r w:rsidRPr="00E93A5B">
        <w:rPr>
          <w:rFonts w:eastAsia="Times New Roman" w:cstheme="majorHAnsi"/>
          <w:shd w:val="clear" w:color="auto" w:fill="FFFFFF"/>
        </w:rPr>
        <w:fldChar w:fldCharType="begin" w:fldLock="1"/>
      </w:r>
      <w:r w:rsidRPr="00E93A5B">
        <w:rPr>
          <w:rFonts w:eastAsia="Times New Roman" w:cstheme="majorHAnsi"/>
          <w:shd w:val="clear" w:color="auto" w:fill="FFFFFF"/>
        </w:rPr>
        <w:instrText>ADDIN CSL_CITATION {"citationItems":[{"id":"ITEM-1","itemData":{"author":[{"dropping-particle":"","family":"Cleveland","given":"T","non-dropping-particle":"","parse-names":false,"suffix":""}],"container-title":"Journal of Singing - The Official Journal of the National Association of Teachers of Singing","id":"ITEM-1","issue":"3","issued":{"date-parts":[["1999"]]},"page":"67-68","title":"Vocal Pedagogy for the 21st Century: Registers and Register Transitions","type":"article-journal","volume":"55"},"uris":["http://www.mendeley.com/documents/?uuid=802722b2-af61-4d1a-b79e-4dd2ac6749aa"]}],"mendeley":{"formattedCitation":"(Cleveland, 1999)","manualFormatting":"(Cleveland, 1999, p.67)","plainTextFormattedCitation":"(Cleveland, 1999)","previouslyFormattedCitation":"(Cleveland, 1999)"},"properties":{"noteIndex":0},"schema":"https://github.com/citation-style-language/schema/raw/master/csl-citation.json"}</w:instrText>
      </w:r>
      <w:r w:rsidRPr="00E93A5B">
        <w:rPr>
          <w:rFonts w:eastAsia="Times New Roman" w:cstheme="majorHAnsi"/>
          <w:shd w:val="clear" w:color="auto" w:fill="FFFFFF"/>
        </w:rPr>
        <w:fldChar w:fldCharType="separate"/>
      </w:r>
      <w:r w:rsidRPr="00E93A5B">
        <w:rPr>
          <w:rFonts w:eastAsia="Times New Roman" w:cstheme="majorHAnsi"/>
          <w:noProof/>
          <w:shd w:val="clear" w:color="auto" w:fill="FFFFFF"/>
        </w:rPr>
        <w:t>(Cleveland, 1999, p.67)</w:t>
      </w:r>
      <w:r w:rsidRPr="00E93A5B">
        <w:rPr>
          <w:rFonts w:eastAsia="Times New Roman" w:cstheme="majorHAnsi"/>
          <w:shd w:val="clear" w:color="auto" w:fill="FFFFFF"/>
        </w:rPr>
        <w:fldChar w:fldCharType="end"/>
      </w:r>
      <w:r w:rsidRPr="00E93A5B">
        <w:rPr>
          <w:rFonts w:eastAsia="Times New Roman" w:cstheme="majorHAnsi"/>
          <w:shd w:val="clear" w:color="auto" w:fill="FFFFFF"/>
        </w:rPr>
        <w:t>, the register transitions are a “marvellous art form in themselves and a vocal gymnastic requiring skill and cultivation”</w:t>
      </w:r>
      <w:r w:rsidRPr="00E93A5B">
        <w:rPr>
          <w:rFonts w:eastAsia="Times New Roman" w:cstheme="majorHAnsi"/>
          <w:shd w:val="clear" w:color="auto" w:fill="FFFFFF"/>
        </w:rPr>
        <w:fldChar w:fldCharType="begin" w:fldLock="1"/>
      </w:r>
      <w:r w:rsidRPr="00E93A5B">
        <w:rPr>
          <w:rFonts w:eastAsia="Times New Roman" w:cstheme="majorHAnsi"/>
          <w:shd w:val="clear" w:color="auto" w:fill="FFFFFF"/>
        </w:rPr>
        <w:instrText>ADDIN CSL_CITATION {"citationItems":[{"id":"ITEM-1","itemData":{"author":[{"dropping-particle":"","family":"Cleveland","given":"T","non-dropping-particle":"","parse-names":false,"suffix":""}],"container-title":"Journal of Singing - The Official Journal of the National Association of Teachers of Singing","id":"ITEM-1","issue":"3","issued":{"date-parts":[["1999"]]},"page":"67-68","title":"Vocal Pedagogy for the 21st Century: Registers and Register Transitions","type":"article-journal","volume":"55"},"uris":["http://www.mendeley.com/documents/?uuid=802722b2-af61-4d1a-b79e-4dd2ac6749aa"]}],"mendeley":{"formattedCitation":"(Cleveland, 1999)","manualFormatting":"(Cleveland, 1999, p.67)","plainTextFormattedCitation":"(Cleveland, 1999)","previouslyFormattedCitation":"(Cleveland, 1999)"},"properties":{"noteIndex":0},"schema":"https://github.com/citation-style-language/schema/raw/master/csl-citation.json"}</w:instrText>
      </w:r>
      <w:r w:rsidRPr="00E93A5B">
        <w:rPr>
          <w:rFonts w:eastAsia="Times New Roman" w:cstheme="majorHAnsi"/>
          <w:shd w:val="clear" w:color="auto" w:fill="FFFFFF"/>
        </w:rPr>
        <w:fldChar w:fldCharType="separate"/>
      </w:r>
      <w:r w:rsidRPr="00E93A5B">
        <w:rPr>
          <w:rFonts w:eastAsia="Times New Roman" w:cstheme="majorHAnsi"/>
          <w:noProof/>
          <w:shd w:val="clear" w:color="auto" w:fill="FFFFFF"/>
        </w:rPr>
        <w:t>(Cleveland, 1999, p.67)</w:t>
      </w:r>
      <w:r w:rsidRPr="00E93A5B">
        <w:rPr>
          <w:rFonts w:eastAsia="Times New Roman" w:cstheme="majorHAnsi"/>
          <w:shd w:val="clear" w:color="auto" w:fill="FFFFFF"/>
        </w:rPr>
        <w:fldChar w:fldCharType="end"/>
      </w:r>
      <w:r w:rsidRPr="00E93A5B">
        <w:rPr>
          <w:rFonts w:eastAsia="Times New Roman" w:cstheme="majorHAnsi"/>
          <w:shd w:val="clear" w:color="auto" w:fill="FFFFFF"/>
        </w:rPr>
        <w:t xml:space="preserve">. A listener to perceive no ‘break’ is a listener experiencing a skilled vocalist demonstrating control of the vocal </w:t>
      </w:r>
      <w:commentRangeStart w:id="6"/>
      <w:r w:rsidRPr="00E93A5B">
        <w:rPr>
          <w:rFonts w:eastAsia="Times New Roman" w:cstheme="majorHAnsi"/>
          <w:shd w:val="clear" w:color="auto" w:fill="FFFFFF"/>
        </w:rPr>
        <w:t>mechanism</w:t>
      </w:r>
      <w:commentRangeEnd w:id="6"/>
      <w:r w:rsidR="00E7192B">
        <w:rPr>
          <w:rStyle w:val="CommentReference"/>
          <w:rFonts w:eastAsiaTheme="minorEastAsia"/>
          <w:lang w:val="en-US"/>
        </w:rPr>
        <w:commentReference w:id="6"/>
      </w:r>
      <w:r w:rsidRPr="00E93A5B">
        <w:rPr>
          <w:rFonts w:eastAsia="Times New Roman" w:cstheme="majorHAnsi"/>
          <w:shd w:val="clear" w:color="auto" w:fill="FFFFFF"/>
        </w:rPr>
        <w:t xml:space="preserve"> </w:t>
      </w:r>
      <w:r w:rsidRPr="00E93A5B">
        <w:rPr>
          <w:rFonts w:eastAsia="Times New Roman" w:cstheme="majorHAnsi"/>
        </w:rPr>
        <w:t>(</w:t>
      </w:r>
      <w:r w:rsidRPr="00E93A5B">
        <w:rPr>
          <w:rFonts w:eastAsia="Times New Roman" w:cstheme="majorHAnsi"/>
          <w:noProof/>
          <w:shd w:val="clear" w:color="auto" w:fill="FFFFFF"/>
        </w:rPr>
        <w:t xml:space="preserve">Herbst </w:t>
      </w:r>
      <w:r w:rsidRPr="00E93A5B">
        <w:rPr>
          <w:rFonts w:eastAsia="Times New Roman" w:cstheme="majorHAnsi"/>
          <w:i/>
          <w:noProof/>
          <w:shd w:val="clear" w:color="auto" w:fill="FFFFFF"/>
        </w:rPr>
        <w:t>et al.</w:t>
      </w:r>
      <w:r w:rsidRPr="00E93A5B">
        <w:rPr>
          <w:rFonts w:eastAsia="Times New Roman" w:cstheme="majorHAnsi"/>
          <w:noProof/>
          <w:shd w:val="clear" w:color="auto" w:fill="FFFFFF"/>
        </w:rPr>
        <w:t xml:space="preserve">, 2019 ). </w:t>
      </w:r>
      <w:r w:rsidRPr="00E93A5B">
        <w:rPr>
          <w:rFonts w:eastAsia="Times New Roman" w:cstheme="majorHAnsi"/>
        </w:rPr>
        <w:t xml:space="preserve">A singer should be aware that the sound they hear internally will be different from what their audience will hear externally and thus the audience should in essence appreciate that the internal mechanism will feel differently from what is heard. A singer must be aware of their “internal and external auditory perception” (Yarnell, 2017, p.567) in order to become an skilled singer, “like any instrument, it must strive to give the illusion of perfection” </w:t>
      </w:r>
      <w:r w:rsidRPr="00E93A5B">
        <w:rPr>
          <w:rFonts w:eastAsia="Times New Roman" w:cstheme="majorHAnsi"/>
        </w:rPr>
        <w:fldChar w:fldCharType="begin" w:fldLock="1"/>
      </w:r>
      <w:r w:rsidRPr="00E93A5B">
        <w:rPr>
          <w:rFonts w:eastAsia="Times New Roman" w:cstheme="majorHAnsi"/>
        </w:rPr>
        <w:instrText>ADDIN CSL_CITATION {"citationItems":[{"id":"ITEM-1","itemData":{"author":[{"dropping-particle":"","family":"Stark","given":"James","non-dropping-particle":"","parse-names":false,"suffix":""}],"id":"ITEM-1","issued":{"date-parts":[["2008"]]},"number-of-pages":"57-90","publisher":"Toronto, Ontario ; Buffalo, New York ; London, England : University of Toronto Press","publisher-place":"Toronto","title":"Bel Canto : A History of Vocal Pedagogy","type":"book"},"uris":["http://www.mendeley.com/documents/?uuid=8c3136fa-b301-4ca0-b4ad-6608d26b4683"]}],"mendeley":{"formattedCitation":"(Stark, 2008)","manualFormatting":"(Stark, 2008, p.57)","plainTextFormattedCitation":"(Stark, 2008)","previouslyFormattedCitation":"(Stark, 2008)"},"properties":{"noteIndex":0},"schema":"https://github.com/citation-style-language/schema/raw/master/csl-citation.json"}</w:instrText>
      </w:r>
      <w:r w:rsidRPr="00E93A5B">
        <w:rPr>
          <w:rFonts w:eastAsia="Times New Roman" w:cstheme="majorHAnsi"/>
        </w:rPr>
        <w:fldChar w:fldCharType="separate"/>
      </w:r>
      <w:r w:rsidRPr="00E93A5B">
        <w:rPr>
          <w:rFonts w:eastAsia="Times New Roman" w:cstheme="majorHAnsi"/>
          <w:noProof/>
        </w:rPr>
        <w:t>(Stark, 2008, p.57)</w:t>
      </w:r>
      <w:r w:rsidRPr="00E93A5B">
        <w:rPr>
          <w:rFonts w:eastAsia="Times New Roman" w:cstheme="majorHAnsi"/>
        </w:rPr>
        <w:fldChar w:fldCharType="end"/>
      </w:r>
      <w:r w:rsidRPr="00E93A5B">
        <w:rPr>
          <w:rFonts w:eastAsia="Times New Roman" w:cstheme="majorHAnsi"/>
        </w:rPr>
        <w:t xml:space="preserve">. I find this an interesting theory however, explaining this to my students could be confusing. </w:t>
      </w:r>
      <w:r w:rsidRPr="00E93A5B">
        <w:rPr>
          <w:rFonts w:eastAsia="Times New Roman" w:cstheme="majorHAnsi"/>
          <w:color w:val="642BFF"/>
        </w:rPr>
        <w:t xml:space="preserve">{ </w:t>
      </w:r>
      <w:r w:rsidRPr="00E93A5B">
        <w:rPr>
          <w:color w:val="642BFF"/>
        </w:rPr>
        <w:t xml:space="preserve">Do you need to explain it? Perhaps it impacts your strategy in a different way?} </w:t>
      </w:r>
    </w:p>
    <w:p w14:paraId="15427EBE" w14:textId="77777777" w:rsidR="00FB619B" w:rsidRPr="00E93A5B" w:rsidRDefault="00FB619B" w:rsidP="00FB619B">
      <w:pPr>
        <w:rPr>
          <w:rFonts w:eastAsia="Times New Roman" w:cstheme="majorHAnsi"/>
          <w:noProof/>
          <w:shd w:val="clear" w:color="auto" w:fill="FFFFFF"/>
        </w:rPr>
      </w:pPr>
    </w:p>
    <w:p w14:paraId="62366EE2" w14:textId="4F07D311" w:rsidR="00FB619B" w:rsidRPr="00E93A5B" w:rsidRDefault="00FB619B" w:rsidP="00E93A5B">
      <w:pPr>
        <w:pStyle w:val="CommentText"/>
        <w:rPr>
          <w:rFonts w:cstheme="majorHAnsi"/>
          <w:color w:val="642BFF"/>
          <w:sz w:val="24"/>
          <w:szCs w:val="24"/>
        </w:rPr>
      </w:pPr>
      <w:r w:rsidRPr="00E93A5B">
        <w:rPr>
          <w:rFonts w:cstheme="majorHAnsi"/>
          <w:sz w:val="24"/>
          <w:szCs w:val="24"/>
        </w:rPr>
        <w:t xml:space="preserve">“Sounds produced by the larynx are shaped by the pharynx and mouth” forming the vocal tract which receives frequencies acoustically through vibrations formed at the vocal folds creating pitch and then changes the sound by allowing the singer to shape vowels </w:t>
      </w:r>
      <w:r w:rsidRPr="00E93A5B">
        <w:rPr>
          <w:rFonts w:cstheme="majorHAnsi"/>
          <w:sz w:val="24"/>
          <w:szCs w:val="24"/>
        </w:rPr>
        <w:fldChar w:fldCharType="begin" w:fldLock="1"/>
      </w:r>
      <w:r w:rsidRPr="00E93A5B">
        <w:rPr>
          <w:rFonts w:cstheme="majorHAnsi"/>
          <w:sz w:val="24"/>
          <w:szCs w:val="24"/>
        </w:rPr>
        <w:instrText>ADDIN CSL_CITATION {"citationItems":[{"id":"ITEM-1","itemData":{"author":[{"dropping-particle":"","family":"Cleveland","given":"Thomas F.","non-dropping-particle":"","parse-names":false,"suffix":""},{"dropping-particle":"","family":"Ph.D.","given":"","non-dropping-particle":"","parse-names":false,"suffix":""}],"id":"ITEM-1","issue":"APRIL","issued":{"date-parts":[["1993"]]},"page":"37-40","title":"Voice Pedagogy for the Twenty-First Century","type":"article-journal"},"uris":["http://www.mendeley.com/documents/?uuid=186304eb-a7cb-4455-b926-998ff93f27df"]}],"mendeley":{"formattedCitation":"(Cleveland and Ph.D., 1993)","manualFormatting":"(Cleveland and Ph.D., 1993)","plainTextFormattedCitation":"(Cleveland and Ph.D., 1993)","previouslyFormattedCitation":"(Cleveland and Ph.D., 1993)"},"properties":{"noteIndex":0},"schema":"https://github.com/citation-style-language/schema/raw/master/csl-citation.json"}</w:instrText>
      </w:r>
      <w:r w:rsidRPr="00E93A5B">
        <w:rPr>
          <w:rFonts w:cstheme="majorHAnsi"/>
          <w:sz w:val="24"/>
          <w:szCs w:val="24"/>
        </w:rPr>
        <w:fldChar w:fldCharType="separate"/>
      </w:r>
      <w:r w:rsidRPr="00E93A5B">
        <w:rPr>
          <w:rFonts w:cstheme="majorHAnsi"/>
          <w:noProof/>
          <w:sz w:val="24"/>
          <w:szCs w:val="24"/>
        </w:rPr>
        <w:t>(Cleveland, 1993)</w:t>
      </w:r>
      <w:r w:rsidRPr="00E93A5B">
        <w:rPr>
          <w:rFonts w:cstheme="majorHAnsi"/>
          <w:sz w:val="24"/>
          <w:szCs w:val="24"/>
        </w:rPr>
        <w:fldChar w:fldCharType="end"/>
      </w:r>
      <w:r w:rsidRPr="00E93A5B">
        <w:rPr>
          <w:rFonts w:cstheme="majorHAnsi"/>
          <w:sz w:val="24"/>
          <w:szCs w:val="24"/>
        </w:rPr>
        <w:t xml:space="preserve">. Thus, singing by changing tongue placement, height and “lowering the larynx or protruding the lips” </w:t>
      </w:r>
      <w:r w:rsidRPr="00E93A5B">
        <w:rPr>
          <w:rFonts w:cstheme="majorHAnsi"/>
          <w:sz w:val="24"/>
          <w:szCs w:val="24"/>
        </w:rPr>
        <w:fldChar w:fldCharType="begin" w:fldLock="1"/>
      </w:r>
      <w:r w:rsidRPr="00E93A5B">
        <w:rPr>
          <w:rFonts w:cstheme="majorHAnsi"/>
          <w:sz w:val="24"/>
          <w:szCs w:val="24"/>
        </w:rPr>
        <w:instrText>ADDIN CSL_CITATION {"citationItems":[{"id":"ITEM-1","itemData":{"author":[{"dropping-particle":"","family":"Cleveland","given":"Thomas F.","non-dropping-particle":"","parse-names":false,"suffix":""},{"dropping-particle":"","family":"Ph.D.","given":"","non-dropping-particle":"","parse-names":false,"suffix":""}],"id":"ITEM-1","issue":"APRIL","issued":{"date-parts":[["1993"]]},"page":"37-40","title":"Voice Pedagogy for the Twenty-First Century","type":"article-journal"},"uris":["http://www.mendeley.com/documents/?uuid=186304eb-a7cb-4455-b926-998ff93f27df"]}],"mendeley":{"formattedCitation":"(Cleveland and Ph.D., 1993)","manualFormatting":"(Cleveland and Ph.D., 1993, p.37)","plainTextFormattedCitation":"(Cleveland and Ph.D., 1993)","previouslyFormattedCitation":"(Cleveland and Ph.D., 1993)"},"properties":{"noteIndex":0},"schema":"https://github.com/citation-style-language/schema/raw/master/csl-citation.json"}</w:instrText>
      </w:r>
      <w:r w:rsidRPr="00E93A5B">
        <w:rPr>
          <w:rFonts w:cstheme="majorHAnsi"/>
          <w:sz w:val="24"/>
          <w:szCs w:val="24"/>
        </w:rPr>
        <w:fldChar w:fldCharType="separate"/>
      </w:r>
      <w:r w:rsidRPr="00E93A5B">
        <w:rPr>
          <w:rFonts w:cstheme="majorHAnsi"/>
          <w:noProof/>
          <w:sz w:val="24"/>
          <w:szCs w:val="24"/>
        </w:rPr>
        <w:t>(Cleveland, 1993)</w:t>
      </w:r>
      <w:r w:rsidRPr="00E93A5B">
        <w:rPr>
          <w:rFonts w:cstheme="majorHAnsi"/>
          <w:sz w:val="24"/>
          <w:szCs w:val="24"/>
        </w:rPr>
        <w:fldChar w:fldCharType="end"/>
      </w:r>
      <w:r w:rsidRPr="00E93A5B">
        <w:rPr>
          <w:rFonts w:cstheme="majorHAnsi"/>
          <w:sz w:val="24"/>
          <w:szCs w:val="24"/>
        </w:rPr>
        <w:t>, creating the manipulation of the acoustical sound that is desired</w:t>
      </w:r>
      <w:r w:rsidRPr="00E93A5B">
        <w:rPr>
          <w:rFonts w:cstheme="majorHAnsi"/>
          <w:color w:val="642BFF"/>
          <w:sz w:val="24"/>
          <w:szCs w:val="24"/>
        </w:rPr>
        <w:t>.{ Yes, absolutely – it’s non</w:t>
      </w:r>
      <w:r w:rsidR="00E93A5B" w:rsidRPr="00E93A5B">
        <w:rPr>
          <w:rFonts w:cstheme="majorHAnsi"/>
          <w:color w:val="642BFF"/>
          <w:sz w:val="24"/>
          <w:szCs w:val="24"/>
        </w:rPr>
        <w:t>-</w:t>
      </w:r>
      <w:r w:rsidRPr="00E93A5B">
        <w:rPr>
          <w:rFonts w:cstheme="majorHAnsi"/>
          <w:color w:val="642BFF"/>
          <w:sz w:val="24"/>
          <w:szCs w:val="24"/>
        </w:rPr>
        <w:t>linear as the source and vocal tract interact.  Herbst has written a good paper on the non-linearity of the system</w:t>
      </w:r>
      <w:r w:rsidR="00E93A5B" w:rsidRPr="00E93A5B">
        <w:rPr>
          <w:rFonts w:cstheme="majorHAnsi"/>
          <w:color w:val="642BFF"/>
          <w:sz w:val="24"/>
          <w:szCs w:val="24"/>
        </w:rPr>
        <w:t>}</w:t>
      </w:r>
    </w:p>
    <w:p w14:paraId="7A391D1F" w14:textId="77777777" w:rsidR="00E93A5B" w:rsidRPr="00E93A5B" w:rsidRDefault="00E93A5B" w:rsidP="00E93A5B">
      <w:pPr>
        <w:pStyle w:val="CommentText"/>
        <w:rPr>
          <w:rFonts w:cstheme="majorHAnsi"/>
          <w:color w:val="642BFF"/>
          <w:sz w:val="24"/>
          <w:szCs w:val="24"/>
        </w:rPr>
      </w:pPr>
    </w:p>
    <w:p w14:paraId="5D48BA4D" w14:textId="77777777" w:rsidR="00FB619B" w:rsidRPr="00E93A5B" w:rsidRDefault="00FB619B" w:rsidP="00FB619B">
      <w:pPr>
        <w:widowControl w:val="0"/>
        <w:tabs>
          <w:tab w:val="left" w:pos="220"/>
          <w:tab w:val="left" w:pos="4111"/>
        </w:tabs>
        <w:autoSpaceDE w:val="0"/>
        <w:autoSpaceDN w:val="0"/>
        <w:adjustRightInd w:val="0"/>
        <w:spacing w:after="240"/>
        <w:rPr>
          <w:rFonts w:cstheme="majorHAnsi"/>
        </w:rPr>
      </w:pPr>
      <w:r w:rsidRPr="00E93A5B">
        <w:rPr>
          <w:rFonts w:cstheme="majorHAnsi"/>
        </w:rPr>
        <w:t xml:space="preserve">If the vocal tract was fixed, it would hindrance what we take for granted with the articulators that allow us to modify a frequency. Abduction and adduction of the vocal folds allow us to generate vocal effect by adding warmth, breathiness, pressed sounds etc., and elegance through the ranges, supporting with “acoustic transition” </w:t>
      </w:r>
      <w:r w:rsidRPr="00E93A5B">
        <w:rPr>
          <w:rFonts w:cstheme="majorHAnsi"/>
        </w:rPr>
        <w:fldChar w:fldCharType="begin" w:fldLock="1"/>
      </w:r>
      <w:r w:rsidRPr="00E93A5B">
        <w:rPr>
          <w:rFonts w:cstheme="majorHAnsi"/>
        </w:rPr>
        <w:instrText>ADDIN CSL_CITATION {"citationItems":[{"id":"ITEM-1","itemData":{"abstract":"BOZEMAN, K. (2018). Practical vocal acoustics: pedagogic applications for teachers and singers. https://nls.ldls.org.uk/welcome.html?ark:/81055/vdc_100057890836.0x000001.","author":[{"dropping-particle":"","family":"Bozeman","given":"Ken","non-dropping-particle":"","parse-names":false,"suffix":""}],"container-title":"Practical Vocal Acoustics: Pedagogic Applications for Teachers and Singers","id":"ITEM-1","issued":{"date-parts":[["2018"]]},"note":"Not much use, more about vowels than registers.","publisher":"Pendragon Press","title":"Practical Vocal Acoustics: Pedagogic Applications for Teachers and Singers","type":"book"},"uris":["http://www.mendeley.com/documents/?uuid=cf99519e-9081-4814-83c7-be3757db64ea"]}],"mendeley":{"formattedCitation":"(Bozeman, 2018)","plainTextFormattedCitation":"(Bozeman, 2018)","previouslyFormattedCitation":"(Bozeman, 2018)"},"properties":{"noteIndex":0},"schema":"https://github.com/citation-style-language/schema/raw/master/csl-citation.json"}</w:instrText>
      </w:r>
      <w:r w:rsidRPr="00E93A5B">
        <w:rPr>
          <w:rFonts w:cstheme="majorHAnsi"/>
        </w:rPr>
        <w:fldChar w:fldCharType="separate"/>
      </w:r>
      <w:r w:rsidRPr="00E93A5B">
        <w:rPr>
          <w:rFonts w:cstheme="majorHAnsi"/>
          <w:noProof/>
        </w:rPr>
        <w:t>(Bozeman, 2018)</w:t>
      </w:r>
      <w:r w:rsidRPr="00E93A5B">
        <w:rPr>
          <w:rFonts w:cstheme="majorHAnsi"/>
        </w:rPr>
        <w:fldChar w:fldCharType="end"/>
      </w:r>
      <w:r w:rsidRPr="00E93A5B">
        <w:rPr>
          <w:rFonts w:cstheme="majorHAnsi"/>
        </w:rPr>
        <w:t>.</w:t>
      </w:r>
    </w:p>
    <w:p w14:paraId="4A2012E2" w14:textId="77777777" w:rsidR="00FB619B" w:rsidRPr="00E93A5B" w:rsidRDefault="00FB619B" w:rsidP="00FB619B">
      <w:pPr>
        <w:rPr>
          <w:rFonts w:eastAsia="Times New Roman" w:cstheme="majorHAnsi"/>
          <w:shd w:val="clear" w:color="auto" w:fill="FFFFFF"/>
        </w:rPr>
      </w:pPr>
      <w:r w:rsidRPr="00E93A5B">
        <w:rPr>
          <w:rFonts w:eastAsia="Times New Roman" w:cstheme="majorHAnsi"/>
          <w:shd w:val="clear" w:color="auto" w:fill="FFFFFF"/>
        </w:rPr>
        <w:t xml:space="preserve">Observations and feedback would suggest that the lack of smoothness in a vocal transition causing a ‘break’ is culturally unacceptable, a singer must learn the technical adjustments to be able to prevent this from happening </w:t>
      </w:r>
      <w:r w:rsidRPr="00E93A5B">
        <w:rPr>
          <w:rFonts w:eastAsia="Times New Roman" w:cstheme="majorHAnsi"/>
          <w:shd w:val="clear" w:color="auto" w:fill="FFFFFF"/>
        </w:rPr>
        <w:fldChar w:fldCharType="begin" w:fldLock="1"/>
      </w:r>
      <w:r w:rsidRPr="00E93A5B">
        <w:rPr>
          <w:rFonts w:eastAsia="Times New Roman" w:cstheme="majorHAnsi"/>
          <w:shd w:val="clear" w:color="auto" w:fill="FFFFFF"/>
        </w:rPr>
        <w:instrText>ADDIN CSL_CITATION {"citationItems":[{"id":"ITEM-1","itemData":{"ISSN":"1086-7732","abstract":"The article focuses on the use of treadmill exercise in exposing problems in voice register management. It recommends the use of semioccluded vocal tract exercises such as tongue trills or humming to warm up the voice prior to using the treadmill exercises as a practice exercise. It mentions the exercises are meant to reveal abrupt register changes, instabilities in phonation, or pitch jumps and as a practice tool help singers avoid discontinuities and instabilities by maintaining a mixed registration. It comments that a microphone or vowel modification would be required to equalize intensity.","author":[{"dropping-particle":"","family":"Titze","given":"Ingo","non-dropping-particle":"","parse-names":false,"suffix":""}],"container-title":"Journal of Singing","id":"ITEM-1","issue":"4","issued":{"date-parts":[["2013"]]},"page":"447","title":"A Pair of Advanced Exercises as a Register Treadmill","type":"article-journal","volume":"69"},"uris":["http://www.mendeley.com/documents/?uuid=031e8155-fd3f-4d03-b30b-9804c5adee9c"]}],"mendeley":{"formattedCitation":"(Titze, 2013)","manualFormatting":"(Titze, 2013)","plainTextFormattedCitation":"(Titze, 2013)","previouslyFormattedCitation":"(Titze, 2013)"},"properties":{"noteIndex":0},"schema":"https://github.com/citation-style-language/schema/raw/master/csl-citation.json"}</w:instrText>
      </w:r>
      <w:r w:rsidRPr="00E93A5B">
        <w:rPr>
          <w:rFonts w:eastAsia="Times New Roman" w:cstheme="majorHAnsi"/>
          <w:shd w:val="clear" w:color="auto" w:fill="FFFFFF"/>
        </w:rPr>
        <w:fldChar w:fldCharType="separate"/>
      </w:r>
      <w:r w:rsidRPr="00E93A5B">
        <w:rPr>
          <w:rFonts w:eastAsia="Times New Roman" w:cstheme="majorHAnsi"/>
          <w:noProof/>
          <w:shd w:val="clear" w:color="auto" w:fill="FFFFFF"/>
        </w:rPr>
        <w:t>(Titze, 2013)</w:t>
      </w:r>
      <w:r w:rsidRPr="00E93A5B">
        <w:rPr>
          <w:rFonts w:eastAsia="Times New Roman" w:cstheme="majorHAnsi"/>
          <w:shd w:val="clear" w:color="auto" w:fill="FFFFFF"/>
        </w:rPr>
        <w:fldChar w:fldCharType="end"/>
      </w:r>
      <w:r w:rsidRPr="00E93A5B">
        <w:rPr>
          <w:rFonts w:eastAsia="Times New Roman" w:cstheme="majorHAnsi"/>
          <w:shd w:val="clear" w:color="auto" w:fill="FFFFFF"/>
        </w:rPr>
        <w:t xml:space="preserve">. </w:t>
      </w:r>
    </w:p>
    <w:p w14:paraId="4B814C0E" w14:textId="77777777" w:rsidR="00FB619B" w:rsidRPr="00E93A5B" w:rsidRDefault="00FB619B" w:rsidP="00FB619B">
      <w:pPr>
        <w:rPr>
          <w:rFonts w:eastAsia="Times New Roman" w:cstheme="majorHAnsi"/>
          <w:shd w:val="clear" w:color="auto" w:fill="FFFFFF"/>
        </w:rPr>
      </w:pPr>
    </w:p>
    <w:p w14:paraId="3A4F9AC4" w14:textId="1AF11757" w:rsidR="00FB619B" w:rsidRPr="00E93A5B" w:rsidRDefault="00FB619B" w:rsidP="00FB619B">
      <w:pPr>
        <w:widowControl w:val="0"/>
        <w:tabs>
          <w:tab w:val="left" w:pos="220"/>
          <w:tab w:val="left" w:pos="4111"/>
        </w:tabs>
        <w:autoSpaceDE w:val="0"/>
        <w:autoSpaceDN w:val="0"/>
        <w:adjustRightInd w:val="0"/>
        <w:spacing w:after="240"/>
        <w:rPr>
          <w:rFonts w:cs="Arial"/>
          <w:bCs/>
          <w:color w:val="642BFF"/>
        </w:rPr>
      </w:pPr>
      <w:r w:rsidRPr="00E93A5B">
        <w:rPr>
          <w:rFonts w:cs="Arial"/>
          <w:bCs/>
          <w:color w:val="642BFF"/>
        </w:rPr>
        <w:t xml:space="preserve">{Here you begin to include reflective practice references} </w:t>
      </w:r>
    </w:p>
    <w:p w14:paraId="5167166A" w14:textId="0B50C086" w:rsidR="00E93A5B" w:rsidRPr="00E93A5B" w:rsidRDefault="00FB619B" w:rsidP="00FB619B">
      <w:pPr>
        <w:widowControl w:val="0"/>
        <w:tabs>
          <w:tab w:val="left" w:pos="220"/>
          <w:tab w:val="left" w:pos="4111"/>
        </w:tabs>
        <w:autoSpaceDE w:val="0"/>
        <w:autoSpaceDN w:val="0"/>
        <w:adjustRightInd w:val="0"/>
        <w:spacing w:after="240"/>
        <w:rPr>
          <w:rFonts w:cs="Arial"/>
          <w:bCs/>
          <w:color w:val="642BFF"/>
        </w:rPr>
      </w:pPr>
      <w:r w:rsidRPr="00E93A5B">
        <w:rPr>
          <w:rFonts w:cs="Arial"/>
          <w:bCs/>
          <w:color w:val="642BFF"/>
        </w:rPr>
        <w:t>{Conclude what you have learnt from research and findings that will impact your traching practice</w:t>
      </w:r>
      <w:r w:rsidR="00E93A5B" w:rsidRPr="00E93A5B">
        <w:rPr>
          <w:rFonts w:cs="Arial"/>
          <w:bCs/>
          <w:color w:val="642BFF"/>
        </w:rPr>
        <w:t>}</w:t>
      </w:r>
    </w:p>
    <w:p w14:paraId="559D36EB" w14:textId="77777777" w:rsidR="00E93A5B" w:rsidRPr="00E93A5B" w:rsidRDefault="00E93A5B" w:rsidP="00E93A5B">
      <w:pPr>
        <w:widowControl w:val="0"/>
        <w:tabs>
          <w:tab w:val="left" w:pos="220"/>
          <w:tab w:val="left" w:pos="4111"/>
        </w:tabs>
        <w:autoSpaceDE w:val="0"/>
        <w:autoSpaceDN w:val="0"/>
        <w:adjustRightInd w:val="0"/>
        <w:spacing w:after="240"/>
        <w:rPr>
          <w:rFonts w:cs="Arial"/>
          <w:bCs/>
        </w:rPr>
      </w:pPr>
      <w:r w:rsidRPr="00E93A5B">
        <w:rPr>
          <w:rFonts w:cs="Arial"/>
          <w:bCs/>
        </w:rPr>
        <w:t xml:space="preserve">My objective in steering this study was to determine patterns of terminology useful for </w:t>
      </w:r>
      <w:commentRangeStart w:id="7"/>
      <w:r w:rsidRPr="00E93A5B">
        <w:rPr>
          <w:rFonts w:cs="Arial"/>
          <w:bCs/>
        </w:rPr>
        <w:t>my</w:t>
      </w:r>
      <w:commentRangeEnd w:id="7"/>
      <w:r w:rsidR="00E7192B">
        <w:rPr>
          <w:rStyle w:val="CommentReference"/>
          <w:rFonts w:eastAsiaTheme="minorEastAsia"/>
          <w:lang w:val="en-US"/>
        </w:rPr>
        <w:commentReference w:id="7"/>
      </w:r>
      <w:r w:rsidRPr="00E93A5B">
        <w:rPr>
          <w:rFonts w:cs="Arial"/>
          <w:bCs/>
        </w:rPr>
        <w:t xml:space="preserve"> own practice that would unravel the misinterpretation of teaching resonance in relation to understanding and practically applying a vocal register and its transition. </w:t>
      </w:r>
    </w:p>
    <w:p w14:paraId="2ACB5589" w14:textId="77777777" w:rsidR="00E93A5B" w:rsidRDefault="00E93A5B" w:rsidP="00FB619B">
      <w:pPr>
        <w:widowControl w:val="0"/>
        <w:tabs>
          <w:tab w:val="left" w:pos="220"/>
          <w:tab w:val="left" w:pos="4111"/>
        </w:tabs>
        <w:autoSpaceDE w:val="0"/>
        <w:autoSpaceDN w:val="0"/>
        <w:adjustRightInd w:val="0"/>
        <w:spacing w:after="240"/>
        <w:rPr>
          <w:rFonts w:ascii="Arial" w:hAnsi="Arial" w:cs="Arial"/>
          <w:bCs/>
          <w:color w:val="642BFF"/>
          <w:sz w:val="22"/>
          <w:szCs w:val="22"/>
        </w:rPr>
      </w:pPr>
    </w:p>
    <w:p w14:paraId="4CCBB72F" w14:textId="77777777" w:rsidR="00FB619B" w:rsidRDefault="00FB619B"/>
    <w:sectPr w:rsidR="00FB619B">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Debbie Winter" w:date="2020-10-19T11:03:00Z" w:initials="DW">
    <w:p w14:paraId="33409689" w14:textId="7C8CBF12" w:rsidR="00AA2326" w:rsidRDefault="00AA2326">
      <w:pPr>
        <w:pStyle w:val="CommentText"/>
      </w:pPr>
      <w:r>
        <w:rPr>
          <w:rStyle w:val="CommentReference"/>
        </w:rPr>
        <w:annotationRef/>
      </w:r>
      <w:r>
        <w:t>This could be a bit clearer. It’s a bit wordy.</w:t>
      </w:r>
    </w:p>
  </w:comment>
  <w:comment w:id="1" w:author="Debbie Winter" w:date="2020-10-19T11:08:00Z" w:initials="DW">
    <w:p w14:paraId="3E8B154B" w14:textId="1777859C" w:rsidR="00AA2326" w:rsidRDefault="00AA2326">
      <w:pPr>
        <w:pStyle w:val="CommentText"/>
      </w:pPr>
      <w:r>
        <w:rPr>
          <w:rStyle w:val="CommentReference"/>
        </w:rPr>
        <w:annotationRef/>
      </w:r>
      <w:r>
        <w:t>This is interesting but it is descriptive. Can you summarise it? It’s valuable word count with little credit value.</w:t>
      </w:r>
    </w:p>
  </w:comment>
  <w:comment w:id="2" w:author="Debbie Winter" w:date="2020-10-19T11:12:00Z" w:initials="DW">
    <w:p w14:paraId="7FD9E793" w14:textId="41096DF0" w:rsidR="00AA2326" w:rsidRDefault="00AA2326">
      <w:pPr>
        <w:pStyle w:val="CommentText"/>
      </w:pPr>
      <w:r>
        <w:rPr>
          <w:rStyle w:val="CommentReference"/>
        </w:rPr>
        <w:annotationRef/>
      </w:r>
      <w:r>
        <w:t>Good critique but can you tone down the language a little here. Make it less emotive.</w:t>
      </w:r>
    </w:p>
  </w:comment>
  <w:comment w:id="3" w:author="Debbie Winter" w:date="2020-10-19T11:13:00Z" w:initials="DW">
    <w:p w14:paraId="6DFCDF17" w14:textId="2D60E107" w:rsidR="00432F22" w:rsidRDefault="00432F22">
      <w:pPr>
        <w:pStyle w:val="CommentText"/>
      </w:pPr>
      <w:r>
        <w:rPr>
          <w:rStyle w:val="CommentReference"/>
        </w:rPr>
        <w:annotationRef/>
      </w:r>
      <w:r>
        <w:t>Although, this point is far from clear since the concept of acoustic registers has emerged.</w:t>
      </w:r>
    </w:p>
  </w:comment>
  <w:comment w:id="4" w:author="Debbie Winter" w:date="2020-10-19T11:17:00Z" w:initials="DW">
    <w:p w14:paraId="78A5A76D" w14:textId="0DF6C359" w:rsidR="00432F22" w:rsidRDefault="00432F22">
      <w:pPr>
        <w:pStyle w:val="CommentText"/>
      </w:pPr>
      <w:r>
        <w:rPr>
          <w:rStyle w:val="CommentReference"/>
        </w:rPr>
        <w:annotationRef/>
      </w:r>
      <w:r>
        <w:t>Possibly not but the range of different muscular co-ordinations will differ from one person to the next.</w:t>
      </w:r>
    </w:p>
  </w:comment>
  <w:comment w:id="5" w:author="Debbie Winter" w:date="2020-10-19T11:24:00Z" w:initials="DW">
    <w:p w14:paraId="34C5C63B" w14:textId="0524F0C3" w:rsidR="00E7192B" w:rsidRDefault="00E7192B">
      <w:pPr>
        <w:pStyle w:val="CommentText"/>
      </w:pPr>
      <w:r>
        <w:rPr>
          <w:rStyle w:val="CommentReference"/>
        </w:rPr>
        <w:annotationRef/>
      </w:r>
      <w:r>
        <w:t>Some great analysis but what are the practical implications here? Perhaps you are coming to that.</w:t>
      </w:r>
    </w:p>
  </w:comment>
  <w:comment w:id="6" w:author="Debbie Winter" w:date="2020-10-19T11:25:00Z" w:initials="DW">
    <w:p w14:paraId="7535180B" w14:textId="5D9D91F4" w:rsidR="00E7192B" w:rsidRDefault="00E7192B">
      <w:pPr>
        <w:pStyle w:val="CommentText"/>
      </w:pPr>
      <w:r>
        <w:rPr>
          <w:rStyle w:val="CommentReference"/>
        </w:rPr>
        <w:annotationRef/>
      </w:r>
      <w:r>
        <w:t>Plus is always desirable stylistically?</w:t>
      </w:r>
    </w:p>
  </w:comment>
  <w:comment w:id="7" w:author="Debbie Winter" w:date="2020-10-19T11:26:00Z" w:initials="DW">
    <w:p w14:paraId="00F525F2" w14:textId="7BFA2343" w:rsidR="00E7192B" w:rsidRDefault="00E7192B">
      <w:pPr>
        <w:pStyle w:val="CommentText"/>
      </w:pPr>
      <w:r>
        <w:rPr>
          <w:rStyle w:val="CommentReference"/>
        </w:rPr>
        <w:annotationRef/>
      </w:r>
      <w:r>
        <w:t>Some excellent analysis but you need to make evident the practical implications of the study for teachers. In the second half you can drill down and link the reflection to changes in your practice.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3409689" w15:done="0"/>
  <w15:commentEx w15:paraId="3E8B154B" w15:done="0"/>
  <w15:commentEx w15:paraId="7FD9E793" w15:done="0"/>
  <w15:commentEx w15:paraId="6DFCDF17" w15:done="0"/>
  <w15:commentEx w15:paraId="78A5A76D" w15:done="0"/>
  <w15:commentEx w15:paraId="34C5C63B" w15:done="0"/>
  <w15:commentEx w15:paraId="7535180B" w15:done="0"/>
  <w15:commentEx w15:paraId="00F525F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37F119" w16cex:dateUtc="2020-10-19T10:03:00Z"/>
  <w16cex:commentExtensible w16cex:durableId="2337F221" w16cex:dateUtc="2020-10-19T10:08:00Z"/>
  <w16cex:commentExtensible w16cex:durableId="2337F31D" w16cex:dateUtc="2020-10-19T10:12:00Z"/>
  <w16cex:commentExtensible w16cex:durableId="2337F373" w16cex:dateUtc="2020-10-19T10:13:00Z"/>
  <w16cex:commentExtensible w16cex:durableId="2337F43E" w16cex:dateUtc="2020-10-19T10:17:00Z"/>
  <w16cex:commentExtensible w16cex:durableId="2337F5E9" w16cex:dateUtc="2020-10-19T10:24:00Z"/>
  <w16cex:commentExtensible w16cex:durableId="2337F613" w16cex:dateUtc="2020-10-19T10:25:00Z"/>
  <w16cex:commentExtensible w16cex:durableId="2337F680" w16cex:dateUtc="2020-10-19T10: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3409689" w16cid:durableId="2337F119"/>
  <w16cid:commentId w16cid:paraId="3E8B154B" w16cid:durableId="2337F221"/>
  <w16cid:commentId w16cid:paraId="7FD9E793" w16cid:durableId="2337F31D"/>
  <w16cid:commentId w16cid:paraId="6DFCDF17" w16cid:durableId="2337F373"/>
  <w16cid:commentId w16cid:paraId="78A5A76D" w16cid:durableId="2337F43E"/>
  <w16cid:commentId w16cid:paraId="34C5C63B" w16cid:durableId="2337F5E9"/>
  <w16cid:commentId w16cid:paraId="7535180B" w16cid:durableId="2337F613"/>
  <w16cid:commentId w16cid:paraId="00F525F2" w16cid:durableId="2337F68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Debbie Winter">
    <w15:presenceInfo w15:providerId="AD" w15:userId="S::debbie@voiceworkshop.co.uk::59490375-2961-41b5-9329-21ca1ee92b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c1NzW2sDA0MzKyNDZQ0lEKTi0uzszPAykwrAUAS85PhSwAAAA="/>
  </w:docVars>
  <w:rsids>
    <w:rsidRoot w:val="00FB619B"/>
    <w:rsid w:val="00010A1A"/>
    <w:rsid w:val="00432F22"/>
    <w:rsid w:val="00AA2326"/>
    <w:rsid w:val="00E7192B"/>
    <w:rsid w:val="00E93A5B"/>
    <w:rsid w:val="00FB6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15363"/>
  <w15:chartTrackingRefBased/>
  <w15:docId w15:val="{0BA4FCDD-FBC9-8143-A91D-A732BC085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619B"/>
    <w:pPr>
      <w:spacing w:before="100" w:beforeAutospacing="1" w:after="100" w:afterAutospacing="1"/>
    </w:pPr>
    <w:rPr>
      <w:rFonts w:ascii="Times" w:eastAsiaTheme="minorEastAsia" w:hAnsi="Times" w:cs="Times New Roman"/>
      <w:sz w:val="20"/>
      <w:szCs w:val="20"/>
    </w:rPr>
  </w:style>
  <w:style w:type="table" w:styleId="TableGrid">
    <w:name w:val="Table Grid"/>
    <w:basedOn w:val="TableNormal"/>
    <w:uiPriority w:val="59"/>
    <w:rsid w:val="00FB619B"/>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FB619B"/>
    <w:rPr>
      <w:rFonts w:eastAsiaTheme="minorEastAsia"/>
      <w:sz w:val="20"/>
      <w:szCs w:val="20"/>
      <w:lang w:val="en-US"/>
    </w:rPr>
  </w:style>
  <w:style w:type="character" w:customStyle="1" w:styleId="CommentTextChar">
    <w:name w:val="Comment Text Char"/>
    <w:basedOn w:val="DefaultParagraphFont"/>
    <w:link w:val="CommentText"/>
    <w:uiPriority w:val="99"/>
    <w:rsid w:val="00FB619B"/>
    <w:rPr>
      <w:rFonts w:eastAsiaTheme="minorEastAsia"/>
      <w:sz w:val="20"/>
      <w:szCs w:val="20"/>
      <w:lang w:val="en-US"/>
    </w:rPr>
  </w:style>
  <w:style w:type="paragraph" w:styleId="NoSpacing">
    <w:name w:val="No Spacing"/>
    <w:uiPriority w:val="1"/>
    <w:qFormat/>
    <w:rsid w:val="00FB619B"/>
    <w:rPr>
      <w:rFonts w:eastAsiaTheme="minorEastAsia"/>
      <w:lang w:val="en-US"/>
    </w:rPr>
  </w:style>
  <w:style w:type="character" w:styleId="CommentReference">
    <w:name w:val="annotation reference"/>
    <w:basedOn w:val="DefaultParagraphFont"/>
    <w:uiPriority w:val="99"/>
    <w:semiHidden/>
    <w:unhideWhenUsed/>
    <w:rsid w:val="00AA2326"/>
    <w:rPr>
      <w:sz w:val="16"/>
      <w:szCs w:val="16"/>
    </w:rPr>
  </w:style>
  <w:style w:type="paragraph" w:styleId="CommentSubject">
    <w:name w:val="annotation subject"/>
    <w:basedOn w:val="CommentText"/>
    <w:next w:val="CommentText"/>
    <w:link w:val="CommentSubjectChar"/>
    <w:uiPriority w:val="99"/>
    <w:semiHidden/>
    <w:unhideWhenUsed/>
    <w:rsid w:val="00AA2326"/>
    <w:rPr>
      <w:rFonts w:eastAsiaTheme="minorHAnsi"/>
      <w:b/>
      <w:bCs/>
      <w:lang w:val="en-GB"/>
    </w:rPr>
  </w:style>
  <w:style w:type="character" w:customStyle="1" w:styleId="CommentSubjectChar">
    <w:name w:val="Comment Subject Char"/>
    <w:basedOn w:val="CommentTextChar"/>
    <w:link w:val="CommentSubject"/>
    <w:uiPriority w:val="99"/>
    <w:semiHidden/>
    <w:rsid w:val="00AA2326"/>
    <w:rPr>
      <w:rFonts w:eastAsiaTheme="minorEastAsia"/>
      <w:b/>
      <w:bCs/>
      <w:sz w:val="20"/>
      <w:szCs w:val="20"/>
      <w:lang w:val="en-US"/>
    </w:rPr>
  </w:style>
  <w:style w:type="paragraph" w:styleId="BalloonText">
    <w:name w:val="Balloon Text"/>
    <w:basedOn w:val="Normal"/>
    <w:link w:val="BalloonTextChar"/>
    <w:uiPriority w:val="99"/>
    <w:semiHidden/>
    <w:unhideWhenUsed/>
    <w:rsid w:val="00AA23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23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7933</Words>
  <Characters>45221</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Vicci Hogan</dc:creator>
  <cp:keywords/>
  <dc:description/>
  <cp:lastModifiedBy>Vicci Hogan</cp:lastModifiedBy>
  <cp:revision>2</cp:revision>
  <dcterms:created xsi:type="dcterms:W3CDTF">2020-10-18T19:27:00Z</dcterms:created>
  <dcterms:modified xsi:type="dcterms:W3CDTF">2020-10-18T19:32:00Z</dcterms:modified>
</cp:coreProperties>
</file>