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D98BC" w14:textId="77777777" w:rsidR="005371E7" w:rsidRDefault="005467BA" w:rsidP="00ED2AA3">
      <w:pPr>
        <w:spacing w:before="240" w:after="240"/>
        <w:rPr>
          <w:rFonts w:cs="Arial"/>
          <w:b/>
          <w:bCs/>
          <w:sz w:val="36"/>
          <w:szCs w:val="36"/>
        </w:rPr>
      </w:pPr>
      <w:r w:rsidRPr="001E7A7C">
        <w:rPr>
          <w:rFonts w:cs="Arial"/>
          <w:noProof/>
          <w:color w:val="000000"/>
          <w:szCs w:val="22"/>
          <w:bdr w:val="none" w:sz="0" w:space="0" w:color="auto" w:frame="1"/>
          <w:lang w:val="en-GB"/>
        </w:rPr>
        <w:drawing>
          <wp:inline distT="0" distB="0" distL="0" distR="0" wp14:anchorId="50955454" wp14:editId="3637884E">
            <wp:extent cx="1816100" cy="723900"/>
            <wp:effectExtent l="0" t="0" r="0" b="0"/>
            <wp:docPr id="28859930"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59930" name="Picture 1" descr="A black background with white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6100" cy="723900"/>
                    </a:xfrm>
                    <a:prstGeom prst="rect">
                      <a:avLst/>
                    </a:prstGeom>
                    <a:noFill/>
                    <a:ln>
                      <a:noFill/>
                    </a:ln>
                  </pic:spPr>
                </pic:pic>
              </a:graphicData>
            </a:graphic>
          </wp:inline>
        </w:drawing>
      </w:r>
    </w:p>
    <w:p w14:paraId="17457C29" w14:textId="77777777" w:rsidR="005D421A" w:rsidRDefault="005D421A" w:rsidP="00ED2AA3">
      <w:pPr>
        <w:spacing w:before="240" w:after="240"/>
        <w:rPr>
          <w:rFonts w:cs="Arial"/>
          <w:b/>
          <w:bCs/>
          <w:sz w:val="36"/>
          <w:szCs w:val="36"/>
        </w:rPr>
      </w:pPr>
    </w:p>
    <w:p w14:paraId="2C484E07" w14:textId="54DBDE57" w:rsidR="0042291E" w:rsidRDefault="0042291E" w:rsidP="00ED2AA3">
      <w:pPr>
        <w:spacing w:before="240" w:after="240"/>
        <w:rPr>
          <w:rFonts w:cs="Arial"/>
          <w:b/>
          <w:bCs/>
          <w:sz w:val="36"/>
          <w:szCs w:val="36"/>
        </w:rPr>
      </w:pPr>
      <w:r w:rsidRPr="0011176D">
        <w:rPr>
          <w:rFonts w:cs="Arial"/>
          <w:b/>
          <w:bCs/>
          <w:sz w:val="36"/>
          <w:szCs w:val="36"/>
        </w:rPr>
        <w:t xml:space="preserve">Health Care System, </w:t>
      </w:r>
      <w:proofErr w:type="spellStart"/>
      <w:r w:rsidRPr="0011176D">
        <w:rPr>
          <w:rFonts w:cs="Arial"/>
          <w:b/>
          <w:bCs/>
          <w:sz w:val="36"/>
          <w:szCs w:val="36"/>
        </w:rPr>
        <w:t>Organisation</w:t>
      </w:r>
      <w:proofErr w:type="spellEnd"/>
      <w:r w:rsidRPr="0011176D">
        <w:rPr>
          <w:rFonts w:cs="Arial"/>
          <w:b/>
          <w:bCs/>
          <w:sz w:val="36"/>
          <w:szCs w:val="36"/>
        </w:rPr>
        <w:t xml:space="preserve"> and Leadership</w:t>
      </w:r>
    </w:p>
    <w:p w14:paraId="3FF3B7F8" w14:textId="4DD09B01" w:rsidR="007E47E5" w:rsidRPr="0011176D" w:rsidRDefault="00CF2268" w:rsidP="007E47E5">
      <w:pPr>
        <w:spacing w:before="240" w:after="240"/>
        <w:rPr>
          <w:rFonts w:cs="Arial"/>
          <w:b/>
          <w:bCs/>
          <w:sz w:val="36"/>
          <w:szCs w:val="36"/>
          <w:lang w:val="en-GB"/>
        </w:rPr>
      </w:pPr>
      <w:r>
        <w:rPr>
          <w:rFonts w:cs="Arial"/>
          <w:b/>
          <w:bCs/>
          <w:sz w:val="36"/>
          <w:szCs w:val="36"/>
          <w:lang w:val="en-GB"/>
        </w:rPr>
        <w:t xml:space="preserve">Module </w:t>
      </w:r>
      <w:r w:rsidR="00502A79">
        <w:rPr>
          <w:rFonts w:cs="Arial"/>
          <w:b/>
          <w:bCs/>
          <w:sz w:val="36"/>
          <w:szCs w:val="36"/>
          <w:lang w:val="en-GB"/>
        </w:rPr>
        <w:t>code:</w:t>
      </w:r>
      <w:r>
        <w:rPr>
          <w:rFonts w:cs="Arial"/>
          <w:b/>
          <w:bCs/>
          <w:sz w:val="36"/>
          <w:szCs w:val="36"/>
          <w:lang w:val="en-GB"/>
        </w:rPr>
        <w:t xml:space="preserve"> LCHS7002 </w:t>
      </w:r>
    </w:p>
    <w:p w14:paraId="58314711" w14:textId="0A6A1D63" w:rsidR="0042291E" w:rsidRDefault="0042291E" w:rsidP="00CF2268">
      <w:pPr>
        <w:spacing w:before="240" w:after="240"/>
        <w:rPr>
          <w:rFonts w:cs="Arial"/>
          <w:b/>
          <w:bCs/>
          <w:sz w:val="36"/>
          <w:szCs w:val="36"/>
        </w:rPr>
      </w:pPr>
      <w:r w:rsidRPr="0011176D">
        <w:rPr>
          <w:rFonts w:cs="Arial"/>
          <w:b/>
          <w:bCs/>
          <w:sz w:val="36"/>
          <w:szCs w:val="36"/>
        </w:rPr>
        <w:t>Case Study Analysis Report: Comparative Report on COVID-19 leadership responses</w:t>
      </w:r>
    </w:p>
    <w:p w14:paraId="5B17A72D" w14:textId="68BB23B0" w:rsidR="006D7B56" w:rsidRDefault="006D7B56" w:rsidP="00187F72">
      <w:pPr>
        <w:spacing w:before="240" w:after="240"/>
        <w:rPr>
          <w:rFonts w:cs="Arial"/>
          <w:b/>
          <w:bCs/>
          <w:sz w:val="36"/>
          <w:szCs w:val="36"/>
        </w:rPr>
      </w:pPr>
      <w:r>
        <w:rPr>
          <w:rFonts w:cs="Arial"/>
          <w:b/>
          <w:bCs/>
          <w:sz w:val="36"/>
          <w:szCs w:val="36"/>
        </w:rPr>
        <w:t xml:space="preserve">Student name: </w:t>
      </w:r>
      <w:r w:rsidR="00502A79">
        <w:rPr>
          <w:rFonts w:cs="Arial"/>
          <w:b/>
          <w:bCs/>
          <w:sz w:val="36"/>
          <w:szCs w:val="36"/>
        </w:rPr>
        <w:t>Ramona Moreanu</w:t>
      </w:r>
    </w:p>
    <w:p w14:paraId="2B5B84AA" w14:textId="31FD1763" w:rsidR="006D7B56" w:rsidRDefault="00AD0B44" w:rsidP="00187F72">
      <w:pPr>
        <w:spacing w:before="240" w:after="240"/>
        <w:rPr>
          <w:rFonts w:cs="Arial"/>
          <w:b/>
          <w:bCs/>
          <w:sz w:val="36"/>
          <w:szCs w:val="36"/>
        </w:rPr>
      </w:pPr>
      <w:r>
        <w:rPr>
          <w:rFonts w:cs="Arial"/>
          <w:b/>
          <w:bCs/>
          <w:sz w:val="36"/>
          <w:szCs w:val="36"/>
        </w:rPr>
        <w:t>Student name: 2213248</w:t>
      </w:r>
    </w:p>
    <w:p w14:paraId="50B00BFC" w14:textId="5330DA08" w:rsidR="00AD0B44" w:rsidRPr="0011176D" w:rsidRDefault="00AD0B44" w:rsidP="00187F72">
      <w:pPr>
        <w:spacing w:before="240" w:after="240"/>
        <w:rPr>
          <w:rFonts w:cs="Arial"/>
          <w:b/>
          <w:bCs/>
          <w:sz w:val="36"/>
          <w:szCs w:val="36"/>
          <w:lang w:val="en-GB"/>
        </w:rPr>
      </w:pPr>
      <w:r>
        <w:rPr>
          <w:rFonts w:cs="Arial"/>
          <w:b/>
          <w:bCs/>
          <w:sz w:val="36"/>
          <w:szCs w:val="36"/>
        </w:rPr>
        <w:t>Lecturer name: Shephard</w:t>
      </w:r>
      <w:r w:rsidR="00736058">
        <w:rPr>
          <w:rFonts w:cs="Arial"/>
          <w:b/>
          <w:bCs/>
          <w:sz w:val="36"/>
          <w:szCs w:val="36"/>
        </w:rPr>
        <w:t xml:space="preserve"> Ziko</w:t>
      </w:r>
    </w:p>
    <w:p w14:paraId="75802A91" w14:textId="77777777" w:rsidR="0023631D" w:rsidRPr="0011176D" w:rsidRDefault="0023631D" w:rsidP="0011176D">
      <w:pPr>
        <w:spacing w:before="240" w:after="240"/>
        <w:rPr>
          <w:rFonts w:cs="Arial"/>
          <w:b/>
          <w:bCs/>
          <w:sz w:val="36"/>
          <w:szCs w:val="36"/>
          <w:lang w:val="en-GB"/>
        </w:rPr>
      </w:pPr>
    </w:p>
    <w:p w14:paraId="50EE033F" w14:textId="77777777" w:rsidR="0023631D" w:rsidRPr="0011176D" w:rsidRDefault="0023631D" w:rsidP="0011176D">
      <w:pPr>
        <w:spacing w:before="240" w:after="240"/>
        <w:rPr>
          <w:rFonts w:cs="Arial"/>
          <w:b/>
          <w:bCs/>
          <w:sz w:val="36"/>
          <w:szCs w:val="36"/>
          <w:lang w:val="en-GB"/>
        </w:rPr>
      </w:pPr>
    </w:p>
    <w:p w14:paraId="55FF6A6B" w14:textId="77777777" w:rsidR="0023631D" w:rsidRPr="0011176D" w:rsidRDefault="0023631D" w:rsidP="0011176D">
      <w:pPr>
        <w:spacing w:before="240" w:after="240"/>
        <w:rPr>
          <w:rFonts w:cs="Arial"/>
          <w:sz w:val="36"/>
          <w:szCs w:val="36"/>
          <w:lang w:val="en-GB"/>
        </w:rPr>
      </w:pPr>
    </w:p>
    <w:p w14:paraId="42A25F3E" w14:textId="77777777" w:rsidR="0023631D" w:rsidRPr="0011176D" w:rsidRDefault="0023631D" w:rsidP="0011176D">
      <w:pPr>
        <w:spacing w:before="240" w:after="240"/>
        <w:rPr>
          <w:rFonts w:cs="Arial"/>
          <w:szCs w:val="22"/>
          <w:lang w:val="en-GB"/>
        </w:rPr>
      </w:pPr>
    </w:p>
    <w:p w14:paraId="6A2C953A" w14:textId="77777777" w:rsidR="002058B6" w:rsidRPr="0011176D" w:rsidRDefault="002058B6" w:rsidP="0011176D">
      <w:pPr>
        <w:spacing w:before="240" w:after="240"/>
        <w:rPr>
          <w:rFonts w:cs="Arial"/>
          <w:szCs w:val="22"/>
          <w:lang w:val="en-GB"/>
        </w:rPr>
      </w:pPr>
    </w:p>
    <w:p w14:paraId="1EAE502F" w14:textId="77777777" w:rsidR="0011176D" w:rsidRDefault="0011176D" w:rsidP="0011176D">
      <w:pPr>
        <w:spacing w:before="240" w:after="240"/>
        <w:jc w:val="left"/>
        <w:rPr>
          <w:rFonts w:cs="Arial"/>
          <w:szCs w:val="22"/>
        </w:rPr>
      </w:pPr>
    </w:p>
    <w:p w14:paraId="5C8D8DEC" w14:textId="77777777" w:rsidR="0011176D" w:rsidRDefault="0011176D" w:rsidP="0011176D">
      <w:pPr>
        <w:spacing w:before="240" w:after="240"/>
        <w:jc w:val="left"/>
        <w:rPr>
          <w:rFonts w:cs="Arial"/>
          <w:szCs w:val="22"/>
        </w:rPr>
      </w:pPr>
    </w:p>
    <w:p w14:paraId="031348D2" w14:textId="77777777" w:rsidR="0011176D" w:rsidRDefault="0011176D" w:rsidP="0011176D">
      <w:pPr>
        <w:spacing w:before="240" w:after="240"/>
        <w:jc w:val="left"/>
        <w:rPr>
          <w:rFonts w:cs="Arial"/>
          <w:szCs w:val="22"/>
        </w:rPr>
      </w:pPr>
    </w:p>
    <w:p w14:paraId="6595E6E1" w14:textId="77777777" w:rsidR="0011176D" w:rsidRDefault="0011176D" w:rsidP="0011176D">
      <w:pPr>
        <w:spacing w:before="240" w:after="240"/>
        <w:jc w:val="left"/>
        <w:rPr>
          <w:rFonts w:cs="Arial"/>
          <w:szCs w:val="22"/>
        </w:rPr>
      </w:pPr>
    </w:p>
    <w:p w14:paraId="6C5B1F34" w14:textId="77777777" w:rsidR="0011176D" w:rsidRDefault="0011176D" w:rsidP="0011176D">
      <w:pPr>
        <w:spacing w:before="240" w:after="240"/>
        <w:jc w:val="left"/>
        <w:rPr>
          <w:rFonts w:cs="Arial"/>
          <w:szCs w:val="22"/>
        </w:rPr>
      </w:pPr>
    </w:p>
    <w:p w14:paraId="7E2C4E8E" w14:textId="77777777" w:rsidR="0011176D" w:rsidRDefault="0011176D" w:rsidP="0011176D">
      <w:pPr>
        <w:spacing w:before="240" w:after="240"/>
        <w:jc w:val="left"/>
        <w:rPr>
          <w:rFonts w:cs="Arial"/>
          <w:szCs w:val="22"/>
        </w:rPr>
      </w:pPr>
    </w:p>
    <w:p w14:paraId="077C49A1" w14:textId="77777777" w:rsidR="0011176D" w:rsidRDefault="0011176D" w:rsidP="0011176D">
      <w:pPr>
        <w:spacing w:before="240" w:after="240"/>
        <w:jc w:val="left"/>
        <w:rPr>
          <w:rFonts w:cs="Arial"/>
          <w:szCs w:val="22"/>
        </w:rPr>
      </w:pPr>
    </w:p>
    <w:p w14:paraId="4B65CBC1" w14:textId="6CC15FB2" w:rsidR="00FE5423" w:rsidRPr="0011176D" w:rsidRDefault="00FE5423" w:rsidP="0011176D">
      <w:pPr>
        <w:spacing w:before="240" w:after="240"/>
        <w:jc w:val="left"/>
        <w:rPr>
          <w:rFonts w:eastAsiaTheme="majorEastAsia" w:cs="Arial"/>
          <w:b/>
          <w:bCs/>
          <w:szCs w:val="22"/>
          <w:lang w:val="en-GB"/>
        </w:rPr>
      </w:pPr>
    </w:p>
    <w:p w14:paraId="1B46845B" w14:textId="77777777" w:rsidR="0023631D" w:rsidRPr="00AF04EC" w:rsidRDefault="0023631D" w:rsidP="0011176D">
      <w:pPr>
        <w:pStyle w:val="Heading1"/>
        <w:spacing w:before="240" w:after="240"/>
        <w:rPr>
          <w:rFonts w:cs="Arial"/>
          <w:b/>
          <w:bCs/>
          <w:color w:val="000000" w:themeColor="text1"/>
          <w:szCs w:val="32"/>
          <w:lang w:val="en-GB"/>
        </w:rPr>
      </w:pPr>
      <w:r w:rsidRPr="00AF04EC">
        <w:rPr>
          <w:rFonts w:cs="Arial"/>
          <w:b/>
          <w:bCs/>
          <w:color w:val="000000" w:themeColor="text1"/>
          <w:szCs w:val="32"/>
        </w:rPr>
        <w:t xml:space="preserve">Executive Summary </w:t>
      </w:r>
    </w:p>
    <w:p w14:paraId="7B505758" w14:textId="682634BF" w:rsidR="0023631D" w:rsidRPr="0011176D" w:rsidRDefault="0023631D" w:rsidP="00C704E2">
      <w:pPr>
        <w:spacing w:before="240" w:after="240"/>
        <w:jc w:val="left"/>
        <w:rPr>
          <w:rFonts w:cs="Arial"/>
          <w:szCs w:val="22"/>
          <w:lang w:val="en-GB"/>
        </w:rPr>
      </w:pPr>
      <w:r w:rsidRPr="0011176D">
        <w:rPr>
          <w:rFonts w:cs="Arial"/>
          <w:szCs w:val="22"/>
        </w:rPr>
        <w:t xml:space="preserve">The given report presents a critical comparative study of how the healthcare system </w:t>
      </w:r>
      <w:proofErr w:type="spellStart"/>
      <w:r w:rsidRPr="0011176D">
        <w:rPr>
          <w:rFonts w:cs="Arial"/>
          <w:szCs w:val="22"/>
        </w:rPr>
        <w:t>organisation</w:t>
      </w:r>
      <w:proofErr w:type="spellEnd"/>
      <w:r w:rsidRPr="0011176D">
        <w:rPr>
          <w:rFonts w:cs="Arial"/>
          <w:szCs w:val="22"/>
        </w:rPr>
        <w:t xml:space="preserve"> and political leadership reacted to the COVID-19 pandemic in Spain, South Korea, and Canada. Concentrating on the interaction between </w:t>
      </w:r>
      <w:proofErr w:type="spellStart"/>
      <w:r w:rsidRPr="0011176D">
        <w:rPr>
          <w:rFonts w:cs="Arial"/>
          <w:szCs w:val="22"/>
        </w:rPr>
        <w:t>centralised</w:t>
      </w:r>
      <w:proofErr w:type="spellEnd"/>
      <w:r w:rsidRPr="0011176D">
        <w:rPr>
          <w:rFonts w:cs="Arial"/>
          <w:szCs w:val="22"/>
        </w:rPr>
        <w:t xml:space="preserve"> and </w:t>
      </w:r>
      <w:proofErr w:type="spellStart"/>
      <w:r w:rsidRPr="0011176D">
        <w:rPr>
          <w:rFonts w:cs="Arial"/>
          <w:szCs w:val="22"/>
        </w:rPr>
        <w:t>decentralised</w:t>
      </w:r>
      <w:proofErr w:type="spellEnd"/>
      <w:r w:rsidRPr="0011176D">
        <w:rPr>
          <w:rFonts w:cs="Arial"/>
          <w:szCs w:val="22"/>
        </w:rPr>
        <w:t xml:space="preserve"> governance, the analysis explores how the current typologies of the health system affected the management of the pandemic and later health consequences. The report also compares the different leadership styles </w:t>
      </w:r>
      <w:r w:rsidR="0011176D">
        <w:rPr>
          <w:rFonts w:cs="Arial"/>
          <w:szCs w:val="22"/>
        </w:rPr>
        <w:t>—</w:t>
      </w:r>
      <w:r w:rsidRPr="0011176D">
        <w:rPr>
          <w:rFonts w:cs="Arial"/>
          <w:szCs w:val="22"/>
        </w:rPr>
        <w:t xml:space="preserve">between authoritarian and transformational collaborative styles </w:t>
      </w:r>
      <w:r w:rsidR="0011176D">
        <w:rPr>
          <w:rFonts w:cs="Arial"/>
          <w:szCs w:val="22"/>
        </w:rPr>
        <w:t>—that</w:t>
      </w:r>
      <w:r w:rsidRPr="0011176D">
        <w:rPr>
          <w:rFonts w:cs="Arial"/>
          <w:szCs w:val="22"/>
        </w:rPr>
        <w:t xml:space="preserve"> the respective national leaders employed in tackling the crisis. The major conclusions include that highly </w:t>
      </w:r>
      <w:proofErr w:type="spellStart"/>
      <w:r w:rsidRPr="0011176D">
        <w:rPr>
          <w:rFonts w:cs="Arial"/>
          <w:szCs w:val="22"/>
        </w:rPr>
        <w:t>centralised</w:t>
      </w:r>
      <w:proofErr w:type="spellEnd"/>
      <w:r w:rsidRPr="0011176D">
        <w:rPr>
          <w:rFonts w:cs="Arial"/>
          <w:szCs w:val="22"/>
        </w:rPr>
        <w:t xml:space="preserve"> reaction (as it was first observed in Spain) was severely disintegrating and politically unpopular because of endemic systemic underinvestment and local autonomy, which was worsened by the inability of political leadership to cut across regional boundaries. On the other hand, </w:t>
      </w:r>
      <w:proofErr w:type="spellStart"/>
      <w:r w:rsidRPr="0011176D">
        <w:rPr>
          <w:rFonts w:cs="Arial"/>
          <w:szCs w:val="22"/>
        </w:rPr>
        <w:t>centralised</w:t>
      </w:r>
      <w:proofErr w:type="spellEnd"/>
      <w:r w:rsidRPr="0011176D">
        <w:rPr>
          <w:rFonts w:cs="Arial"/>
          <w:szCs w:val="22"/>
        </w:rPr>
        <w:t xml:space="preserve"> preparedness (South Korea), anchored in culture and </w:t>
      </w:r>
      <w:proofErr w:type="spellStart"/>
      <w:r w:rsidRPr="0011176D">
        <w:rPr>
          <w:rFonts w:cs="Arial"/>
          <w:szCs w:val="22"/>
        </w:rPr>
        <w:t>legitimised</w:t>
      </w:r>
      <w:proofErr w:type="spellEnd"/>
      <w:r w:rsidRPr="0011176D">
        <w:rPr>
          <w:rFonts w:cs="Arial"/>
          <w:szCs w:val="22"/>
        </w:rPr>
        <w:t xml:space="preserve"> by legislation, resulted in quick and very efficient containment through the empowerment of technocratic know-how. The conclusion of the analysis is the synthesis of the fact that the pre-existing institutional capacity was a crucial determinant of the effectiveness of leadership and that the style of a leader should be in line with the structural and constitutional capacity of his or her nation to implement policies successfully (OECD (2021) The COVID-19 Crisis and the Future of Health Systems: Lessons Learned. OECD Publishing, Paris.</w:t>
      </w:r>
    </w:p>
    <w:p w14:paraId="5433C553" w14:textId="77777777" w:rsidR="0023631D" w:rsidRPr="0011176D" w:rsidRDefault="0023631D" w:rsidP="00C704E2">
      <w:pPr>
        <w:spacing w:before="240" w:after="240"/>
        <w:jc w:val="left"/>
        <w:rPr>
          <w:rFonts w:cs="Arial"/>
          <w:szCs w:val="22"/>
          <w:lang w:val="en-GB"/>
        </w:rPr>
      </w:pPr>
    </w:p>
    <w:p w14:paraId="6125F2D1" w14:textId="77777777" w:rsidR="00240895" w:rsidRPr="0011176D" w:rsidRDefault="00240895" w:rsidP="0011176D">
      <w:pPr>
        <w:spacing w:before="240" w:after="240"/>
        <w:rPr>
          <w:rFonts w:eastAsiaTheme="majorEastAsia" w:cs="Arial"/>
          <w:color w:val="0F4761" w:themeColor="accent1" w:themeShade="BF"/>
          <w:szCs w:val="22"/>
          <w:lang w:val="en-GB"/>
        </w:rPr>
      </w:pPr>
      <w:r w:rsidRPr="0011176D">
        <w:rPr>
          <w:rFonts w:cs="Arial"/>
          <w:szCs w:val="22"/>
        </w:rPr>
        <w:br/>
      </w:r>
    </w:p>
    <w:p w14:paraId="1DF3C43D" w14:textId="77777777" w:rsidR="0011176D" w:rsidRDefault="0011176D" w:rsidP="0011176D">
      <w:pPr>
        <w:spacing w:before="240" w:after="240"/>
        <w:rPr>
          <w:rFonts w:cs="Arial"/>
          <w:szCs w:val="22"/>
        </w:rPr>
      </w:pPr>
    </w:p>
    <w:p w14:paraId="6A30C5B3" w14:textId="77777777" w:rsidR="0011176D" w:rsidRDefault="0011176D" w:rsidP="0011176D">
      <w:pPr>
        <w:spacing w:before="240" w:after="240"/>
        <w:rPr>
          <w:rFonts w:cs="Arial"/>
          <w:szCs w:val="22"/>
        </w:rPr>
      </w:pPr>
    </w:p>
    <w:p w14:paraId="3E0863B4" w14:textId="77777777" w:rsidR="0011176D" w:rsidRDefault="0011176D" w:rsidP="0011176D">
      <w:pPr>
        <w:spacing w:before="240" w:after="240"/>
        <w:rPr>
          <w:rFonts w:cs="Arial"/>
          <w:szCs w:val="22"/>
        </w:rPr>
      </w:pPr>
    </w:p>
    <w:p w14:paraId="5694EBB4" w14:textId="2B62C561" w:rsidR="0011176D" w:rsidRDefault="0011176D" w:rsidP="0011176D">
      <w:pPr>
        <w:spacing w:before="240" w:after="240"/>
        <w:rPr>
          <w:rFonts w:cs="Arial"/>
          <w:szCs w:val="22"/>
        </w:rPr>
      </w:pPr>
    </w:p>
    <w:p w14:paraId="7B989619" w14:textId="77777777" w:rsidR="0011176D" w:rsidRDefault="0011176D" w:rsidP="0011176D">
      <w:pPr>
        <w:spacing w:before="240" w:after="240"/>
        <w:rPr>
          <w:rFonts w:cs="Arial"/>
          <w:szCs w:val="22"/>
        </w:rPr>
      </w:pPr>
    </w:p>
    <w:p w14:paraId="07D0CE2B" w14:textId="77777777" w:rsidR="0011176D" w:rsidRPr="0011176D" w:rsidRDefault="0011176D" w:rsidP="0011176D">
      <w:pPr>
        <w:spacing w:before="240" w:after="240"/>
        <w:rPr>
          <w:rFonts w:cs="Arial"/>
          <w:szCs w:val="22"/>
        </w:rPr>
      </w:pPr>
    </w:p>
    <w:sdt>
      <w:sdtPr>
        <w:rPr>
          <w:rFonts w:eastAsiaTheme="minorHAnsi" w:cs="Arial"/>
          <w:b w:val="0"/>
          <w:bCs w:val="0"/>
          <w:color w:val="auto"/>
          <w:kern w:val="2"/>
          <w:sz w:val="22"/>
          <w:szCs w:val="22"/>
          <w:lang w:val="en-GB" w:bidi="bn-IN"/>
          <w14:ligatures w14:val="standardContextual"/>
        </w:rPr>
        <w:id w:val="-828525900"/>
        <w:docPartObj>
          <w:docPartGallery w:val="Table of Contents"/>
          <w:docPartUnique/>
        </w:docPartObj>
      </w:sdtPr>
      <w:sdtEndPr>
        <w:rPr>
          <w:noProof/>
        </w:rPr>
      </w:sdtEndPr>
      <w:sdtContent>
        <w:p w14:paraId="64348D88" w14:textId="32D3707D" w:rsidR="00EE77A7" w:rsidRPr="0011176D" w:rsidRDefault="00EE77A7" w:rsidP="0011176D">
          <w:pPr>
            <w:pStyle w:val="TOCHeading"/>
            <w:spacing w:line="360" w:lineRule="auto"/>
            <w:rPr>
              <w:rFonts w:eastAsiaTheme="minorHAnsi" w:cs="Arial"/>
              <w:b w:val="0"/>
              <w:bCs w:val="0"/>
              <w:color w:val="auto"/>
              <w:kern w:val="2"/>
              <w:sz w:val="22"/>
              <w:szCs w:val="22"/>
              <w:lang w:val="en-GB" w:bidi="bn-IN"/>
              <w14:ligatures w14:val="standardContextual"/>
            </w:rPr>
          </w:pPr>
          <w:r w:rsidRPr="0011176D">
            <w:rPr>
              <w:rFonts w:cs="Arial"/>
              <w:sz w:val="22"/>
              <w:szCs w:val="22"/>
              <w:lang w:val="en-GB"/>
            </w:rPr>
            <w:t>Tabl</w:t>
          </w:r>
          <w:r w:rsidR="0011176D">
            <w:rPr>
              <w:rFonts w:cs="Arial"/>
              <w:sz w:val="22"/>
              <w:szCs w:val="22"/>
              <w:lang w:val="en-GB"/>
            </w:rPr>
            <w:t>e</w:t>
          </w:r>
          <w:r w:rsidRPr="0011176D">
            <w:rPr>
              <w:rFonts w:cs="Arial"/>
              <w:sz w:val="22"/>
              <w:szCs w:val="22"/>
              <w:lang w:val="en-GB"/>
            </w:rPr>
            <w:t xml:space="preserve"> of Contents</w:t>
          </w:r>
        </w:p>
        <w:p w14:paraId="4F26930A" w14:textId="77777777" w:rsidR="0085709E" w:rsidRPr="0011176D" w:rsidRDefault="00EE77A7" w:rsidP="0011176D">
          <w:pPr>
            <w:pStyle w:val="TOC1"/>
            <w:tabs>
              <w:tab w:val="right" w:leader="dot" w:pos="9010"/>
            </w:tabs>
            <w:rPr>
              <w:rFonts w:eastAsiaTheme="minorEastAsia" w:cs="Arial"/>
              <w:b w:val="0"/>
              <w:bCs w:val="0"/>
              <w:caps w:val="0"/>
              <w:noProof/>
              <w:u w:val="none"/>
              <w:lang w:val="en-GB"/>
            </w:rPr>
          </w:pPr>
          <w:r w:rsidRPr="0011176D">
            <w:rPr>
              <w:rFonts w:cs="Arial"/>
              <w:lang w:val="en-GB"/>
            </w:rPr>
            <w:fldChar w:fldCharType="begin"/>
          </w:r>
          <w:r w:rsidRPr="0011176D">
            <w:rPr>
              <w:rFonts w:cs="Arial"/>
              <w:lang w:val="en-GB"/>
            </w:rPr>
            <w:instrText xml:space="preserve"> TOC \o "1-3" \h \z \u </w:instrText>
          </w:r>
          <w:r w:rsidRPr="0011176D">
            <w:rPr>
              <w:rFonts w:cs="Arial"/>
              <w:lang w:val="en-GB"/>
            </w:rPr>
            <w:fldChar w:fldCharType="separate"/>
          </w:r>
          <w:hyperlink w:anchor="_Toc213284481" w:history="1">
            <w:r w:rsidR="0085709E" w:rsidRPr="0011176D">
              <w:rPr>
                <w:rStyle w:val="Hyperlink"/>
                <w:rFonts w:cs="Arial"/>
                <w:noProof/>
                <w:lang w:val="en-GB"/>
              </w:rPr>
              <w:t>Executive Summary</w:t>
            </w:r>
            <w:r w:rsidR="0085709E" w:rsidRPr="0011176D">
              <w:rPr>
                <w:rFonts w:cs="Arial"/>
                <w:noProof/>
                <w:webHidden/>
                <w:lang w:val="en-GB"/>
              </w:rPr>
              <w:tab/>
            </w:r>
            <w:r w:rsidR="0085709E" w:rsidRPr="0011176D">
              <w:rPr>
                <w:rFonts w:cs="Arial"/>
                <w:noProof/>
                <w:webHidden/>
                <w:lang w:val="en-GB"/>
              </w:rPr>
              <w:fldChar w:fldCharType="begin"/>
            </w:r>
            <w:r w:rsidR="0085709E" w:rsidRPr="0011176D">
              <w:rPr>
                <w:rFonts w:cs="Arial"/>
                <w:noProof/>
                <w:webHidden/>
                <w:lang w:val="en-GB"/>
              </w:rPr>
              <w:instrText xml:space="preserve"> PAGEREF _Toc213284481 \h </w:instrText>
            </w:r>
            <w:r w:rsidR="0085709E" w:rsidRPr="0011176D">
              <w:rPr>
                <w:rFonts w:cs="Arial"/>
                <w:noProof/>
                <w:webHidden/>
                <w:lang w:val="en-GB"/>
              </w:rPr>
            </w:r>
            <w:r w:rsidR="0085709E" w:rsidRPr="0011176D">
              <w:rPr>
                <w:rFonts w:cs="Arial"/>
                <w:noProof/>
                <w:webHidden/>
                <w:lang w:val="en-GB"/>
              </w:rPr>
              <w:fldChar w:fldCharType="separate"/>
            </w:r>
            <w:r w:rsidR="0085709E" w:rsidRPr="0011176D">
              <w:rPr>
                <w:rFonts w:cs="Arial"/>
                <w:noProof/>
                <w:webHidden/>
                <w:lang w:val="en-GB"/>
              </w:rPr>
              <w:t>2</w:t>
            </w:r>
            <w:r w:rsidR="0085709E" w:rsidRPr="0011176D">
              <w:rPr>
                <w:rFonts w:cs="Arial"/>
                <w:noProof/>
                <w:webHidden/>
                <w:lang w:val="en-GB"/>
              </w:rPr>
              <w:fldChar w:fldCharType="end"/>
            </w:r>
          </w:hyperlink>
        </w:p>
        <w:p w14:paraId="15E3D169" w14:textId="77777777" w:rsidR="0085709E" w:rsidRPr="0011176D" w:rsidRDefault="0085709E" w:rsidP="0011176D">
          <w:pPr>
            <w:pStyle w:val="TOC1"/>
            <w:tabs>
              <w:tab w:val="right" w:leader="dot" w:pos="9010"/>
            </w:tabs>
            <w:rPr>
              <w:rFonts w:eastAsiaTheme="minorEastAsia" w:cs="Arial"/>
              <w:b w:val="0"/>
              <w:bCs w:val="0"/>
              <w:caps w:val="0"/>
              <w:noProof/>
              <w:u w:val="none"/>
              <w:lang w:val="en-GB"/>
            </w:rPr>
          </w:pPr>
          <w:hyperlink w:anchor="_Toc213284482" w:history="1">
            <w:r w:rsidRPr="0011176D">
              <w:rPr>
                <w:rStyle w:val="Hyperlink"/>
                <w:rFonts w:cs="Arial"/>
                <w:noProof/>
                <w:lang w:val="en-GB"/>
              </w:rPr>
              <w:t>Introduction</w:t>
            </w:r>
            <w:r w:rsidRPr="0011176D">
              <w:rPr>
                <w:rFonts w:cs="Arial"/>
                <w:noProof/>
                <w:webHidden/>
                <w:lang w:val="en-GB"/>
              </w:rPr>
              <w:tab/>
            </w:r>
            <w:r w:rsidRPr="0011176D">
              <w:rPr>
                <w:rFonts w:cs="Arial"/>
                <w:noProof/>
                <w:webHidden/>
                <w:lang w:val="en-GB"/>
              </w:rPr>
              <w:fldChar w:fldCharType="begin"/>
            </w:r>
            <w:r w:rsidRPr="0011176D">
              <w:rPr>
                <w:rFonts w:cs="Arial"/>
                <w:noProof/>
                <w:webHidden/>
                <w:lang w:val="en-GB"/>
              </w:rPr>
              <w:instrText xml:space="preserve"> PAGEREF _Toc213284482 \h </w:instrText>
            </w:r>
            <w:r w:rsidRPr="0011176D">
              <w:rPr>
                <w:rFonts w:cs="Arial"/>
                <w:noProof/>
                <w:webHidden/>
                <w:lang w:val="en-GB"/>
              </w:rPr>
            </w:r>
            <w:r w:rsidRPr="0011176D">
              <w:rPr>
                <w:rFonts w:cs="Arial"/>
                <w:noProof/>
                <w:webHidden/>
                <w:lang w:val="en-GB"/>
              </w:rPr>
              <w:fldChar w:fldCharType="separate"/>
            </w:r>
            <w:r w:rsidRPr="0011176D">
              <w:rPr>
                <w:rFonts w:cs="Arial"/>
                <w:noProof/>
                <w:webHidden/>
                <w:lang w:val="en-GB"/>
              </w:rPr>
              <w:t>4</w:t>
            </w:r>
            <w:r w:rsidRPr="0011176D">
              <w:rPr>
                <w:rFonts w:cs="Arial"/>
                <w:noProof/>
                <w:webHidden/>
                <w:lang w:val="en-GB"/>
              </w:rPr>
              <w:fldChar w:fldCharType="end"/>
            </w:r>
          </w:hyperlink>
        </w:p>
        <w:p w14:paraId="5FE55666" w14:textId="77777777" w:rsidR="0085709E" w:rsidRPr="0011176D" w:rsidRDefault="0085709E" w:rsidP="0011176D">
          <w:pPr>
            <w:pStyle w:val="TOC1"/>
            <w:tabs>
              <w:tab w:val="right" w:leader="dot" w:pos="9010"/>
            </w:tabs>
            <w:rPr>
              <w:rFonts w:eastAsiaTheme="minorEastAsia" w:cs="Arial"/>
              <w:b w:val="0"/>
              <w:bCs w:val="0"/>
              <w:caps w:val="0"/>
              <w:noProof/>
              <w:u w:val="none"/>
              <w:lang w:val="en-GB"/>
            </w:rPr>
          </w:pPr>
          <w:hyperlink w:anchor="_Toc213284483" w:history="1">
            <w:r w:rsidRPr="0011176D">
              <w:rPr>
                <w:rStyle w:val="Hyperlink"/>
                <w:rFonts w:cs="Arial"/>
                <w:noProof/>
                <w:lang w:val="en-GB"/>
              </w:rPr>
              <w:t>Critical Country Typology and Systems Approach to the COVID-19 Pandemic.</w:t>
            </w:r>
            <w:r w:rsidRPr="0011176D">
              <w:rPr>
                <w:rFonts w:cs="Arial"/>
                <w:noProof/>
                <w:webHidden/>
                <w:lang w:val="en-GB"/>
              </w:rPr>
              <w:tab/>
            </w:r>
            <w:r w:rsidRPr="0011176D">
              <w:rPr>
                <w:rFonts w:cs="Arial"/>
                <w:noProof/>
                <w:webHidden/>
                <w:lang w:val="en-GB"/>
              </w:rPr>
              <w:fldChar w:fldCharType="begin"/>
            </w:r>
            <w:r w:rsidRPr="0011176D">
              <w:rPr>
                <w:rFonts w:cs="Arial"/>
                <w:noProof/>
                <w:webHidden/>
                <w:lang w:val="en-GB"/>
              </w:rPr>
              <w:instrText xml:space="preserve"> PAGEREF _Toc213284483 \h </w:instrText>
            </w:r>
            <w:r w:rsidRPr="0011176D">
              <w:rPr>
                <w:rFonts w:cs="Arial"/>
                <w:noProof/>
                <w:webHidden/>
                <w:lang w:val="en-GB"/>
              </w:rPr>
            </w:r>
            <w:r w:rsidRPr="0011176D">
              <w:rPr>
                <w:rFonts w:cs="Arial"/>
                <w:noProof/>
                <w:webHidden/>
                <w:lang w:val="en-GB"/>
              </w:rPr>
              <w:fldChar w:fldCharType="separate"/>
            </w:r>
            <w:r w:rsidRPr="0011176D">
              <w:rPr>
                <w:rFonts w:cs="Arial"/>
                <w:noProof/>
                <w:webHidden/>
                <w:lang w:val="en-GB"/>
              </w:rPr>
              <w:t>5</w:t>
            </w:r>
            <w:r w:rsidRPr="0011176D">
              <w:rPr>
                <w:rFonts w:cs="Arial"/>
                <w:noProof/>
                <w:webHidden/>
                <w:lang w:val="en-GB"/>
              </w:rPr>
              <w:fldChar w:fldCharType="end"/>
            </w:r>
          </w:hyperlink>
        </w:p>
        <w:p w14:paraId="7C307C2A" w14:textId="77777777" w:rsidR="0085709E" w:rsidRPr="0011176D" w:rsidRDefault="0085709E" w:rsidP="0011176D">
          <w:pPr>
            <w:pStyle w:val="TOC2"/>
            <w:tabs>
              <w:tab w:val="right" w:leader="dot" w:pos="9010"/>
            </w:tabs>
            <w:rPr>
              <w:rFonts w:eastAsiaTheme="minorEastAsia" w:cs="Arial"/>
              <w:b w:val="0"/>
              <w:bCs w:val="0"/>
              <w:smallCaps w:val="0"/>
              <w:noProof/>
              <w:lang w:val="en-GB"/>
            </w:rPr>
          </w:pPr>
          <w:hyperlink w:anchor="_Toc213284484" w:history="1">
            <w:r w:rsidRPr="0011176D">
              <w:rPr>
                <w:rStyle w:val="Hyperlink"/>
                <w:rFonts w:cs="Arial"/>
                <w:noProof/>
                <w:lang w:val="en-GB"/>
              </w:rPr>
              <w:t>2.1. Spain: The Dilemma of Fragmented Decentralisation.</w:t>
            </w:r>
            <w:r w:rsidRPr="0011176D">
              <w:rPr>
                <w:rFonts w:cs="Arial"/>
                <w:noProof/>
                <w:webHidden/>
                <w:lang w:val="en-GB"/>
              </w:rPr>
              <w:tab/>
            </w:r>
            <w:r w:rsidRPr="0011176D">
              <w:rPr>
                <w:rFonts w:cs="Arial"/>
                <w:noProof/>
                <w:webHidden/>
                <w:lang w:val="en-GB"/>
              </w:rPr>
              <w:fldChar w:fldCharType="begin"/>
            </w:r>
            <w:r w:rsidRPr="0011176D">
              <w:rPr>
                <w:rFonts w:cs="Arial"/>
                <w:noProof/>
                <w:webHidden/>
                <w:lang w:val="en-GB"/>
              </w:rPr>
              <w:instrText xml:space="preserve"> PAGEREF _Toc213284484 \h </w:instrText>
            </w:r>
            <w:r w:rsidRPr="0011176D">
              <w:rPr>
                <w:rFonts w:cs="Arial"/>
                <w:noProof/>
                <w:webHidden/>
                <w:lang w:val="en-GB"/>
              </w:rPr>
            </w:r>
            <w:r w:rsidRPr="0011176D">
              <w:rPr>
                <w:rFonts w:cs="Arial"/>
                <w:noProof/>
                <w:webHidden/>
                <w:lang w:val="en-GB"/>
              </w:rPr>
              <w:fldChar w:fldCharType="separate"/>
            </w:r>
            <w:r w:rsidRPr="0011176D">
              <w:rPr>
                <w:rFonts w:cs="Arial"/>
                <w:noProof/>
                <w:webHidden/>
                <w:lang w:val="en-GB"/>
              </w:rPr>
              <w:t>5</w:t>
            </w:r>
            <w:r w:rsidRPr="0011176D">
              <w:rPr>
                <w:rFonts w:cs="Arial"/>
                <w:noProof/>
                <w:webHidden/>
                <w:lang w:val="en-GB"/>
              </w:rPr>
              <w:fldChar w:fldCharType="end"/>
            </w:r>
          </w:hyperlink>
        </w:p>
        <w:p w14:paraId="6B1853C9" w14:textId="77777777" w:rsidR="0085709E" w:rsidRPr="0011176D" w:rsidRDefault="0085709E" w:rsidP="0011176D">
          <w:pPr>
            <w:pStyle w:val="TOC2"/>
            <w:tabs>
              <w:tab w:val="right" w:leader="dot" w:pos="9010"/>
            </w:tabs>
            <w:rPr>
              <w:rFonts w:eastAsiaTheme="minorEastAsia" w:cs="Arial"/>
              <w:b w:val="0"/>
              <w:bCs w:val="0"/>
              <w:smallCaps w:val="0"/>
              <w:noProof/>
              <w:lang w:val="en-GB"/>
            </w:rPr>
          </w:pPr>
          <w:hyperlink w:anchor="_Toc213284485" w:history="1">
            <w:r w:rsidRPr="0011176D">
              <w:rPr>
                <w:rStyle w:val="Hyperlink"/>
                <w:rFonts w:cs="Arial"/>
                <w:noProof/>
                <w:lang w:val="en-GB"/>
              </w:rPr>
              <w:t>3. One-to-One Analysis of the Leadership Styles adopted in the two Countries.</w:t>
            </w:r>
            <w:r w:rsidRPr="0011176D">
              <w:rPr>
                <w:rFonts w:cs="Arial"/>
                <w:noProof/>
                <w:webHidden/>
                <w:lang w:val="en-GB"/>
              </w:rPr>
              <w:tab/>
            </w:r>
            <w:r w:rsidRPr="0011176D">
              <w:rPr>
                <w:rFonts w:cs="Arial"/>
                <w:noProof/>
                <w:webHidden/>
                <w:lang w:val="en-GB"/>
              </w:rPr>
              <w:fldChar w:fldCharType="begin"/>
            </w:r>
            <w:r w:rsidRPr="0011176D">
              <w:rPr>
                <w:rFonts w:cs="Arial"/>
                <w:noProof/>
                <w:webHidden/>
                <w:lang w:val="en-GB"/>
              </w:rPr>
              <w:instrText xml:space="preserve"> PAGEREF _Toc213284485 \h </w:instrText>
            </w:r>
            <w:r w:rsidRPr="0011176D">
              <w:rPr>
                <w:rFonts w:cs="Arial"/>
                <w:noProof/>
                <w:webHidden/>
                <w:lang w:val="en-GB"/>
              </w:rPr>
            </w:r>
            <w:r w:rsidRPr="0011176D">
              <w:rPr>
                <w:rFonts w:cs="Arial"/>
                <w:noProof/>
                <w:webHidden/>
                <w:lang w:val="en-GB"/>
              </w:rPr>
              <w:fldChar w:fldCharType="separate"/>
            </w:r>
            <w:r w:rsidRPr="0011176D">
              <w:rPr>
                <w:rFonts w:cs="Arial"/>
                <w:noProof/>
                <w:webHidden/>
                <w:lang w:val="en-GB"/>
              </w:rPr>
              <w:t>11</w:t>
            </w:r>
            <w:r w:rsidRPr="0011176D">
              <w:rPr>
                <w:rFonts w:cs="Arial"/>
                <w:noProof/>
                <w:webHidden/>
                <w:lang w:val="en-GB"/>
              </w:rPr>
              <w:fldChar w:fldCharType="end"/>
            </w:r>
          </w:hyperlink>
        </w:p>
        <w:p w14:paraId="1F5341E1" w14:textId="77777777" w:rsidR="0085709E" w:rsidRPr="0011176D" w:rsidRDefault="0085709E" w:rsidP="0011176D">
          <w:pPr>
            <w:pStyle w:val="TOC1"/>
            <w:tabs>
              <w:tab w:val="right" w:leader="dot" w:pos="9010"/>
            </w:tabs>
            <w:rPr>
              <w:rFonts w:eastAsiaTheme="minorEastAsia" w:cs="Arial"/>
              <w:b w:val="0"/>
              <w:bCs w:val="0"/>
              <w:caps w:val="0"/>
              <w:noProof/>
              <w:u w:val="none"/>
              <w:lang w:val="en-GB"/>
            </w:rPr>
          </w:pPr>
          <w:hyperlink w:anchor="_Toc213284486" w:history="1">
            <w:r w:rsidRPr="0011176D">
              <w:rPr>
                <w:rStyle w:val="Hyperlink"/>
                <w:rFonts w:cs="Arial"/>
                <w:noProof/>
                <w:lang w:val="en-GB"/>
              </w:rPr>
              <w:t>4. Conclusion</w:t>
            </w:r>
            <w:r w:rsidRPr="0011176D">
              <w:rPr>
                <w:rFonts w:cs="Arial"/>
                <w:noProof/>
                <w:webHidden/>
                <w:lang w:val="en-GB"/>
              </w:rPr>
              <w:tab/>
            </w:r>
            <w:r w:rsidRPr="0011176D">
              <w:rPr>
                <w:rFonts w:cs="Arial"/>
                <w:noProof/>
                <w:webHidden/>
                <w:lang w:val="en-GB"/>
              </w:rPr>
              <w:fldChar w:fldCharType="begin"/>
            </w:r>
            <w:r w:rsidRPr="0011176D">
              <w:rPr>
                <w:rFonts w:cs="Arial"/>
                <w:noProof/>
                <w:webHidden/>
                <w:lang w:val="en-GB"/>
              </w:rPr>
              <w:instrText xml:space="preserve"> PAGEREF _Toc213284486 \h </w:instrText>
            </w:r>
            <w:r w:rsidRPr="0011176D">
              <w:rPr>
                <w:rFonts w:cs="Arial"/>
                <w:noProof/>
                <w:webHidden/>
                <w:lang w:val="en-GB"/>
              </w:rPr>
            </w:r>
            <w:r w:rsidRPr="0011176D">
              <w:rPr>
                <w:rFonts w:cs="Arial"/>
                <w:noProof/>
                <w:webHidden/>
                <w:lang w:val="en-GB"/>
              </w:rPr>
              <w:fldChar w:fldCharType="separate"/>
            </w:r>
            <w:r w:rsidRPr="0011176D">
              <w:rPr>
                <w:rFonts w:cs="Arial"/>
                <w:noProof/>
                <w:webHidden/>
                <w:lang w:val="en-GB"/>
              </w:rPr>
              <w:t>17</w:t>
            </w:r>
            <w:r w:rsidRPr="0011176D">
              <w:rPr>
                <w:rFonts w:cs="Arial"/>
                <w:noProof/>
                <w:webHidden/>
                <w:lang w:val="en-GB"/>
              </w:rPr>
              <w:fldChar w:fldCharType="end"/>
            </w:r>
          </w:hyperlink>
        </w:p>
        <w:p w14:paraId="581311F4" w14:textId="77777777" w:rsidR="0085709E" w:rsidRPr="0011176D" w:rsidRDefault="0085709E" w:rsidP="0011176D">
          <w:pPr>
            <w:pStyle w:val="TOC1"/>
            <w:tabs>
              <w:tab w:val="right" w:leader="dot" w:pos="9010"/>
            </w:tabs>
            <w:rPr>
              <w:rFonts w:eastAsiaTheme="minorEastAsia" w:cs="Arial"/>
              <w:b w:val="0"/>
              <w:bCs w:val="0"/>
              <w:caps w:val="0"/>
              <w:noProof/>
              <w:u w:val="none"/>
              <w:lang w:val="en-GB"/>
            </w:rPr>
          </w:pPr>
          <w:hyperlink w:anchor="_Toc213284487" w:history="1">
            <w:r w:rsidRPr="0011176D">
              <w:rPr>
                <w:rStyle w:val="Hyperlink"/>
                <w:rFonts w:cs="Arial"/>
                <w:noProof/>
                <w:lang w:val="en-GB"/>
              </w:rPr>
              <w:t>References</w:t>
            </w:r>
            <w:r w:rsidRPr="0011176D">
              <w:rPr>
                <w:rFonts w:cs="Arial"/>
                <w:noProof/>
                <w:webHidden/>
                <w:lang w:val="en-GB"/>
              </w:rPr>
              <w:tab/>
            </w:r>
            <w:r w:rsidRPr="0011176D">
              <w:rPr>
                <w:rFonts w:cs="Arial"/>
                <w:noProof/>
                <w:webHidden/>
                <w:lang w:val="en-GB"/>
              </w:rPr>
              <w:fldChar w:fldCharType="begin"/>
            </w:r>
            <w:r w:rsidRPr="0011176D">
              <w:rPr>
                <w:rFonts w:cs="Arial"/>
                <w:noProof/>
                <w:webHidden/>
                <w:lang w:val="en-GB"/>
              </w:rPr>
              <w:instrText xml:space="preserve"> PAGEREF _Toc213284487 \h </w:instrText>
            </w:r>
            <w:r w:rsidRPr="0011176D">
              <w:rPr>
                <w:rFonts w:cs="Arial"/>
                <w:noProof/>
                <w:webHidden/>
                <w:lang w:val="en-GB"/>
              </w:rPr>
            </w:r>
            <w:r w:rsidRPr="0011176D">
              <w:rPr>
                <w:rFonts w:cs="Arial"/>
                <w:noProof/>
                <w:webHidden/>
                <w:lang w:val="en-GB"/>
              </w:rPr>
              <w:fldChar w:fldCharType="separate"/>
            </w:r>
            <w:r w:rsidRPr="0011176D">
              <w:rPr>
                <w:rFonts w:cs="Arial"/>
                <w:noProof/>
                <w:webHidden/>
                <w:lang w:val="en-GB"/>
              </w:rPr>
              <w:t>18</w:t>
            </w:r>
            <w:r w:rsidRPr="0011176D">
              <w:rPr>
                <w:rFonts w:cs="Arial"/>
                <w:noProof/>
                <w:webHidden/>
                <w:lang w:val="en-GB"/>
              </w:rPr>
              <w:fldChar w:fldCharType="end"/>
            </w:r>
          </w:hyperlink>
        </w:p>
        <w:p w14:paraId="6EA4A6D6" w14:textId="77777777" w:rsidR="00EE77A7" w:rsidRPr="0011176D" w:rsidRDefault="00EE77A7" w:rsidP="0011176D">
          <w:pPr>
            <w:rPr>
              <w:rFonts w:cs="Arial"/>
              <w:szCs w:val="22"/>
              <w:lang w:val="en-GB"/>
            </w:rPr>
          </w:pPr>
          <w:r w:rsidRPr="0011176D">
            <w:rPr>
              <w:rFonts w:cs="Arial"/>
              <w:b/>
              <w:bCs/>
              <w:noProof/>
              <w:szCs w:val="22"/>
              <w:lang w:val="en-GB"/>
            </w:rPr>
            <w:fldChar w:fldCharType="end"/>
          </w:r>
        </w:p>
      </w:sdtContent>
    </w:sdt>
    <w:p w14:paraId="3DA160D8" w14:textId="77777777" w:rsidR="0042291E" w:rsidRPr="0011176D" w:rsidRDefault="0042291E" w:rsidP="0011176D">
      <w:pPr>
        <w:spacing w:before="240" w:after="240"/>
        <w:rPr>
          <w:rFonts w:cs="Arial"/>
          <w:szCs w:val="22"/>
          <w:lang w:val="en-GB"/>
        </w:rPr>
      </w:pPr>
    </w:p>
    <w:p w14:paraId="730D171B" w14:textId="77777777" w:rsidR="0042291E" w:rsidRDefault="0042291E" w:rsidP="0011176D">
      <w:pPr>
        <w:spacing w:before="240" w:after="240"/>
        <w:rPr>
          <w:rFonts w:eastAsiaTheme="majorEastAsia" w:cs="Arial"/>
          <w:color w:val="0F4761" w:themeColor="accent1" w:themeShade="BF"/>
          <w:szCs w:val="22"/>
          <w:lang w:val="en-GB"/>
        </w:rPr>
      </w:pPr>
      <w:r w:rsidRPr="0011176D">
        <w:rPr>
          <w:rFonts w:cs="Arial"/>
          <w:szCs w:val="22"/>
        </w:rPr>
        <w:br/>
      </w:r>
    </w:p>
    <w:p w14:paraId="232854A9" w14:textId="77777777" w:rsidR="0011176D" w:rsidRDefault="0011176D" w:rsidP="0011176D">
      <w:pPr>
        <w:spacing w:before="240" w:after="240"/>
        <w:rPr>
          <w:rFonts w:eastAsiaTheme="majorEastAsia" w:cs="Arial"/>
          <w:color w:val="0F4761" w:themeColor="accent1" w:themeShade="BF"/>
          <w:szCs w:val="22"/>
          <w:lang w:val="en-GB"/>
        </w:rPr>
      </w:pPr>
    </w:p>
    <w:p w14:paraId="2B288C52" w14:textId="77777777" w:rsidR="0011176D" w:rsidRDefault="0011176D" w:rsidP="0011176D">
      <w:pPr>
        <w:spacing w:before="240" w:after="240"/>
        <w:rPr>
          <w:rFonts w:eastAsiaTheme="majorEastAsia" w:cs="Arial"/>
          <w:color w:val="0F4761" w:themeColor="accent1" w:themeShade="BF"/>
          <w:szCs w:val="22"/>
          <w:lang w:val="en-GB"/>
        </w:rPr>
      </w:pPr>
    </w:p>
    <w:p w14:paraId="56D8BBCE" w14:textId="15EF7159" w:rsidR="0011176D" w:rsidRDefault="0011176D" w:rsidP="0011176D">
      <w:pPr>
        <w:spacing w:before="240" w:after="240"/>
        <w:rPr>
          <w:rFonts w:eastAsiaTheme="majorEastAsia" w:cs="Arial"/>
          <w:color w:val="0F4761" w:themeColor="accent1" w:themeShade="BF"/>
          <w:szCs w:val="22"/>
          <w:lang w:val="en-GB"/>
        </w:rPr>
      </w:pPr>
    </w:p>
    <w:p w14:paraId="212440B3" w14:textId="77777777" w:rsidR="0011176D" w:rsidRDefault="0011176D" w:rsidP="0011176D">
      <w:pPr>
        <w:spacing w:before="240" w:after="240"/>
        <w:rPr>
          <w:rFonts w:eastAsiaTheme="majorEastAsia" w:cs="Arial"/>
          <w:color w:val="0F4761" w:themeColor="accent1" w:themeShade="BF"/>
          <w:szCs w:val="22"/>
          <w:lang w:val="en-GB"/>
        </w:rPr>
      </w:pPr>
    </w:p>
    <w:p w14:paraId="60694546" w14:textId="77777777" w:rsidR="0011176D" w:rsidRDefault="0011176D" w:rsidP="0011176D">
      <w:pPr>
        <w:spacing w:before="240" w:after="240"/>
        <w:rPr>
          <w:rFonts w:eastAsiaTheme="majorEastAsia" w:cs="Arial"/>
          <w:color w:val="0F4761" w:themeColor="accent1" w:themeShade="BF"/>
          <w:szCs w:val="22"/>
          <w:lang w:val="en-GB"/>
        </w:rPr>
      </w:pPr>
    </w:p>
    <w:p w14:paraId="50DFDC0C" w14:textId="77777777" w:rsidR="0011176D" w:rsidRDefault="0011176D" w:rsidP="0011176D">
      <w:pPr>
        <w:spacing w:before="240" w:after="240"/>
        <w:rPr>
          <w:rFonts w:eastAsiaTheme="majorEastAsia" w:cs="Arial"/>
          <w:color w:val="0F4761" w:themeColor="accent1" w:themeShade="BF"/>
          <w:szCs w:val="22"/>
          <w:lang w:val="en-GB"/>
        </w:rPr>
      </w:pPr>
    </w:p>
    <w:p w14:paraId="04154D65" w14:textId="77777777" w:rsidR="0011176D" w:rsidRDefault="0011176D" w:rsidP="0011176D">
      <w:pPr>
        <w:spacing w:before="240" w:after="240"/>
        <w:rPr>
          <w:rFonts w:eastAsiaTheme="majorEastAsia" w:cs="Arial"/>
          <w:color w:val="0F4761" w:themeColor="accent1" w:themeShade="BF"/>
          <w:szCs w:val="22"/>
          <w:lang w:val="en-GB"/>
        </w:rPr>
      </w:pPr>
    </w:p>
    <w:p w14:paraId="7735F9E9" w14:textId="77777777" w:rsidR="0011176D" w:rsidRPr="0011176D" w:rsidRDefault="0011176D" w:rsidP="0011176D">
      <w:pPr>
        <w:spacing w:before="240" w:after="240"/>
        <w:rPr>
          <w:rFonts w:eastAsiaTheme="majorEastAsia" w:cs="Arial"/>
          <w:color w:val="0F4761" w:themeColor="accent1" w:themeShade="BF"/>
          <w:szCs w:val="22"/>
          <w:lang w:val="en-GB"/>
        </w:rPr>
      </w:pPr>
    </w:p>
    <w:p w14:paraId="583C6270" w14:textId="77777777" w:rsidR="0023631D" w:rsidRPr="0011176D" w:rsidRDefault="0023631D" w:rsidP="0011176D">
      <w:pPr>
        <w:pStyle w:val="Heading1"/>
        <w:rPr>
          <w:rFonts w:cs="Arial"/>
          <w:b/>
          <w:bCs/>
          <w:color w:val="000000" w:themeColor="text1"/>
          <w:sz w:val="28"/>
          <w:szCs w:val="28"/>
          <w:lang w:val="en-GB"/>
        </w:rPr>
      </w:pPr>
      <w:r w:rsidRPr="0011176D">
        <w:rPr>
          <w:rFonts w:cs="Arial"/>
          <w:b/>
          <w:bCs/>
          <w:color w:val="000000" w:themeColor="text1"/>
          <w:sz w:val="28"/>
          <w:szCs w:val="28"/>
        </w:rPr>
        <w:t xml:space="preserve">Introduction </w:t>
      </w:r>
    </w:p>
    <w:p w14:paraId="53959FC2" w14:textId="3810A594" w:rsidR="003F6D2C" w:rsidRPr="003F6D2C" w:rsidRDefault="003F6D2C" w:rsidP="003F6D2C">
      <w:pPr>
        <w:rPr>
          <w:rFonts w:cs="Arial"/>
          <w:szCs w:val="22"/>
        </w:rPr>
      </w:pPr>
      <w:r w:rsidRPr="003F6D2C">
        <w:rPr>
          <w:rFonts w:cs="Arial"/>
          <w:szCs w:val="22"/>
        </w:rPr>
        <w:t xml:space="preserve">The introduction of the COVID-19 pandemic has exposed the strengths and weaknesses of the healthcare systems in the world and offered an unprecedented opportunity to test the efficacy of various </w:t>
      </w:r>
      <w:proofErr w:type="spellStart"/>
      <w:r w:rsidRPr="003F6D2C">
        <w:rPr>
          <w:rFonts w:cs="Arial"/>
          <w:szCs w:val="22"/>
        </w:rPr>
        <w:t>organisational</w:t>
      </w:r>
      <w:proofErr w:type="spellEnd"/>
      <w:r w:rsidRPr="003F6D2C">
        <w:rPr>
          <w:rFonts w:cs="Arial"/>
          <w:szCs w:val="22"/>
        </w:rPr>
        <w:t xml:space="preserve"> and leadership frameworks (Hick, J. and Biddinger, P. 2020) (WHO</w:t>
      </w:r>
      <w:r w:rsidR="004A02B7">
        <w:rPr>
          <w:rFonts w:cs="Arial"/>
          <w:szCs w:val="22"/>
        </w:rPr>
        <w:t xml:space="preserve"> </w:t>
      </w:r>
      <w:r w:rsidRPr="003F6D2C">
        <w:rPr>
          <w:rFonts w:cs="Arial"/>
          <w:szCs w:val="22"/>
        </w:rPr>
        <w:t>2021)</w:t>
      </w:r>
      <w:r w:rsidR="000F1789">
        <w:rPr>
          <w:rFonts w:cs="Arial"/>
          <w:szCs w:val="22"/>
        </w:rPr>
        <w:t>.</w:t>
      </w:r>
      <w:r w:rsidRPr="003F6D2C">
        <w:rPr>
          <w:rFonts w:cs="Arial"/>
          <w:szCs w:val="22"/>
        </w:rPr>
        <w:t xml:space="preserve"> COVID-19 Strategic Prepared Geneva: WHO. This report will compare the reactions of the COVID-19 crisis in three countries Spain, South Korea, and Canada which represent different models of healthcare and political governance. The key point is to assess how the role of </w:t>
      </w:r>
      <w:r w:rsidR="004135FD" w:rsidRPr="003F6D2C">
        <w:rPr>
          <w:rFonts w:cs="Arial"/>
          <w:szCs w:val="22"/>
        </w:rPr>
        <w:t>organizational</w:t>
      </w:r>
      <w:r w:rsidRPr="003F6D2C">
        <w:rPr>
          <w:rFonts w:cs="Arial"/>
          <w:szCs w:val="22"/>
        </w:rPr>
        <w:t xml:space="preserve"> typology, namely, the balance between </w:t>
      </w:r>
      <w:r w:rsidR="004135FD" w:rsidRPr="003F6D2C">
        <w:rPr>
          <w:rFonts w:cs="Arial"/>
          <w:szCs w:val="22"/>
        </w:rPr>
        <w:t>centralization</w:t>
      </w:r>
      <w:r w:rsidRPr="003F6D2C">
        <w:rPr>
          <w:rFonts w:cs="Arial"/>
          <w:szCs w:val="22"/>
        </w:rPr>
        <w:t xml:space="preserve"> and </w:t>
      </w:r>
      <w:r w:rsidR="004135FD" w:rsidRPr="003F6D2C">
        <w:rPr>
          <w:rFonts w:cs="Arial"/>
          <w:szCs w:val="22"/>
        </w:rPr>
        <w:t>decentralization</w:t>
      </w:r>
      <w:r w:rsidRPr="003F6D2C">
        <w:rPr>
          <w:rFonts w:cs="Arial"/>
          <w:szCs w:val="22"/>
        </w:rPr>
        <w:t xml:space="preserve">, and leadership styles embraced by national authorities to manage the crisis and reduce health outcomes influence the situation during the COVID-19 </w:t>
      </w:r>
      <w:proofErr w:type="gramStart"/>
      <w:r w:rsidRPr="003F6D2C">
        <w:rPr>
          <w:rFonts w:cs="Arial"/>
          <w:szCs w:val="22"/>
        </w:rPr>
        <w:t>pandemic  (</w:t>
      </w:r>
      <w:proofErr w:type="gramEnd"/>
      <w:r w:rsidRPr="003F6D2C">
        <w:rPr>
          <w:rFonts w:cs="Arial"/>
          <w:szCs w:val="22"/>
        </w:rPr>
        <w:t>Zhou, Y. and Liu, H. 202</w:t>
      </w:r>
      <w:r w:rsidR="0052480B">
        <w:rPr>
          <w:rFonts w:cs="Arial"/>
          <w:szCs w:val="22"/>
        </w:rPr>
        <w:t>2</w:t>
      </w:r>
      <w:r w:rsidR="00216911">
        <w:rPr>
          <w:rFonts w:cs="Arial"/>
          <w:szCs w:val="22"/>
        </w:rPr>
        <w:t>)</w:t>
      </w:r>
    </w:p>
    <w:p w14:paraId="2AED7E30" w14:textId="4103416B" w:rsidR="002E3242" w:rsidRPr="0011176D" w:rsidRDefault="004135FD" w:rsidP="003F6D2C">
      <w:pPr>
        <w:rPr>
          <w:rFonts w:cs="Arial"/>
          <w:szCs w:val="22"/>
        </w:rPr>
      </w:pPr>
      <w:r w:rsidRPr="003F6D2C">
        <w:rPr>
          <w:rFonts w:cs="Arial"/>
          <w:szCs w:val="22"/>
        </w:rPr>
        <w:t>Centralization</w:t>
      </w:r>
      <w:r w:rsidR="003F6D2C" w:rsidRPr="003F6D2C">
        <w:rPr>
          <w:rFonts w:cs="Arial"/>
          <w:szCs w:val="22"/>
        </w:rPr>
        <w:t xml:space="preserve"> means that the power to make decisions and control resources is concentrated at the national level, which ensures the coherent direction of the policy, and </w:t>
      </w:r>
      <w:r w:rsidRPr="003F6D2C">
        <w:rPr>
          <w:rFonts w:cs="Arial"/>
          <w:szCs w:val="22"/>
        </w:rPr>
        <w:t>decentralization</w:t>
      </w:r>
      <w:r w:rsidR="003F6D2C" w:rsidRPr="003F6D2C">
        <w:rPr>
          <w:rFonts w:cs="Arial"/>
          <w:szCs w:val="22"/>
        </w:rPr>
        <w:t xml:space="preserve"> implies the distribution of power across the regional or local levels to be able to respond in a context-specific manner to the pandemic (Villarreal, J. and Moreno, A. 2022). Leadership </w:t>
      </w:r>
      <w:r w:rsidRPr="003F6D2C">
        <w:rPr>
          <w:rFonts w:cs="Arial"/>
          <w:szCs w:val="22"/>
        </w:rPr>
        <w:t>practices</w:t>
      </w:r>
      <w:r w:rsidR="003F6D2C" w:rsidRPr="003F6D2C">
        <w:rPr>
          <w:rFonts w:cs="Arial"/>
          <w:szCs w:val="22"/>
        </w:rPr>
        <w:t xml:space="preserve"> are important intermediaries between policy and </w:t>
      </w:r>
      <w:r w:rsidRPr="003F6D2C">
        <w:rPr>
          <w:rFonts w:cs="Arial"/>
          <w:szCs w:val="22"/>
        </w:rPr>
        <w:t>practice</w:t>
      </w:r>
      <w:r w:rsidR="003F6D2C" w:rsidRPr="003F6D2C">
        <w:rPr>
          <w:rFonts w:cs="Arial"/>
          <w:szCs w:val="22"/>
        </w:rPr>
        <w:t>; good leadership in times of crisis builds trust, promotes adherence among the population, and improves national response and response outcomes (Anderson, T.L. 2022) Global Health Crises and Political Leadership: COVID-19 Case Studies. Oxford University Press, Oxford. (Wang, Z. and Chen, J. 2021</w:t>
      </w:r>
      <w:r w:rsidR="00BD7175" w:rsidRPr="003F6D2C">
        <w:rPr>
          <w:rFonts w:cs="Arial"/>
          <w:szCs w:val="22"/>
        </w:rPr>
        <w:t>).</w:t>
      </w:r>
      <w:r w:rsidR="003F6D2C">
        <w:rPr>
          <w:rFonts w:cs="Arial"/>
          <w:szCs w:val="22"/>
        </w:rPr>
        <w:t xml:space="preserve"> </w:t>
      </w:r>
      <w:r w:rsidR="002E3242" w:rsidRPr="0011176D">
        <w:rPr>
          <w:rFonts w:cs="Arial"/>
          <w:szCs w:val="22"/>
        </w:rPr>
        <w:t>The selected health systems and their leadership strategies are discussed in relation to their advantages and drawbacks, supported by relevant contemporary scholarly literature and policy analyses (OECD 2021)</w:t>
      </w:r>
      <w:r w:rsidR="00163590">
        <w:rPr>
          <w:rFonts w:cs="Arial"/>
          <w:szCs w:val="22"/>
        </w:rPr>
        <w:t>.</w:t>
      </w:r>
      <w:r w:rsidR="002E3242" w:rsidRPr="0011176D">
        <w:rPr>
          <w:rFonts w:cs="Arial"/>
          <w:szCs w:val="22"/>
        </w:rPr>
        <w:t xml:space="preserve"> The COVID-19 Crisis and the Future of Health Systems: Lessons Learned. OECD Publishing, Paris. (World Health Organization 2022) Building Health System Resilience for Universal Health Coverage and Health Security during the COVID-19 Pandemic and Beyond. The discussion aligns with postgraduate learning objectives in health systems leadership, particularly </w:t>
      </w:r>
      <w:r w:rsidR="00BD7175" w:rsidRPr="0011176D">
        <w:rPr>
          <w:rFonts w:cs="Arial"/>
          <w:szCs w:val="22"/>
        </w:rPr>
        <w:t>in</w:t>
      </w:r>
      <w:r w:rsidR="002E3242" w:rsidRPr="0011176D">
        <w:rPr>
          <w:rFonts w:cs="Arial"/>
          <w:szCs w:val="22"/>
        </w:rPr>
        <w:t xml:space="preserve"> systemic crisis management and </w:t>
      </w:r>
      <w:r w:rsidR="00FB154C" w:rsidRPr="0011176D">
        <w:rPr>
          <w:rFonts w:cs="Arial"/>
          <w:szCs w:val="22"/>
        </w:rPr>
        <w:t>governance (</w:t>
      </w:r>
      <w:r w:rsidR="002E3242" w:rsidRPr="0011176D">
        <w:rPr>
          <w:rFonts w:cs="Arial"/>
          <w:szCs w:val="22"/>
        </w:rPr>
        <w:t>UNDP</w:t>
      </w:r>
      <w:r w:rsidR="00FB154C">
        <w:rPr>
          <w:rFonts w:cs="Arial"/>
          <w:szCs w:val="22"/>
        </w:rPr>
        <w:t xml:space="preserve"> </w:t>
      </w:r>
      <w:r w:rsidR="002E3242" w:rsidRPr="0011176D">
        <w:rPr>
          <w:rFonts w:cs="Arial"/>
          <w:szCs w:val="22"/>
        </w:rPr>
        <w:t>2021</w:t>
      </w:r>
      <w:r w:rsidR="00BD7175" w:rsidRPr="0011176D">
        <w:rPr>
          <w:rFonts w:cs="Arial"/>
          <w:szCs w:val="22"/>
        </w:rPr>
        <w:t>). COVID</w:t>
      </w:r>
      <w:r w:rsidR="002E3242" w:rsidRPr="0011176D">
        <w:rPr>
          <w:rFonts w:cs="Arial"/>
          <w:szCs w:val="22"/>
        </w:rPr>
        <w:t>-19 and Human Development: Building Resilient Systems. New York</w:t>
      </w:r>
      <w:r w:rsidR="00FB154C" w:rsidRPr="0011176D">
        <w:rPr>
          <w:rFonts w:cs="Arial"/>
          <w:szCs w:val="22"/>
        </w:rPr>
        <w:t>: (</w:t>
      </w:r>
      <w:r w:rsidR="002E3242" w:rsidRPr="0011176D">
        <w:rPr>
          <w:rFonts w:cs="Arial"/>
          <w:szCs w:val="22"/>
        </w:rPr>
        <w:t xml:space="preserve">Hargreaves, S. and Kumar, B. 2021). Furthermore, the analysis examines systemic vulnerabilities that existed before the pandemic, which became amplified during COVID-19, influencing institutional capacity and </w:t>
      </w:r>
      <w:r w:rsidR="00FB154C" w:rsidRPr="0011176D">
        <w:rPr>
          <w:rFonts w:cs="Arial"/>
          <w:szCs w:val="22"/>
        </w:rPr>
        <w:t>resilience (</w:t>
      </w:r>
      <w:r w:rsidR="002E3242" w:rsidRPr="0011176D">
        <w:rPr>
          <w:rFonts w:cs="Arial"/>
          <w:szCs w:val="22"/>
        </w:rPr>
        <w:t xml:space="preserve">World Bank 2022) Strengthening Health </w:t>
      </w:r>
      <w:r w:rsidR="002E3242" w:rsidRPr="0011176D">
        <w:rPr>
          <w:rFonts w:cs="Arial"/>
          <w:szCs w:val="22"/>
        </w:rPr>
        <w:lastRenderedPageBreak/>
        <w:t>Systems Resilience during COVID-19: Policy Lessons for Future Crises. Washington, DC: World Bank. (Phelan, A. and Katz, R. 2020).</w:t>
      </w:r>
    </w:p>
    <w:p w14:paraId="0CA34BA4" w14:textId="5B9F3C52" w:rsidR="0023631D" w:rsidRPr="0011176D" w:rsidRDefault="0003692F" w:rsidP="0011176D">
      <w:pPr>
        <w:jc w:val="left"/>
        <w:rPr>
          <w:rFonts w:eastAsiaTheme="majorEastAsia" w:cs="Arial"/>
          <w:b/>
          <w:bCs/>
          <w:color w:val="000000" w:themeColor="text1"/>
          <w:sz w:val="32"/>
          <w:szCs w:val="32"/>
          <w:lang w:val="en-GB"/>
        </w:rPr>
      </w:pPr>
      <w:r w:rsidRPr="0011176D">
        <w:rPr>
          <w:rFonts w:cs="Arial"/>
          <w:szCs w:val="22"/>
        </w:rPr>
        <w:br/>
      </w:r>
      <w:r w:rsidR="0023631D" w:rsidRPr="0011176D">
        <w:rPr>
          <w:rFonts w:cs="Arial"/>
          <w:b/>
          <w:bCs/>
          <w:sz w:val="32"/>
          <w:szCs w:val="32"/>
        </w:rPr>
        <w:t xml:space="preserve">Critical Country Typology and Systems Approach to the COVID-19 Pandemic. </w:t>
      </w:r>
    </w:p>
    <w:p w14:paraId="6F99957D" w14:textId="50F205B5" w:rsidR="0023631D" w:rsidRPr="0011176D" w:rsidRDefault="0023631D" w:rsidP="0011176D">
      <w:pPr>
        <w:spacing w:before="240" w:after="240"/>
        <w:rPr>
          <w:rFonts w:cs="Arial"/>
          <w:szCs w:val="22"/>
          <w:lang w:val="en-GB"/>
        </w:rPr>
      </w:pPr>
      <w:r w:rsidRPr="0011176D">
        <w:rPr>
          <w:rFonts w:cs="Arial"/>
          <w:szCs w:val="22"/>
        </w:rPr>
        <w:t xml:space="preserve">This part compares the </w:t>
      </w:r>
      <w:r w:rsidR="00CB68EC" w:rsidRPr="0011176D">
        <w:rPr>
          <w:rFonts w:cs="Arial"/>
          <w:szCs w:val="22"/>
        </w:rPr>
        <w:t>organizational</w:t>
      </w:r>
      <w:r w:rsidRPr="0011176D">
        <w:rPr>
          <w:rFonts w:cs="Arial"/>
          <w:szCs w:val="22"/>
        </w:rPr>
        <w:t xml:space="preserve"> structure of the healthcare systems of Spain, South Korea, and Canada critically and examines how their intrinsic degree of </w:t>
      </w:r>
      <w:r w:rsidR="00CB68EC" w:rsidRPr="0011176D">
        <w:rPr>
          <w:rFonts w:cs="Arial"/>
          <w:szCs w:val="22"/>
        </w:rPr>
        <w:t>centralization</w:t>
      </w:r>
      <w:r w:rsidRPr="0011176D">
        <w:rPr>
          <w:rFonts w:cs="Arial"/>
          <w:szCs w:val="22"/>
        </w:rPr>
        <w:t xml:space="preserve"> or </w:t>
      </w:r>
      <w:r w:rsidR="00CB68EC" w:rsidRPr="0011176D">
        <w:rPr>
          <w:rFonts w:cs="Arial"/>
          <w:szCs w:val="22"/>
        </w:rPr>
        <w:t>decentralization</w:t>
      </w:r>
      <w:r w:rsidRPr="0011176D">
        <w:rPr>
          <w:rFonts w:cs="Arial"/>
          <w:szCs w:val="22"/>
        </w:rPr>
        <w:t xml:space="preserve"> influenced their strategic response to the COVID-19 pandemic. The framework of the analysis includes the idea that the topology of the current health system is a critical factor in determining the preparedness for the crisis and the responsiveness of the country.</w:t>
      </w:r>
    </w:p>
    <w:p w14:paraId="7208D51C" w14:textId="6104FBFB" w:rsidR="0023631D" w:rsidRPr="0011176D" w:rsidRDefault="0023631D" w:rsidP="0011176D">
      <w:pPr>
        <w:pStyle w:val="Heading2"/>
        <w:rPr>
          <w:rFonts w:cs="Arial"/>
          <w:b/>
          <w:bCs/>
          <w:sz w:val="22"/>
          <w:szCs w:val="22"/>
          <w:lang w:val="en-GB"/>
        </w:rPr>
      </w:pPr>
      <w:r w:rsidRPr="0011176D">
        <w:rPr>
          <w:rFonts w:cs="Arial"/>
          <w:b/>
          <w:bCs/>
          <w:sz w:val="22"/>
          <w:szCs w:val="22"/>
        </w:rPr>
        <w:t xml:space="preserve">2.1. Spain: The Dilemma of Fragmented </w:t>
      </w:r>
      <w:r w:rsidR="00CB68EC" w:rsidRPr="0011176D">
        <w:rPr>
          <w:rFonts w:cs="Arial"/>
          <w:b/>
          <w:bCs/>
          <w:sz w:val="22"/>
          <w:szCs w:val="22"/>
        </w:rPr>
        <w:t>Decentralization</w:t>
      </w:r>
      <w:r w:rsidRPr="0011176D">
        <w:rPr>
          <w:rFonts w:cs="Arial"/>
          <w:b/>
          <w:bCs/>
          <w:sz w:val="22"/>
          <w:szCs w:val="22"/>
        </w:rPr>
        <w:t xml:space="preserve">. </w:t>
      </w:r>
    </w:p>
    <w:p w14:paraId="57E475B4" w14:textId="77777777" w:rsidR="0023631D" w:rsidRPr="0011176D" w:rsidRDefault="0023631D" w:rsidP="0011176D">
      <w:pPr>
        <w:spacing w:before="240" w:after="240"/>
        <w:rPr>
          <w:rFonts w:cs="Arial"/>
          <w:b/>
          <w:bCs/>
          <w:szCs w:val="22"/>
          <w:lang w:val="en-GB"/>
        </w:rPr>
      </w:pPr>
      <w:r w:rsidRPr="0011176D">
        <w:rPr>
          <w:rFonts w:cs="Arial"/>
          <w:b/>
          <w:bCs/>
          <w:szCs w:val="22"/>
        </w:rPr>
        <w:t>2.1.1. Typology of Healthcare System and Primary Response.</w:t>
      </w:r>
    </w:p>
    <w:p w14:paraId="72844ED5" w14:textId="398FC70C" w:rsidR="0023631D" w:rsidRPr="0011176D" w:rsidRDefault="0023631D" w:rsidP="0011176D">
      <w:pPr>
        <w:spacing w:before="240" w:after="240"/>
        <w:rPr>
          <w:rFonts w:cs="Arial"/>
          <w:szCs w:val="22"/>
          <w:lang w:val="en-GB"/>
        </w:rPr>
      </w:pPr>
      <w:r w:rsidRPr="0011176D">
        <w:rPr>
          <w:rFonts w:cs="Arial"/>
          <w:szCs w:val="22"/>
        </w:rPr>
        <w:t xml:space="preserve">Spain has a highly </w:t>
      </w:r>
      <w:r w:rsidR="00F76E08" w:rsidRPr="0011176D">
        <w:rPr>
          <w:rFonts w:cs="Arial"/>
          <w:szCs w:val="22"/>
        </w:rPr>
        <w:t>decentralized</w:t>
      </w:r>
      <w:r w:rsidRPr="0011176D">
        <w:rPr>
          <w:rFonts w:cs="Arial"/>
          <w:szCs w:val="22"/>
        </w:rPr>
        <w:t xml:space="preserve"> National Health System (Sistema Nacional de Salud, SNS), with the responsibility of health management, financing, and provision of healthcare services greatly devolved to the 17 Autonomous Communities (ACs) (Garcia et al., 2023). Through this arrangement, there was the creation of regional autonomy and sensitivity in everyday care, but there were also significant problems that arose in the time of a national crisis. At the onset of the pandemic in early 2020, the disjointedness of the SNS resulted in the fact that every AC had already built its own digital infrastructure, procurement approaches, and capabilities of national surveillance of health, which caused instant discrepancies within the national response (Rodriguez </w:t>
      </w:r>
      <w:r w:rsidR="00F43F4C">
        <w:rPr>
          <w:rFonts w:cs="Arial"/>
          <w:szCs w:val="22"/>
        </w:rPr>
        <w:t>and</w:t>
      </w:r>
      <w:r w:rsidRPr="0011176D">
        <w:rPr>
          <w:rFonts w:cs="Arial"/>
          <w:szCs w:val="22"/>
        </w:rPr>
        <w:t xml:space="preserve"> Fernandez, 2021). The first reaction was </w:t>
      </w:r>
      <w:r w:rsidR="00D009FA" w:rsidRPr="0011176D">
        <w:rPr>
          <w:rFonts w:cs="Arial"/>
          <w:szCs w:val="22"/>
        </w:rPr>
        <w:t>characterized</w:t>
      </w:r>
      <w:r w:rsidRPr="0011176D">
        <w:rPr>
          <w:rFonts w:cs="Arial"/>
          <w:szCs w:val="22"/>
        </w:rPr>
        <w:t xml:space="preserve"> by the abrupt, drastic effort at </w:t>
      </w:r>
      <w:r w:rsidR="00D009FA" w:rsidRPr="0011176D">
        <w:rPr>
          <w:rFonts w:cs="Arial"/>
          <w:szCs w:val="22"/>
        </w:rPr>
        <w:t>centralization</w:t>
      </w:r>
      <w:r w:rsidRPr="0011176D">
        <w:rPr>
          <w:rFonts w:cs="Arial"/>
          <w:szCs w:val="22"/>
        </w:rPr>
        <w:t xml:space="preserve">. On 14 March 2020, the national government headed by Prime Minister Pedro Sánchez declared a State of Alarm. This drastic action was, in effect, the suspension of the devolved authority of the ACs and the concentration of power to command healthcare assets, police forces and vital supplies at the central ministry of health. This drastic and radical problem of </w:t>
      </w:r>
      <w:r w:rsidR="00D009FA" w:rsidRPr="0011176D">
        <w:rPr>
          <w:rFonts w:cs="Arial"/>
          <w:szCs w:val="22"/>
        </w:rPr>
        <w:t>decentralization</w:t>
      </w:r>
      <w:r w:rsidRPr="0011176D">
        <w:rPr>
          <w:rFonts w:cs="Arial"/>
          <w:szCs w:val="22"/>
        </w:rPr>
        <w:t xml:space="preserve"> to radical </w:t>
      </w:r>
      <w:r w:rsidR="00D009FA" w:rsidRPr="0011176D">
        <w:rPr>
          <w:rFonts w:cs="Arial"/>
          <w:szCs w:val="22"/>
        </w:rPr>
        <w:t>centralization</w:t>
      </w:r>
      <w:r w:rsidRPr="0011176D">
        <w:rPr>
          <w:rFonts w:cs="Arial"/>
          <w:szCs w:val="22"/>
        </w:rPr>
        <w:t xml:space="preserve"> was a pivotal point of friction and systemic strain, highlighting the institutional inertia that had hardened over regional administrations and denied them the ability to work in organic, direct inter-regional cooperation. The absence of a </w:t>
      </w:r>
      <w:r w:rsidR="00D009FA" w:rsidRPr="0011176D">
        <w:rPr>
          <w:rFonts w:cs="Arial"/>
          <w:szCs w:val="22"/>
        </w:rPr>
        <w:t>centralized</w:t>
      </w:r>
      <w:r w:rsidRPr="0011176D">
        <w:rPr>
          <w:rFonts w:cs="Arial"/>
          <w:szCs w:val="22"/>
        </w:rPr>
        <w:t xml:space="preserve"> epidemiological surveillance system and common registries of patients before the crisis turned out to be a vital pre-existing weakness that condemned the immediate </w:t>
      </w:r>
      <w:r w:rsidR="00D009FA" w:rsidRPr="0011176D">
        <w:rPr>
          <w:rFonts w:cs="Arial"/>
          <w:szCs w:val="22"/>
        </w:rPr>
        <w:t>centralized</w:t>
      </w:r>
      <w:r w:rsidRPr="0011176D">
        <w:rPr>
          <w:rFonts w:cs="Arial"/>
          <w:szCs w:val="22"/>
        </w:rPr>
        <w:t xml:space="preserve"> solution to inefficiency. More to the point, the political economy of the Spanish system implied that years of regional discretion over budgetary </w:t>
      </w:r>
      <w:r w:rsidRPr="0011176D">
        <w:rPr>
          <w:rFonts w:cs="Arial"/>
          <w:szCs w:val="22"/>
        </w:rPr>
        <w:lastRenderedPageBreak/>
        <w:t>matters resulted in competitive bids on resources, which immediately started competing against shortages in the pandemic, weakening the capacity of the central government to procure in an efficient manner.</w:t>
      </w:r>
    </w:p>
    <w:p w14:paraId="58D1366A" w14:textId="77777777" w:rsidR="0023631D" w:rsidRPr="0011176D" w:rsidRDefault="0023631D" w:rsidP="0011176D">
      <w:pPr>
        <w:spacing w:before="240" w:after="240"/>
        <w:rPr>
          <w:rFonts w:cs="Arial"/>
          <w:b/>
          <w:bCs/>
          <w:szCs w:val="22"/>
          <w:lang w:val="en-GB"/>
        </w:rPr>
      </w:pPr>
      <w:r w:rsidRPr="0011176D">
        <w:rPr>
          <w:rFonts w:cs="Arial"/>
          <w:b/>
          <w:bCs/>
          <w:szCs w:val="22"/>
        </w:rPr>
        <w:t xml:space="preserve">2.1.2. </w:t>
      </w:r>
      <w:proofErr w:type="spellStart"/>
      <w:r w:rsidRPr="0011176D">
        <w:rPr>
          <w:rFonts w:cs="Arial"/>
          <w:b/>
          <w:bCs/>
          <w:szCs w:val="22"/>
        </w:rPr>
        <w:t>Centralised</w:t>
      </w:r>
      <w:proofErr w:type="spellEnd"/>
      <w:r w:rsidRPr="0011176D">
        <w:rPr>
          <w:rFonts w:cs="Arial"/>
          <w:b/>
          <w:bCs/>
          <w:szCs w:val="22"/>
        </w:rPr>
        <w:t xml:space="preserve"> and </w:t>
      </w:r>
      <w:proofErr w:type="spellStart"/>
      <w:r w:rsidRPr="0011176D">
        <w:rPr>
          <w:rFonts w:cs="Arial"/>
          <w:b/>
          <w:bCs/>
          <w:szCs w:val="22"/>
        </w:rPr>
        <w:t>Decentralised</w:t>
      </w:r>
      <w:proofErr w:type="spellEnd"/>
      <w:r w:rsidRPr="0011176D">
        <w:rPr>
          <w:rFonts w:cs="Arial"/>
          <w:b/>
          <w:bCs/>
          <w:szCs w:val="22"/>
        </w:rPr>
        <w:t xml:space="preserve"> Approaches Critiques.</w:t>
      </w:r>
    </w:p>
    <w:p w14:paraId="6D217611" w14:textId="0A3B4E02" w:rsidR="0023631D" w:rsidRPr="0011176D" w:rsidRDefault="0023631D" w:rsidP="0011176D">
      <w:pPr>
        <w:spacing w:before="240" w:after="240"/>
        <w:rPr>
          <w:rFonts w:cs="Arial"/>
          <w:szCs w:val="22"/>
          <w:lang w:val="en-GB"/>
        </w:rPr>
      </w:pPr>
      <w:r w:rsidRPr="0011176D">
        <w:rPr>
          <w:rFonts w:cs="Arial"/>
          <w:szCs w:val="22"/>
        </w:rPr>
        <w:t xml:space="preserve">The key benefit of the early </w:t>
      </w:r>
      <w:r w:rsidR="009C40B7" w:rsidRPr="0011176D">
        <w:rPr>
          <w:rFonts w:cs="Arial"/>
          <w:szCs w:val="22"/>
        </w:rPr>
        <w:t>centralization</w:t>
      </w:r>
      <w:r w:rsidRPr="0011176D">
        <w:rPr>
          <w:rFonts w:cs="Arial"/>
          <w:szCs w:val="22"/>
        </w:rPr>
        <w:t xml:space="preserve"> was the possibility to introduce a unified, national, and strict lockdown (one of the harshest in the world) and redistribute vital resources, including ventilators and Personal Protective Equipment (PPE), to the most </w:t>
      </w:r>
      <w:r w:rsidR="009C40B7" w:rsidRPr="0011176D">
        <w:rPr>
          <w:rFonts w:cs="Arial"/>
          <w:szCs w:val="22"/>
        </w:rPr>
        <w:t>severely impacted</w:t>
      </w:r>
      <w:r w:rsidRPr="0011176D">
        <w:rPr>
          <w:rFonts w:cs="Arial"/>
          <w:szCs w:val="22"/>
        </w:rPr>
        <w:t xml:space="preserve"> areas in the country, Madrid and Catalonia (Rodriguez </w:t>
      </w:r>
      <w:r w:rsidR="00F43F4C">
        <w:rPr>
          <w:rFonts w:cs="Arial"/>
          <w:szCs w:val="22"/>
        </w:rPr>
        <w:t>and</w:t>
      </w:r>
      <w:r w:rsidRPr="0011176D">
        <w:rPr>
          <w:rFonts w:cs="Arial"/>
          <w:szCs w:val="22"/>
        </w:rPr>
        <w:t xml:space="preserve"> Fernandez, 2021). This boldness played a crucial role in curbing the geometric growth in the very disjointed system. Nevertheless, this gain soon became outweighed by the deep-seated drawbacks of overreach and incompetence in policies. To begin with, the process of </w:t>
      </w:r>
      <w:r w:rsidR="009C40B7" w:rsidRPr="0011176D">
        <w:rPr>
          <w:rFonts w:cs="Arial"/>
          <w:szCs w:val="22"/>
        </w:rPr>
        <w:t>centralization</w:t>
      </w:r>
      <w:r w:rsidRPr="0011176D">
        <w:rPr>
          <w:rFonts w:cs="Arial"/>
          <w:szCs w:val="22"/>
        </w:rPr>
        <w:t xml:space="preserve"> faced serious logistical and political opposition. The </w:t>
      </w:r>
      <w:r w:rsidR="009C40B7" w:rsidRPr="0011176D">
        <w:rPr>
          <w:rFonts w:cs="Arial"/>
          <w:szCs w:val="22"/>
        </w:rPr>
        <w:t>nationalization</w:t>
      </w:r>
      <w:r w:rsidRPr="0011176D">
        <w:rPr>
          <w:rFonts w:cs="Arial"/>
          <w:szCs w:val="22"/>
        </w:rPr>
        <w:t xml:space="preserve"> of purchasing took the place of the responsive local buying of ACs, and </w:t>
      </w:r>
      <w:r w:rsidR="009C40B7" w:rsidRPr="0011176D">
        <w:rPr>
          <w:rFonts w:cs="Arial"/>
          <w:szCs w:val="22"/>
        </w:rPr>
        <w:t>centralized</w:t>
      </w:r>
      <w:r w:rsidRPr="0011176D">
        <w:rPr>
          <w:rFonts w:cs="Arial"/>
          <w:szCs w:val="22"/>
        </w:rPr>
        <w:t xml:space="preserve"> procurement initiatives were often inefficient and slow (Lopez </w:t>
      </w:r>
      <w:r w:rsidR="00F43F4C">
        <w:rPr>
          <w:rFonts w:cs="Arial"/>
          <w:szCs w:val="22"/>
        </w:rPr>
        <w:t>and</w:t>
      </w:r>
      <w:r w:rsidRPr="0011176D">
        <w:rPr>
          <w:rFonts w:cs="Arial"/>
          <w:szCs w:val="22"/>
        </w:rPr>
        <w:t xml:space="preserve"> Martinez, 2022). Second, the top-down command structure overlooked the useful </w:t>
      </w:r>
      <w:r w:rsidR="009C40B7" w:rsidRPr="0011176D">
        <w:rPr>
          <w:rFonts w:cs="Arial"/>
          <w:szCs w:val="22"/>
        </w:rPr>
        <w:t>localized</w:t>
      </w:r>
      <w:r w:rsidRPr="0011176D">
        <w:rPr>
          <w:rFonts w:cs="Arial"/>
          <w:szCs w:val="22"/>
        </w:rPr>
        <w:t xml:space="preserve"> epidemiological data and operational experience that the ACs possessed, resulting in policy misalignments. As an illustration, the national government did not have a robust and consolidated data reporting system, which resulted in disparities in the case and mortality statistics across regions, making it difficult to make real-time </w:t>
      </w:r>
      <w:r w:rsidR="009C40B7" w:rsidRPr="0011176D">
        <w:rPr>
          <w:rFonts w:cs="Arial"/>
          <w:szCs w:val="22"/>
        </w:rPr>
        <w:t>decisions (</w:t>
      </w:r>
      <w:r w:rsidRPr="0011176D">
        <w:rPr>
          <w:rFonts w:cs="Arial"/>
          <w:szCs w:val="22"/>
        </w:rPr>
        <w:t xml:space="preserve">OECD 2021). These problems became even more acute by the cultural and political opposition to central command, which was based on decades of regional autonomy. This points out the challenge of attempting to enforce central policy in the absence of the required operational integration in a historically devolved system, particularly when central control could be functionally impossible in the absence of </w:t>
      </w:r>
      <w:r w:rsidR="009561BB" w:rsidRPr="0011176D">
        <w:rPr>
          <w:rFonts w:cs="Arial"/>
          <w:szCs w:val="22"/>
        </w:rPr>
        <w:t>unified</w:t>
      </w:r>
      <w:r w:rsidRPr="0011176D">
        <w:rPr>
          <w:rFonts w:cs="Arial"/>
          <w:szCs w:val="22"/>
        </w:rPr>
        <w:t xml:space="preserve"> public health data infrastructure. One of the biggest systemic failures was the discovery of decades-long underinvestment in primary care and community health that caused the ACs to lack the advanced contact tracing capacity by the time lockdowns were </w:t>
      </w:r>
      <w:r w:rsidR="009561BB" w:rsidRPr="0011176D">
        <w:rPr>
          <w:rFonts w:cs="Arial"/>
          <w:szCs w:val="22"/>
        </w:rPr>
        <w:t>relaxed and</w:t>
      </w:r>
      <w:r w:rsidRPr="0011176D">
        <w:rPr>
          <w:rFonts w:cs="Arial"/>
          <w:szCs w:val="22"/>
        </w:rPr>
        <w:t xml:space="preserve"> had to depend on the higher-quality acute care of hospital services.</w:t>
      </w:r>
    </w:p>
    <w:p w14:paraId="37BB6A27" w14:textId="77777777" w:rsidR="0023631D" w:rsidRPr="0011176D" w:rsidRDefault="0023631D" w:rsidP="0011176D">
      <w:pPr>
        <w:spacing w:before="240" w:after="240"/>
        <w:rPr>
          <w:rFonts w:cs="Arial"/>
          <w:b/>
          <w:bCs/>
          <w:szCs w:val="22"/>
          <w:lang w:val="en-GB"/>
        </w:rPr>
      </w:pPr>
      <w:r w:rsidRPr="0011176D">
        <w:rPr>
          <w:rFonts w:cs="Arial"/>
          <w:szCs w:val="22"/>
        </w:rPr>
        <w:t>2.1.3. Health outcomes, Disadvantages, and Advantages.</w:t>
      </w:r>
    </w:p>
    <w:p w14:paraId="2BE43D4D" w14:textId="189AD011" w:rsidR="0023631D" w:rsidRPr="0011176D" w:rsidRDefault="0023631D" w:rsidP="0011176D">
      <w:pPr>
        <w:spacing w:before="240" w:after="240"/>
        <w:rPr>
          <w:rFonts w:cs="Arial"/>
          <w:szCs w:val="22"/>
          <w:lang w:val="en-GB"/>
        </w:rPr>
      </w:pPr>
      <w:r w:rsidRPr="0011176D">
        <w:rPr>
          <w:rFonts w:cs="Arial"/>
          <w:szCs w:val="22"/>
        </w:rPr>
        <w:t xml:space="preserve">A high initial death toll and the almost total breakdown of the Madrid and Barcelona healthcare systems were the systemic issues manifested. The policy integration effort that failed to fuse operational strength was catastrophic. The fundamental problem was the very fact that the </w:t>
      </w:r>
      <w:r w:rsidR="009561BB" w:rsidRPr="0011176D">
        <w:rPr>
          <w:rFonts w:cs="Arial"/>
          <w:szCs w:val="22"/>
        </w:rPr>
        <w:t>decentralized</w:t>
      </w:r>
      <w:r w:rsidRPr="0011176D">
        <w:rPr>
          <w:rFonts w:cs="Arial"/>
          <w:szCs w:val="22"/>
        </w:rPr>
        <w:t xml:space="preserve"> system </w:t>
      </w:r>
      <w:r w:rsidR="009561BB" w:rsidRPr="0011176D">
        <w:rPr>
          <w:rFonts w:cs="Arial"/>
          <w:szCs w:val="22"/>
        </w:rPr>
        <w:t>could not transition</w:t>
      </w:r>
      <w:r w:rsidRPr="0011176D">
        <w:rPr>
          <w:rFonts w:cs="Arial"/>
          <w:szCs w:val="22"/>
        </w:rPr>
        <w:t xml:space="preserve"> to a uniting </w:t>
      </w:r>
      <w:r w:rsidR="009561BB" w:rsidRPr="0011176D">
        <w:rPr>
          <w:rFonts w:cs="Arial"/>
          <w:szCs w:val="22"/>
        </w:rPr>
        <w:t>centralized</w:t>
      </w:r>
      <w:r w:rsidRPr="0011176D">
        <w:rPr>
          <w:rFonts w:cs="Arial"/>
          <w:szCs w:val="22"/>
        </w:rPr>
        <w:t xml:space="preserve"> response because there was underinvestment over the long term and no disaster preparation (Lopez </w:t>
      </w:r>
      <w:r w:rsidR="00F43F4C">
        <w:rPr>
          <w:rFonts w:cs="Arial"/>
          <w:szCs w:val="22"/>
        </w:rPr>
        <w:t>and</w:t>
      </w:r>
      <w:r w:rsidRPr="0011176D">
        <w:rPr>
          <w:rFonts w:cs="Arial"/>
          <w:szCs w:val="22"/>
        </w:rPr>
        <w:t xml:space="preserve"> Martinez, 2022). The second wave occurred as the State of Alarm was lifted and powers re-devolved in June </w:t>
      </w:r>
      <w:r w:rsidRPr="0011176D">
        <w:rPr>
          <w:rFonts w:cs="Arial"/>
          <w:szCs w:val="22"/>
        </w:rPr>
        <w:lastRenderedPageBreak/>
        <w:t xml:space="preserve">2020, and ACs were unable to communicate testing, tracing and targeted lockdowns due to the return of highly fragmented regional strategies. This showed that although </w:t>
      </w:r>
      <w:r w:rsidR="009561BB" w:rsidRPr="0011176D">
        <w:rPr>
          <w:rFonts w:cs="Arial"/>
          <w:szCs w:val="22"/>
        </w:rPr>
        <w:t>centralization</w:t>
      </w:r>
      <w:r w:rsidRPr="0011176D">
        <w:rPr>
          <w:rFonts w:cs="Arial"/>
          <w:szCs w:val="22"/>
        </w:rPr>
        <w:t xml:space="preserve"> offered short-term control, it lacked the capacity to develop national coordinating structures in long-term management. One of the structural risks of the Spanish system was the absence of a functional inter-regional coordinating body, which is legally mandated, indicating an institutional design failure that preceded the pandemic (Garcia et al., 2023). The reaction of Spain highlighted the important lesson that extremely </w:t>
      </w:r>
      <w:r w:rsidR="009561BB" w:rsidRPr="0011176D">
        <w:rPr>
          <w:rFonts w:cs="Arial"/>
          <w:szCs w:val="22"/>
        </w:rPr>
        <w:t>decentralized</w:t>
      </w:r>
      <w:r w:rsidRPr="0011176D">
        <w:rPr>
          <w:rFonts w:cs="Arial"/>
          <w:szCs w:val="22"/>
        </w:rPr>
        <w:t xml:space="preserve"> systems must have very powerful, cooperative, and credible national institutions that can take the lead, rather than merely give orders, in the face of an emergent crisis. The Barrier of the absence of a common culture of sharing health data also solidified the institutional failure of the situation because the essence of the power struggle overrode the practical need for interoperability. This combined ragged-topographical administrative topology and the resultant depletion of civil trust through inter-regional political featherbedding led to the ultimate health result, which was a rise in mortality rates to </w:t>
      </w:r>
      <w:r w:rsidR="009561BB" w:rsidRPr="0011176D">
        <w:rPr>
          <w:rFonts w:cs="Arial"/>
          <w:szCs w:val="22"/>
        </w:rPr>
        <w:t>peaks</w:t>
      </w:r>
      <w:r w:rsidRPr="0011176D">
        <w:rPr>
          <w:rFonts w:cs="Arial"/>
          <w:szCs w:val="22"/>
        </w:rPr>
        <w:t>.</w:t>
      </w:r>
    </w:p>
    <w:p w14:paraId="6E10725C" w14:textId="77777777" w:rsidR="0023631D" w:rsidRPr="0011176D" w:rsidRDefault="0023631D" w:rsidP="0011176D">
      <w:pPr>
        <w:spacing w:before="240" w:after="240"/>
        <w:rPr>
          <w:rFonts w:cs="Arial"/>
          <w:b/>
          <w:bCs/>
          <w:szCs w:val="22"/>
          <w:lang w:val="en-GB"/>
        </w:rPr>
      </w:pPr>
      <w:r w:rsidRPr="0011176D">
        <w:rPr>
          <w:rFonts w:cs="Arial"/>
          <w:b/>
          <w:bCs/>
          <w:szCs w:val="22"/>
        </w:rPr>
        <w:t xml:space="preserve">2.2. South Korea: The Power of Embedded </w:t>
      </w:r>
      <w:proofErr w:type="spellStart"/>
      <w:r w:rsidRPr="0011176D">
        <w:rPr>
          <w:rFonts w:cs="Arial"/>
          <w:b/>
          <w:bCs/>
          <w:szCs w:val="22"/>
        </w:rPr>
        <w:t>Centralised</w:t>
      </w:r>
      <w:proofErr w:type="spellEnd"/>
      <w:r w:rsidRPr="0011176D">
        <w:rPr>
          <w:rFonts w:cs="Arial"/>
          <w:b/>
          <w:bCs/>
          <w:szCs w:val="22"/>
        </w:rPr>
        <w:t xml:space="preserve"> Preparedness. </w:t>
      </w:r>
    </w:p>
    <w:p w14:paraId="080026E4" w14:textId="77777777" w:rsidR="0023631D" w:rsidRPr="0011176D" w:rsidRDefault="0023631D" w:rsidP="0011176D">
      <w:pPr>
        <w:spacing w:before="240" w:after="240"/>
        <w:rPr>
          <w:rFonts w:cs="Arial"/>
          <w:b/>
          <w:bCs/>
          <w:szCs w:val="22"/>
          <w:lang w:val="en-GB"/>
        </w:rPr>
      </w:pPr>
      <w:r w:rsidRPr="0011176D">
        <w:rPr>
          <w:rFonts w:cs="Arial"/>
          <w:b/>
          <w:bCs/>
          <w:szCs w:val="22"/>
        </w:rPr>
        <w:t>2.2.1. Typology of Healthcare System and Primary Response.</w:t>
      </w:r>
    </w:p>
    <w:p w14:paraId="08E0A8DC" w14:textId="04BADB1F" w:rsidR="0023631D" w:rsidRPr="0011176D" w:rsidRDefault="0023631D" w:rsidP="0011176D">
      <w:pPr>
        <w:spacing w:before="240" w:after="240"/>
        <w:rPr>
          <w:rFonts w:cs="Arial"/>
          <w:szCs w:val="22"/>
          <w:lang w:val="en-GB"/>
        </w:rPr>
      </w:pPr>
      <w:r w:rsidRPr="0011176D">
        <w:rPr>
          <w:rFonts w:cs="Arial"/>
          <w:szCs w:val="22"/>
        </w:rPr>
        <w:t xml:space="preserve">The public health system in South Korea is essentially </w:t>
      </w:r>
      <w:r w:rsidR="009A5A7D" w:rsidRPr="0011176D">
        <w:rPr>
          <w:rFonts w:cs="Arial"/>
          <w:szCs w:val="22"/>
        </w:rPr>
        <w:t>centralized</w:t>
      </w:r>
      <w:r w:rsidRPr="0011176D">
        <w:rPr>
          <w:rFonts w:cs="Arial"/>
          <w:szCs w:val="22"/>
        </w:rPr>
        <w:t xml:space="preserve"> in its powers and performance capacity, which is a feature that is largely strengthened by the changes in laws that were made in the aftermath of the Middle East Respiratory Syndrome (MERS) outbreak in 2015. The Korean response was not a reaction but a pre-calculated exercise of already established, legally approved and </w:t>
      </w:r>
      <w:r w:rsidR="009A5A7D" w:rsidRPr="0011176D">
        <w:rPr>
          <w:rFonts w:cs="Arial"/>
          <w:szCs w:val="22"/>
        </w:rPr>
        <w:t>centralized</w:t>
      </w:r>
      <w:r w:rsidRPr="0011176D">
        <w:rPr>
          <w:rFonts w:cs="Arial"/>
          <w:szCs w:val="22"/>
        </w:rPr>
        <w:t xml:space="preserve"> public health authority, unlike in Spain. The Korean Disease Control and Prevention Agency (KDCA) (previously, KCDC) </w:t>
      </w:r>
      <w:r w:rsidR="009A5A7D" w:rsidRPr="0011176D">
        <w:rPr>
          <w:rFonts w:cs="Arial"/>
          <w:szCs w:val="22"/>
        </w:rPr>
        <w:t>are</w:t>
      </w:r>
      <w:r w:rsidRPr="0011176D">
        <w:rPr>
          <w:rFonts w:cs="Arial"/>
          <w:szCs w:val="22"/>
        </w:rPr>
        <w:t xml:space="preserve"> the only </w:t>
      </w:r>
      <w:proofErr w:type="gramStart"/>
      <w:r w:rsidRPr="0011176D">
        <w:rPr>
          <w:rFonts w:cs="Arial"/>
          <w:szCs w:val="22"/>
        </w:rPr>
        <w:t>institution</w:t>
      </w:r>
      <w:proofErr w:type="gramEnd"/>
      <w:r w:rsidRPr="0011176D">
        <w:rPr>
          <w:rFonts w:cs="Arial"/>
          <w:szCs w:val="22"/>
        </w:rPr>
        <w:t xml:space="preserve"> that can impose policies, acquire resources, and implement public health actions throughout the country (Kim and Lee, 2021). The reply plan was known as the 3T plan: Test, Trace, and Treat. This plan was based on the </w:t>
      </w:r>
      <w:r w:rsidR="009A5A7D" w:rsidRPr="0011176D">
        <w:rPr>
          <w:rFonts w:cs="Arial"/>
          <w:szCs w:val="22"/>
        </w:rPr>
        <w:t>centralization</w:t>
      </w:r>
      <w:r w:rsidRPr="0011176D">
        <w:rPr>
          <w:rFonts w:cs="Arial"/>
          <w:szCs w:val="22"/>
        </w:rPr>
        <w:t xml:space="preserve"> of epidemiological data and computer technology. More importantly, the amended version of the Infectious Disease Control and Prevention Act (IDCP Act) allowed the government and the KDCA to acquire access to extensive data, such as financial transaction records, GPS positions, and CCTV footage, without the consent of an individual in the context of contact tracking (Kim </w:t>
      </w:r>
      <w:r w:rsidR="00F43F4C">
        <w:rPr>
          <w:rFonts w:cs="Arial"/>
          <w:szCs w:val="22"/>
        </w:rPr>
        <w:t>and</w:t>
      </w:r>
      <w:r w:rsidRPr="0011176D">
        <w:rPr>
          <w:rFonts w:cs="Arial"/>
          <w:szCs w:val="22"/>
        </w:rPr>
        <w:t xml:space="preserve"> Lee, 2021). This enabled quick, anonymous and almost complete isolation of the infected without the requirement to have national lockdowns that are economically crippling. This shift between MERS failure and COVID-19 success is evidence of the ability of the state to develop as a learning </w:t>
      </w:r>
      <w:r w:rsidR="009A5A7D" w:rsidRPr="0011176D">
        <w:rPr>
          <w:rFonts w:cs="Arial"/>
          <w:szCs w:val="22"/>
        </w:rPr>
        <w:t>organization</w:t>
      </w:r>
      <w:r w:rsidRPr="0011176D">
        <w:rPr>
          <w:rFonts w:cs="Arial"/>
          <w:szCs w:val="22"/>
        </w:rPr>
        <w:t xml:space="preserve">, adjusting institutional architecture in response to future threats. This model basically represented a Security State model whereby public health became a national security issue that allows an immediate, all-of-government response with little to no </w:t>
      </w:r>
      <w:r w:rsidRPr="0011176D">
        <w:rPr>
          <w:rFonts w:cs="Arial"/>
          <w:szCs w:val="22"/>
        </w:rPr>
        <w:lastRenderedPageBreak/>
        <w:t>bureaucratic interference and the incorporation of private sector technological solutions into the state response mechanism at the very start of the process.</w:t>
      </w:r>
    </w:p>
    <w:p w14:paraId="2DBAC3F5" w14:textId="7EDA839E" w:rsidR="0023631D" w:rsidRPr="0011176D" w:rsidRDefault="0023631D" w:rsidP="0011176D">
      <w:pPr>
        <w:spacing w:before="240" w:after="240"/>
        <w:rPr>
          <w:rFonts w:cs="Arial"/>
          <w:b/>
          <w:bCs/>
          <w:szCs w:val="22"/>
          <w:lang w:val="en-GB"/>
        </w:rPr>
      </w:pPr>
      <w:r w:rsidRPr="0011176D">
        <w:rPr>
          <w:rFonts w:cs="Arial"/>
          <w:b/>
          <w:bCs/>
          <w:szCs w:val="22"/>
        </w:rPr>
        <w:t xml:space="preserve">2.2.2. </w:t>
      </w:r>
      <w:r w:rsidR="009A4F25" w:rsidRPr="0011176D">
        <w:rPr>
          <w:rFonts w:cs="Arial"/>
          <w:b/>
          <w:bCs/>
          <w:szCs w:val="22"/>
        </w:rPr>
        <w:t>Centralized</w:t>
      </w:r>
      <w:r w:rsidRPr="0011176D">
        <w:rPr>
          <w:rFonts w:cs="Arial"/>
          <w:b/>
          <w:bCs/>
          <w:szCs w:val="22"/>
        </w:rPr>
        <w:t xml:space="preserve"> and </w:t>
      </w:r>
      <w:r w:rsidR="009A4F25" w:rsidRPr="0011176D">
        <w:rPr>
          <w:rFonts w:cs="Arial"/>
          <w:b/>
          <w:bCs/>
          <w:szCs w:val="22"/>
        </w:rPr>
        <w:t>Decentralized</w:t>
      </w:r>
      <w:r w:rsidRPr="0011176D">
        <w:rPr>
          <w:rFonts w:cs="Arial"/>
          <w:b/>
          <w:bCs/>
          <w:szCs w:val="22"/>
        </w:rPr>
        <w:t xml:space="preserve"> Approaches Critically Answered.</w:t>
      </w:r>
    </w:p>
    <w:p w14:paraId="70FC6525" w14:textId="3675B2A8" w:rsidR="0023631D" w:rsidRPr="0011176D" w:rsidRDefault="0023631D" w:rsidP="0011176D">
      <w:pPr>
        <w:spacing w:before="240" w:after="240"/>
        <w:rPr>
          <w:rFonts w:cs="Arial"/>
          <w:szCs w:val="22"/>
          <w:lang w:val="en-GB"/>
        </w:rPr>
      </w:pPr>
      <w:r w:rsidRPr="0011176D">
        <w:rPr>
          <w:rFonts w:cs="Arial"/>
          <w:szCs w:val="22"/>
        </w:rPr>
        <w:t xml:space="preserve">Speed and decisiveness were the main benefits of the </w:t>
      </w:r>
      <w:r w:rsidR="009A4F25" w:rsidRPr="0011176D">
        <w:rPr>
          <w:rFonts w:cs="Arial"/>
          <w:szCs w:val="22"/>
        </w:rPr>
        <w:t>centralized</w:t>
      </w:r>
      <w:r w:rsidRPr="0011176D">
        <w:rPr>
          <w:rFonts w:cs="Arial"/>
          <w:szCs w:val="22"/>
        </w:rPr>
        <w:t xml:space="preserve"> preparedness of South Korea. The system had no time to discuss jurisdiction or procurement of supplies, testing was already mass-produced, tracing procedures were deployed through technology, and notifications to people were transparently presented through phone applications (Park and Han, 2022). This agility led to a quick containment process, extremely low mortality rates relative to Western countries, and saved an important economic activity. This model illustrated the huge payoff of institutional learning during previous crises and turned a previous failure (MERS) into a current success (COVID-19) with a strong </w:t>
      </w:r>
      <w:r w:rsidR="009A4F25" w:rsidRPr="0011176D">
        <w:rPr>
          <w:rFonts w:cs="Arial"/>
          <w:szCs w:val="22"/>
        </w:rPr>
        <w:t>centralized</w:t>
      </w:r>
      <w:r w:rsidRPr="0011176D">
        <w:rPr>
          <w:rFonts w:cs="Arial"/>
          <w:szCs w:val="22"/>
        </w:rPr>
        <w:t xml:space="preserve"> legislative change (OECD 2021). Moreover, the centrality led to horizontal policy integration, that is, the decisions of KDCA were easily integrated by the telecommunication firms, police, and local governments, a process that was impossible in Spain or Canada. Nevertheless, these benefits of velocity and efficiency were obtained at a high price, which is the essence of the downside of the strategy: the loss of civil rights and personal privacy (Choi, 2023). Although the practice of tracing worked, the widespread release of granular information about the movement of confirmed cases, which often results in societal identification and stigma, prompted deep ethical and philosophical discussions about the priorities between the safety of society and human rights, as the data access was not independently reviewed in court. This highly effective system has a major policy externality on the long-term resilience of democracy.</w:t>
      </w:r>
    </w:p>
    <w:p w14:paraId="1DC11FCC" w14:textId="77777777" w:rsidR="0023631D" w:rsidRPr="0011176D" w:rsidRDefault="0023631D" w:rsidP="0011176D">
      <w:pPr>
        <w:spacing w:before="240" w:after="240"/>
        <w:rPr>
          <w:rFonts w:cs="Arial"/>
          <w:b/>
          <w:bCs/>
          <w:szCs w:val="22"/>
          <w:lang w:val="en-GB"/>
        </w:rPr>
      </w:pPr>
      <w:r w:rsidRPr="0011176D">
        <w:rPr>
          <w:rFonts w:cs="Arial"/>
          <w:b/>
          <w:bCs/>
          <w:szCs w:val="22"/>
        </w:rPr>
        <w:t>2.2.3. Benefits, Costs and Health Outcomes.</w:t>
      </w:r>
    </w:p>
    <w:p w14:paraId="14EDA968" w14:textId="7D4CCC39" w:rsidR="0023631D" w:rsidRPr="0011176D" w:rsidRDefault="0023631D" w:rsidP="0011176D">
      <w:pPr>
        <w:spacing w:before="240" w:after="240"/>
        <w:rPr>
          <w:rFonts w:cs="Arial"/>
          <w:szCs w:val="22"/>
          <w:lang w:val="en-GB"/>
        </w:rPr>
      </w:pPr>
      <w:r w:rsidRPr="0011176D">
        <w:rPr>
          <w:rFonts w:cs="Arial"/>
          <w:szCs w:val="22"/>
        </w:rPr>
        <w:t xml:space="preserve">Opponents claimed that the state </w:t>
      </w:r>
      <w:r w:rsidR="00685DEE" w:rsidRPr="0011176D">
        <w:rPr>
          <w:rFonts w:cs="Arial"/>
          <w:szCs w:val="22"/>
        </w:rPr>
        <w:t>capitalized</w:t>
      </w:r>
      <w:r w:rsidRPr="0011176D">
        <w:rPr>
          <w:rFonts w:cs="Arial"/>
          <w:szCs w:val="22"/>
        </w:rPr>
        <w:t xml:space="preserve"> on the already existing culture that </w:t>
      </w:r>
      <w:r w:rsidR="00685DEE" w:rsidRPr="0011176D">
        <w:rPr>
          <w:rFonts w:cs="Arial"/>
          <w:szCs w:val="22"/>
        </w:rPr>
        <w:t>prioritizes</w:t>
      </w:r>
      <w:r w:rsidRPr="0011176D">
        <w:rPr>
          <w:rFonts w:cs="Arial"/>
          <w:szCs w:val="22"/>
        </w:rPr>
        <w:t xml:space="preserve"> the greater good over personal privacy, and so the decisive action was politically digestible but deeply problematic in terms of surveillance authority (Choi, 2023). The general difficulty facing South Korea was not fragmentation of policy but ensuring the trust and obedience of the people towards the massive surveillance practices over the long run. Nevertheless, South Korea had one of the most successful early responses to the pandemic in the world, with rapid outbreak containment and limited acute care use. The message of this success was that during a pandemic, a centrally </w:t>
      </w:r>
      <w:r w:rsidR="00685DEE" w:rsidRPr="0011176D">
        <w:rPr>
          <w:rFonts w:cs="Arial"/>
          <w:szCs w:val="22"/>
        </w:rPr>
        <w:t>authorized</w:t>
      </w:r>
      <w:r w:rsidRPr="0011176D">
        <w:rPr>
          <w:rFonts w:cs="Arial"/>
          <w:szCs w:val="22"/>
        </w:rPr>
        <w:t xml:space="preserve"> public health system with high-tech infrastructure operationally prepared to take decisive action is in a uniquely advantageous position of dealing with a rapidly spreading respiratory virus without having to resort to mass social isolation interventions. Only </w:t>
      </w:r>
      <w:r w:rsidR="00685DEE" w:rsidRPr="0011176D">
        <w:rPr>
          <w:rFonts w:cs="Arial"/>
          <w:szCs w:val="22"/>
        </w:rPr>
        <w:t>centralized</w:t>
      </w:r>
      <w:r w:rsidRPr="0011176D">
        <w:rPr>
          <w:rFonts w:cs="Arial"/>
          <w:szCs w:val="22"/>
        </w:rPr>
        <w:t xml:space="preserve"> legal and institutional power allowed the use of the precise, tech-driven, and </w:t>
      </w:r>
      <w:r w:rsidR="00685DEE" w:rsidRPr="0011176D">
        <w:rPr>
          <w:rFonts w:cs="Arial"/>
          <w:szCs w:val="22"/>
        </w:rPr>
        <w:t>decentralized</w:t>
      </w:r>
      <w:r w:rsidRPr="0011176D">
        <w:rPr>
          <w:rFonts w:cs="Arial"/>
          <w:szCs w:val="22"/>
        </w:rPr>
        <w:t xml:space="preserve"> tracing strategy (Kim and Lee, 2021). The result shows the </w:t>
      </w:r>
      <w:r w:rsidRPr="0011176D">
        <w:rPr>
          <w:rFonts w:cs="Arial"/>
          <w:szCs w:val="22"/>
        </w:rPr>
        <w:lastRenderedPageBreak/>
        <w:t xml:space="preserve">strong positive impact of system preparedness and technocratic </w:t>
      </w:r>
      <w:r w:rsidR="00685DEE" w:rsidRPr="0011176D">
        <w:rPr>
          <w:rFonts w:cs="Arial"/>
          <w:szCs w:val="22"/>
        </w:rPr>
        <w:t>centralization</w:t>
      </w:r>
      <w:r w:rsidRPr="0011176D">
        <w:rPr>
          <w:rFonts w:cs="Arial"/>
          <w:szCs w:val="22"/>
        </w:rPr>
        <w:t xml:space="preserve"> on population health outcomes and shows that the combination of vertical policies, both in the form of the law and </w:t>
      </w:r>
      <w:r w:rsidR="00685DEE" w:rsidRPr="0011176D">
        <w:rPr>
          <w:rFonts w:cs="Arial"/>
          <w:szCs w:val="22"/>
        </w:rPr>
        <w:t>their</w:t>
      </w:r>
      <w:r w:rsidRPr="0011176D">
        <w:rPr>
          <w:rFonts w:cs="Arial"/>
          <w:szCs w:val="22"/>
        </w:rPr>
        <w:t xml:space="preserve"> practical implementation, is the key to resilience to the pandemic. The strong institutional trust in the KDCA gained over years of political non-interference and proven competence proved as essential as the technology itself in getting people to cooperate, and this is a unique model of </w:t>
      </w:r>
      <w:r w:rsidR="00685DEE" w:rsidRPr="0011176D">
        <w:rPr>
          <w:rFonts w:cs="Arial"/>
          <w:szCs w:val="22"/>
        </w:rPr>
        <w:t>centralized</w:t>
      </w:r>
      <w:r w:rsidRPr="0011176D">
        <w:rPr>
          <w:rFonts w:cs="Arial"/>
          <w:szCs w:val="22"/>
        </w:rPr>
        <w:t xml:space="preserve"> power </w:t>
      </w:r>
      <w:r w:rsidR="00685DEE" w:rsidRPr="0011176D">
        <w:rPr>
          <w:rFonts w:cs="Arial"/>
          <w:szCs w:val="22"/>
        </w:rPr>
        <w:t>being</w:t>
      </w:r>
      <w:r w:rsidRPr="0011176D">
        <w:rPr>
          <w:rFonts w:cs="Arial"/>
          <w:szCs w:val="22"/>
        </w:rPr>
        <w:t xml:space="preserve"> accepted by the people as non-political.</w:t>
      </w:r>
    </w:p>
    <w:p w14:paraId="7C88BB84" w14:textId="77777777" w:rsidR="0023631D" w:rsidRPr="0011176D" w:rsidRDefault="0023631D" w:rsidP="0011176D">
      <w:pPr>
        <w:spacing w:before="240" w:after="240"/>
        <w:rPr>
          <w:rFonts w:cs="Arial"/>
          <w:b/>
          <w:bCs/>
          <w:szCs w:val="22"/>
          <w:lang w:val="en-GB"/>
        </w:rPr>
      </w:pPr>
      <w:r w:rsidRPr="0011176D">
        <w:rPr>
          <w:rFonts w:cs="Arial"/>
          <w:b/>
          <w:bCs/>
          <w:szCs w:val="22"/>
        </w:rPr>
        <w:t xml:space="preserve">2.3. Canada: Intergovernmental Conflict, Federalism and Public Health Response. </w:t>
      </w:r>
    </w:p>
    <w:p w14:paraId="248EB4C2" w14:textId="77777777" w:rsidR="0023631D" w:rsidRPr="0011176D" w:rsidRDefault="0023631D" w:rsidP="0011176D">
      <w:pPr>
        <w:spacing w:before="240" w:after="240"/>
        <w:rPr>
          <w:rFonts w:cs="Arial"/>
          <w:b/>
          <w:bCs/>
          <w:szCs w:val="22"/>
          <w:lang w:val="en-GB"/>
        </w:rPr>
      </w:pPr>
      <w:r w:rsidRPr="0011176D">
        <w:rPr>
          <w:rFonts w:cs="Arial"/>
          <w:b/>
          <w:bCs/>
          <w:szCs w:val="22"/>
        </w:rPr>
        <w:t>2.3.1. Typology of Healthcare Systems and Emerging Response.</w:t>
      </w:r>
    </w:p>
    <w:p w14:paraId="11B94F6B" w14:textId="2BD77AAE" w:rsidR="0023631D" w:rsidRPr="0011176D" w:rsidRDefault="0023631D" w:rsidP="0011176D">
      <w:pPr>
        <w:spacing w:before="240" w:after="240"/>
        <w:rPr>
          <w:rFonts w:cs="Arial"/>
          <w:szCs w:val="22"/>
          <w:lang w:val="en-GB"/>
        </w:rPr>
      </w:pPr>
      <w:r w:rsidRPr="0011176D">
        <w:rPr>
          <w:rFonts w:cs="Arial"/>
          <w:szCs w:val="22"/>
        </w:rPr>
        <w:t xml:space="preserve">Canada is a highly </w:t>
      </w:r>
      <w:r w:rsidR="00A95295" w:rsidRPr="0011176D">
        <w:rPr>
          <w:rFonts w:cs="Arial"/>
          <w:szCs w:val="22"/>
        </w:rPr>
        <w:t>decentralized</w:t>
      </w:r>
      <w:r w:rsidRPr="0011176D">
        <w:rPr>
          <w:rFonts w:cs="Arial"/>
          <w:szCs w:val="22"/>
        </w:rPr>
        <w:t xml:space="preserve"> federal system in which the delivery and management of healthcare is constitutionally devolved to the 10 provinces and 3 territories (VR, together, P/Ts). The role of the federal government is mostly restricted to national standards (through the Canada Health Act), fiscal transfers, border control, and vulnerable groups (e.g., Indigenous communities) (Dion, 2020). Such structural rigidity implied that no one response existed that could be called the Canadian response, but instead there were 13 different, non-coordinated and in many cases conflicting provincial responses. The first reaction was that the federal government, headed by Prime Minister Justin Trudeau, </w:t>
      </w:r>
      <w:r w:rsidR="00A95295" w:rsidRPr="0011176D">
        <w:rPr>
          <w:rFonts w:cs="Arial"/>
          <w:szCs w:val="22"/>
        </w:rPr>
        <w:t>prioritized</w:t>
      </w:r>
      <w:r w:rsidRPr="0011176D">
        <w:rPr>
          <w:rFonts w:cs="Arial"/>
          <w:szCs w:val="22"/>
        </w:rPr>
        <w:t xml:space="preserve"> two, which included economic </w:t>
      </w:r>
      <w:r w:rsidR="00A95295" w:rsidRPr="0011176D">
        <w:rPr>
          <w:rFonts w:cs="Arial"/>
          <w:szCs w:val="22"/>
        </w:rPr>
        <w:t>stabilization</w:t>
      </w:r>
      <w:r w:rsidRPr="0011176D">
        <w:rPr>
          <w:rFonts w:cs="Arial"/>
          <w:szCs w:val="22"/>
        </w:rPr>
        <w:t xml:space="preserve"> and procurement (fiscal </w:t>
      </w:r>
      <w:r w:rsidR="00A95295" w:rsidRPr="0011176D">
        <w:rPr>
          <w:rFonts w:cs="Arial"/>
          <w:szCs w:val="22"/>
        </w:rPr>
        <w:t>centralization</w:t>
      </w:r>
      <w:r w:rsidRPr="0011176D">
        <w:rPr>
          <w:rFonts w:cs="Arial"/>
          <w:szCs w:val="22"/>
        </w:rPr>
        <w:t xml:space="preserve">). The P/Ts had a solid grip on the sphere of public health measures, including lockdown, school closure, and testing/tracing standards (Taylor and Wilson, 2021). This separation of powers led to great diversity, the most restrictive of which was the very restrictive "Atlantic Bubble" of the east, as compared to the more gradual and more liberal methods of Ontario and Quebec, the two most populous provinces. The constitutional partition was a significant obstacle to the </w:t>
      </w:r>
      <w:r w:rsidR="00A95295" w:rsidRPr="0011176D">
        <w:rPr>
          <w:rFonts w:cs="Arial"/>
          <w:szCs w:val="22"/>
        </w:rPr>
        <w:t>realization</w:t>
      </w:r>
      <w:r w:rsidRPr="0011176D">
        <w:rPr>
          <w:rFonts w:cs="Arial"/>
          <w:szCs w:val="22"/>
        </w:rPr>
        <w:t xml:space="preserve"> of a comprehensive, whole-of-nation approach to public health, and tended to compel the federal government to use a kind of </w:t>
      </w:r>
      <w:r w:rsidR="00A95295" w:rsidRPr="0011176D">
        <w:rPr>
          <w:rFonts w:cs="Arial"/>
          <w:szCs w:val="22"/>
        </w:rPr>
        <w:t>focalization</w:t>
      </w:r>
      <w:r w:rsidRPr="0011176D">
        <w:rPr>
          <w:rFonts w:cs="Arial"/>
          <w:szCs w:val="22"/>
        </w:rPr>
        <w:t>, providing funds to support health programs rather than requiring the policy, to avoid the third rail.</w:t>
      </w:r>
    </w:p>
    <w:p w14:paraId="0D2886A7" w14:textId="4D2E6367" w:rsidR="0023631D" w:rsidRPr="0011176D" w:rsidRDefault="0023631D" w:rsidP="0011176D">
      <w:pPr>
        <w:spacing w:before="240" w:after="240"/>
        <w:rPr>
          <w:rFonts w:cs="Arial"/>
          <w:b/>
          <w:bCs/>
          <w:szCs w:val="22"/>
          <w:lang w:val="en-GB"/>
        </w:rPr>
      </w:pPr>
      <w:r w:rsidRPr="0011176D">
        <w:rPr>
          <w:rFonts w:cs="Arial"/>
          <w:b/>
          <w:bCs/>
          <w:szCs w:val="22"/>
        </w:rPr>
        <w:t xml:space="preserve">2.3.2. </w:t>
      </w:r>
      <w:r w:rsidR="002B0608" w:rsidRPr="0011176D">
        <w:rPr>
          <w:rFonts w:cs="Arial"/>
          <w:b/>
          <w:bCs/>
          <w:szCs w:val="22"/>
        </w:rPr>
        <w:t>Centralized</w:t>
      </w:r>
      <w:r w:rsidRPr="0011176D">
        <w:rPr>
          <w:rFonts w:cs="Arial"/>
          <w:b/>
          <w:bCs/>
          <w:szCs w:val="22"/>
        </w:rPr>
        <w:t xml:space="preserve"> and </w:t>
      </w:r>
      <w:r w:rsidR="002B0608" w:rsidRPr="0011176D">
        <w:rPr>
          <w:rFonts w:cs="Arial"/>
          <w:b/>
          <w:bCs/>
          <w:szCs w:val="22"/>
        </w:rPr>
        <w:t>Decentralized</w:t>
      </w:r>
      <w:r w:rsidRPr="0011176D">
        <w:rPr>
          <w:rFonts w:cs="Arial"/>
          <w:b/>
          <w:bCs/>
          <w:szCs w:val="22"/>
        </w:rPr>
        <w:t xml:space="preserve"> Approaches Critically </w:t>
      </w:r>
      <w:r w:rsidR="002B0608" w:rsidRPr="0011176D">
        <w:rPr>
          <w:rFonts w:cs="Arial"/>
          <w:b/>
          <w:bCs/>
          <w:szCs w:val="22"/>
        </w:rPr>
        <w:t>Analyzed</w:t>
      </w:r>
      <w:r w:rsidRPr="0011176D">
        <w:rPr>
          <w:rFonts w:cs="Arial"/>
          <w:b/>
          <w:bCs/>
          <w:szCs w:val="22"/>
        </w:rPr>
        <w:t>.</w:t>
      </w:r>
    </w:p>
    <w:p w14:paraId="66C272C8" w14:textId="06DA5CFD" w:rsidR="0023631D" w:rsidRPr="0011176D" w:rsidRDefault="002B0608" w:rsidP="0011176D">
      <w:pPr>
        <w:spacing w:before="240" w:after="240"/>
        <w:rPr>
          <w:rFonts w:cs="Arial"/>
          <w:szCs w:val="22"/>
          <w:lang w:val="en-GB"/>
        </w:rPr>
      </w:pPr>
      <w:r w:rsidRPr="0011176D">
        <w:rPr>
          <w:rFonts w:cs="Arial"/>
          <w:szCs w:val="22"/>
        </w:rPr>
        <w:t>Localization</w:t>
      </w:r>
      <w:r w:rsidR="0023631D" w:rsidRPr="0011176D">
        <w:rPr>
          <w:rFonts w:cs="Arial"/>
          <w:szCs w:val="22"/>
        </w:rPr>
        <w:t xml:space="preserve"> and flexibility were the main benefits of this highly </w:t>
      </w:r>
      <w:r w:rsidRPr="0011176D">
        <w:rPr>
          <w:rFonts w:cs="Arial"/>
          <w:szCs w:val="22"/>
        </w:rPr>
        <w:t>decentralized</w:t>
      </w:r>
      <w:r w:rsidR="0023631D" w:rsidRPr="0011176D">
        <w:rPr>
          <w:rFonts w:cs="Arial"/>
          <w:szCs w:val="22"/>
        </w:rPr>
        <w:t xml:space="preserve"> approach. The Atlantic provinces, such as their ability to use their smaller numbers and geographical remoteness to establish stringent internal border controls and achieve exceptionally low rates of cases and deaths, were one such success in proving the effectiveness of </w:t>
      </w:r>
      <w:r w:rsidRPr="0011176D">
        <w:rPr>
          <w:rFonts w:cs="Arial"/>
          <w:szCs w:val="22"/>
        </w:rPr>
        <w:t>localized</w:t>
      </w:r>
      <w:r w:rsidR="0023631D" w:rsidRPr="0011176D">
        <w:rPr>
          <w:rFonts w:cs="Arial"/>
          <w:szCs w:val="22"/>
        </w:rPr>
        <w:t xml:space="preserve">, specifically focused management when conditions allowed (Taylor </w:t>
      </w:r>
      <w:r w:rsidR="00F43F4C">
        <w:rPr>
          <w:rFonts w:cs="Arial"/>
          <w:szCs w:val="22"/>
        </w:rPr>
        <w:t>and</w:t>
      </w:r>
      <w:r w:rsidR="0023631D" w:rsidRPr="0011176D">
        <w:rPr>
          <w:rFonts w:cs="Arial"/>
          <w:szCs w:val="22"/>
        </w:rPr>
        <w:t xml:space="preserve"> Wilson, 2021). Moreover, the national safety net created by the federal government in the form of huge emergency benefits and wage subsidies served as a powerful country safety net that did not </w:t>
      </w:r>
      <w:r w:rsidR="0023631D" w:rsidRPr="0011176D">
        <w:rPr>
          <w:rFonts w:cs="Arial"/>
          <w:szCs w:val="22"/>
        </w:rPr>
        <w:lastRenderedPageBreak/>
        <w:t xml:space="preserve">lead to the collapse of socio-economic policy, which is a definite example of successful fiscal </w:t>
      </w:r>
      <w:r w:rsidRPr="0011176D">
        <w:rPr>
          <w:rFonts w:cs="Arial"/>
          <w:szCs w:val="22"/>
        </w:rPr>
        <w:t>centralization</w:t>
      </w:r>
      <w:r w:rsidR="0023631D" w:rsidRPr="0011176D">
        <w:rPr>
          <w:rFonts w:cs="Arial"/>
          <w:szCs w:val="22"/>
        </w:rPr>
        <w:t xml:space="preserve"> (Gagnon and Smith, 2022). It was the only </w:t>
      </w:r>
      <w:r w:rsidRPr="0011176D">
        <w:rPr>
          <w:rFonts w:cs="Arial"/>
          <w:szCs w:val="22"/>
        </w:rPr>
        <w:t>centralized</w:t>
      </w:r>
      <w:r w:rsidR="0023631D" w:rsidRPr="0011176D">
        <w:rPr>
          <w:rFonts w:cs="Arial"/>
          <w:szCs w:val="22"/>
        </w:rPr>
        <w:t xml:space="preserve"> tool possible, and it could be instantly used without constitutional objection. Nonetheless, the unavoidable drawback was the universal intergovernmental squabble and policy inconsistency (Dion, 2020). There was no explicit national mandate on public health, which resulted in serious delays, especially on the international border controls, whereby the federal government was also slow in responding to the situation. This led to confusion and policy whiplash among citizens who lived in areas that were close to provincial boundaries because of the different policy standards in place across the provinces, which disproportionately applied to those citizens whose businesses continued to operate across the jurisdictions, to the extent that supply chains were disrupted, further adding economic instability to the health crisis. This inconsistency was even enhanced by the lack of a cohesive system of data-sharing, which meant that the federal health agency could not develop real-time national epidemiology patterns, which led to a disjointed risk assessment case at the national level.</w:t>
      </w:r>
    </w:p>
    <w:p w14:paraId="4CBA52C0" w14:textId="77777777" w:rsidR="0023631D" w:rsidRPr="0011176D" w:rsidRDefault="0023631D" w:rsidP="0011176D">
      <w:pPr>
        <w:spacing w:before="240" w:after="240"/>
        <w:rPr>
          <w:rFonts w:cs="Arial"/>
          <w:b/>
          <w:bCs/>
          <w:szCs w:val="22"/>
          <w:lang w:val="en-GB"/>
        </w:rPr>
      </w:pPr>
      <w:r w:rsidRPr="0011176D">
        <w:rPr>
          <w:rFonts w:cs="Arial"/>
          <w:szCs w:val="22"/>
        </w:rPr>
        <w:t>2.3.3. Benefits, harms, and health outcomes.</w:t>
      </w:r>
    </w:p>
    <w:p w14:paraId="23055F67" w14:textId="543386A1" w:rsidR="0023631D" w:rsidRPr="0011176D" w:rsidRDefault="0023631D" w:rsidP="0011176D">
      <w:pPr>
        <w:spacing w:before="240" w:after="240"/>
        <w:rPr>
          <w:rFonts w:cs="Arial"/>
          <w:szCs w:val="22"/>
          <w:lang w:val="en-GB"/>
        </w:rPr>
      </w:pPr>
      <w:r w:rsidRPr="0011176D">
        <w:rPr>
          <w:rFonts w:cs="Arial"/>
          <w:szCs w:val="22"/>
        </w:rPr>
        <w:t xml:space="preserve">Most importantly, the system was not structured to impose a national approach to vital matters such as testing standards, the exchange of data, and long-term care management, which were the leading causes of mortality in provinces such as Ontario or Quebec (Taylor and Wilson, 2021). This </w:t>
      </w:r>
      <w:r w:rsidR="00882AA6" w:rsidRPr="0011176D">
        <w:rPr>
          <w:rFonts w:cs="Arial"/>
          <w:szCs w:val="22"/>
        </w:rPr>
        <w:t>organizational</w:t>
      </w:r>
      <w:r w:rsidRPr="0011176D">
        <w:rPr>
          <w:rFonts w:cs="Arial"/>
          <w:szCs w:val="22"/>
        </w:rPr>
        <w:t xml:space="preserve"> hurdle made Canada fail to experience the unity of response that occurred in South Korea, the whole-of-nation response. The most critical systemic issue was that the federal government could not cross the constitutional divide and exercise effective leadership on public health across the provinces. This led to extremely different health outcomes throughout the country. Although the overall mortality rate in Canada was low, compared to the United States and Spain, the </w:t>
      </w:r>
      <w:r w:rsidR="002B0608" w:rsidRPr="0011176D">
        <w:rPr>
          <w:rFonts w:cs="Arial"/>
          <w:szCs w:val="22"/>
        </w:rPr>
        <w:t>decentralized</w:t>
      </w:r>
      <w:r w:rsidRPr="0011176D">
        <w:rPr>
          <w:rFonts w:cs="Arial"/>
          <w:szCs w:val="22"/>
        </w:rPr>
        <w:t xml:space="preserve"> approach ensured that its success was not evenly distributed, as urban </w:t>
      </w:r>
      <w:r w:rsidR="00882AA6" w:rsidRPr="0011176D">
        <w:rPr>
          <w:rFonts w:cs="Arial"/>
          <w:szCs w:val="22"/>
        </w:rPr>
        <w:t>centers</w:t>
      </w:r>
      <w:r w:rsidRPr="0011176D">
        <w:rPr>
          <w:rFonts w:cs="Arial"/>
          <w:szCs w:val="22"/>
        </w:rPr>
        <w:t xml:space="preserve"> in central Canada were struck by devastating outbreaks in long-term care homes, a policy failure that can be squarely attributed to provincial jurisdiction and varying standards of regulations (Gagnon and Smith, 2022). The Canadian experience demonstrates that coordinating a national emergency response in a strict federal framework, under which political consensus is a condition of collective action </w:t>
      </w:r>
      <w:r w:rsidR="00882AA6" w:rsidRPr="0011176D">
        <w:rPr>
          <w:rFonts w:cs="Arial"/>
          <w:szCs w:val="22"/>
        </w:rPr>
        <w:t>in</w:t>
      </w:r>
      <w:r w:rsidRPr="0011176D">
        <w:rPr>
          <w:rFonts w:cs="Arial"/>
          <w:szCs w:val="22"/>
        </w:rPr>
        <w:t xml:space="preserve"> public health, is inherently challenging, at the cost of the required speed and consistency. The constraints of the structure served to highlight the discrepancy between legislative directive (lacking) and rhetorical impact (restrained by political rivalry). The most notable systemic drawback revealed during the crisis, which resulted in adverse policy externalities to the overall population, was the inability to force standards in such an area of federal-provincial borders as control and long-term care.</w:t>
      </w:r>
    </w:p>
    <w:p w14:paraId="2029A91E" w14:textId="08EE8BE8" w:rsidR="0023631D" w:rsidRPr="0011176D" w:rsidRDefault="0023631D" w:rsidP="0011176D">
      <w:pPr>
        <w:pStyle w:val="Heading2"/>
        <w:rPr>
          <w:rFonts w:cs="Arial"/>
          <w:sz w:val="22"/>
          <w:szCs w:val="22"/>
          <w:lang w:val="en-GB"/>
        </w:rPr>
      </w:pPr>
      <w:r w:rsidRPr="0011176D">
        <w:rPr>
          <w:rFonts w:cs="Arial"/>
          <w:b/>
          <w:bCs/>
          <w:sz w:val="32"/>
          <w:szCs w:val="32"/>
        </w:rPr>
        <w:lastRenderedPageBreak/>
        <w:t xml:space="preserve">3. One-to-One Analysis of the Leadership Styles adopted in the </w:t>
      </w:r>
      <w:r w:rsidR="00882AA6">
        <w:rPr>
          <w:rFonts w:cs="Arial"/>
          <w:b/>
          <w:bCs/>
          <w:sz w:val="32"/>
          <w:szCs w:val="32"/>
        </w:rPr>
        <w:t>three</w:t>
      </w:r>
      <w:r w:rsidRPr="0011176D">
        <w:rPr>
          <w:rFonts w:cs="Arial"/>
          <w:b/>
          <w:bCs/>
          <w:sz w:val="32"/>
          <w:szCs w:val="32"/>
        </w:rPr>
        <w:t xml:space="preserve"> Countries</w:t>
      </w:r>
      <w:r w:rsidRPr="0011176D">
        <w:rPr>
          <w:rFonts w:cs="Arial"/>
          <w:sz w:val="22"/>
          <w:szCs w:val="22"/>
        </w:rPr>
        <w:t xml:space="preserve">. </w:t>
      </w:r>
    </w:p>
    <w:p w14:paraId="7949AE4D" w14:textId="5E944446" w:rsidR="0023631D" w:rsidRPr="0011176D" w:rsidRDefault="0023631D" w:rsidP="0011176D">
      <w:pPr>
        <w:spacing w:before="240" w:after="240"/>
        <w:rPr>
          <w:rFonts w:cs="Arial"/>
          <w:szCs w:val="22"/>
          <w:lang w:val="en-GB"/>
        </w:rPr>
      </w:pPr>
      <w:r w:rsidRPr="0011176D">
        <w:rPr>
          <w:rFonts w:cs="Arial"/>
          <w:szCs w:val="22"/>
        </w:rPr>
        <w:t xml:space="preserve">Leadership is of the essence during crisis management, as it sets the pace of how people will interact and how the policies will be applied. It is a reflection on the leadership styles shown by the Spanish, South Korean and Canadian leaders, where the strengths and weaknesses of their approaches in their fight against the pandemic are compared based on the </w:t>
      </w:r>
      <w:r w:rsidR="00882AA6" w:rsidRPr="0011176D">
        <w:rPr>
          <w:rFonts w:cs="Arial"/>
          <w:szCs w:val="22"/>
        </w:rPr>
        <w:t>leadership</w:t>
      </w:r>
      <w:r w:rsidRPr="0011176D">
        <w:rPr>
          <w:rFonts w:cs="Arial"/>
          <w:szCs w:val="22"/>
        </w:rPr>
        <w:t xml:space="preserve"> theories studied in postgraduate education.</w:t>
      </w:r>
    </w:p>
    <w:p w14:paraId="1AB0A7FA" w14:textId="77777777" w:rsidR="0023631D" w:rsidRPr="0011176D" w:rsidRDefault="0023631D" w:rsidP="0011176D">
      <w:pPr>
        <w:spacing w:before="240" w:after="240"/>
        <w:rPr>
          <w:rFonts w:cs="Arial"/>
          <w:b/>
          <w:bCs/>
          <w:szCs w:val="22"/>
          <w:lang w:val="en-GB"/>
        </w:rPr>
      </w:pPr>
      <w:r w:rsidRPr="0011176D">
        <w:rPr>
          <w:rFonts w:cs="Arial"/>
          <w:b/>
          <w:bCs/>
          <w:szCs w:val="22"/>
        </w:rPr>
        <w:t xml:space="preserve">3.1. Leadership Styles in Spain </w:t>
      </w:r>
    </w:p>
    <w:p w14:paraId="0628D9CC" w14:textId="77777777" w:rsidR="0023631D" w:rsidRPr="0011176D" w:rsidRDefault="0023631D" w:rsidP="0011176D">
      <w:pPr>
        <w:spacing w:before="240" w:after="240"/>
        <w:rPr>
          <w:rFonts w:cs="Arial"/>
          <w:b/>
          <w:bCs/>
          <w:szCs w:val="22"/>
          <w:lang w:val="en-GB"/>
        </w:rPr>
      </w:pPr>
      <w:r w:rsidRPr="0011176D">
        <w:rPr>
          <w:rFonts w:cs="Arial"/>
          <w:b/>
          <w:bCs/>
          <w:szCs w:val="22"/>
        </w:rPr>
        <w:t>3.1.1. The First Style of Crisis and Prime Minister Pedro Sánchez</w:t>
      </w:r>
      <w:r w:rsidRPr="0011176D">
        <w:rPr>
          <w:rFonts w:cs="Arial"/>
          <w:szCs w:val="22"/>
        </w:rPr>
        <w:t>.</w:t>
      </w:r>
    </w:p>
    <w:p w14:paraId="68380E85" w14:textId="371A1113" w:rsidR="0023631D" w:rsidRPr="0011176D" w:rsidRDefault="0023631D" w:rsidP="0011176D">
      <w:pPr>
        <w:spacing w:before="240" w:after="240"/>
        <w:rPr>
          <w:rFonts w:cs="Arial"/>
          <w:szCs w:val="22"/>
          <w:lang w:val="en-GB"/>
        </w:rPr>
      </w:pPr>
      <w:r w:rsidRPr="0011176D">
        <w:rPr>
          <w:rFonts w:cs="Arial"/>
          <w:szCs w:val="22"/>
        </w:rPr>
        <w:t xml:space="preserve">Pedro Sánchez was the face of the reaction of the Spanish government. His early leadership in the declaration of the State of Alarm may have been termed as strictly Autocratic or Directive Crisis Leadership. The urgent and overwhelming magnitude of the crisis and structural fragmentation of the Spanish healthcare system preconditioned this style. Seizing all the healthcare assets directly and introducing a national lockdown, Sánchez adopted a robust course of action aimed at breaking institutional stasis and disunity (Lopez </w:t>
      </w:r>
      <w:r w:rsidR="00F43F4C">
        <w:rPr>
          <w:rFonts w:cs="Arial"/>
          <w:szCs w:val="22"/>
        </w:rPr>
        <w:t>and</w:t>
      </w:r>
      <w:r w:rsidRPr="0011176D">
        <w:rPr>
          <w:rFonts w:cs="Arial"/>
          <w:szCs w:val="22"/>
        </w:rPr>
        <w:t xml:space="preserve"> Martinez, 2022). The strength of this autocratic preliminary stage was speed and single-mindedness. Only such extraordinary executive action could enforce the social distancing necessary to prevent a total collapse, which was immediate and unified, and highly fragmented in a highly politically diverse system. This style gave the people a single and clear voice and, in the beginning, this increased compliance and decreased uncertainty, which had the benefit of a short-lived "rally-round-the-flag" effect that is typical of national emergencies (Lopez </w:t>
      </w:r>
      <w:r w:rsidR="00F43F4C">
        <w:rPr>
          <w:rFonts w:cs="Arial"/>
          <w:szCs w:val="22"/>
        </w:rPr>
        <w:t>and</w:t>
      </w:r>
      <w:r w:rsidRPr="0011176D">
        <w:rPr>
          <w:rFonts w:cs="Arial"/>
          <w:szCs w:val="22"/>
        </w:rPr>
        <w:t xml:space="preserve"> Martinez, 2022). Nevertheless, this high-level control could not be maintained with the corresponding high-level operational infrastructure, resulting in the fundamental lack of correspondence between the directive style and the execution abilities of the system.</w:t>
      </w:r>
    </w:p>
    <w:p w14:paraId="4991F2FC" w14:textId="17C84CEC" w:rsidR="0023631D" w:rsidRPr="0011176D" w:rsidRDefault="0023631D" w:rsidP="0011176D">
      <w:pPr>
        <w:spacing w:before="240" w:after="240"/>
        <w:rPr>
          <w:rFonts w:cs="Arial"/>
          <w:b/>
          <w:bCs/>
          <w:szCs w:val="22"/>
          <w:lang w:val="en-GB"/>
        </w:rPr>
      </w:pPr>
      <w:r w:rsidRPr="0011176D">
        <w:rPr>
          <w:rFonts w:cs="Arial"/>
          <w:b/>
          <w:bCs/>
          <w:szCs w:val="22"/>
        </w:rPr>
        <w:t xml:space="preserve">3.1.2. Political </w:t>
      </w:r>
      <w:r w:rsidR="00981532" w:rsidRPr="0011176D">
        <w:rPr>
          <w:rFonts w:cs="Arial"/>
          <w:b/>
          <w:bCs/>
          <w:szCs w:val="22"/>
        </w:rPr>
        <w:t>Polarization</w:t>
      </w:r>
      <w:r w:rsidRPr="0011176D">
        <w:rPr>
          <w:rFonts w:cs="Arial"/>
          <w:b/>
          <w:bCs/>
          <w:szCs w:val="22"/>
        </w:rPr>
        <w:t xml:space="preserve"> and Transactional Leadership.</w:t>
      </w:r>
    </w:p>
    <w:p w14:paraId="7F23923F" w14:textId="18DDE29B" w:rsidR="0023631D" w:rsidRPr="0011176D" w:rsidRDefault="0023631D" w:rsidP="0011176D">
      <w:pPr>
        <w:spacing w:before="240" w:after="240"/>
        <w:rPr>
          <w:rFonts w:cs="Arial"/>
          <w:szCs w:val="22"/>
          <w:lang w:val="en-GB"/>
        </w:rPr>
      </w:pPr>
      <w:r w:rsidRPr="0011176D">
        <w:rPr>
          <w:rFonts w:cs="Arial"/>
          <w:szCs w:val="22"/>
        </w:rPr>
        <w:t xml:space="preserve">As the crisis </w:t>
      </w:r>
      <w:r w:rsidR="00981532" w:rsidRPr="0011176D">
        <w:rPr>
          <w:rFonts w:cs="Arial"/>
          <w:szCs w:val="22"/>
        </w:rPr>
        <w:t>continued</w:t>
      </w:r>
      <w:r w:rsidRPr="0011176D">
        <w:rPr>
          <w:rFonts w:cs="Arial"/>
          <w:szCs w:val="22"/>
        </w:rPr>
        <w:t xml:space="preserve"> Sánchez switched to a Transactional/Collaborative style, necessitating parliamentary approval to prolong the State of Alarm and conduct the weekly conference of AC presidents. This transition was </w:t>
      </w:r>
      <w:r w:rsidR="00981532" w:rsidRPr="0011176D">
        <w:rPr>
          <w:rFonts w:cs="Arial"/>
          <w:szCs w:val="22"/>
        </w:rPr>
        <w:t>characterized</w:t>
      </w:r>
      <w:r w:rsidRPr="0011176D">
        <w:rPr>
          <w:rFonts w:cs="Arial"/>
          <w:szCs w:val="22"/>
        </w:rPr>
        <w:t xml:space="preserve"> by ongoing bargaining, negotiation, and the strategy of central resources to be given to buy political support (Garcia et al., 2023). The main drawback of this technique of transactional leadership was that it failed to go beyond intensive political </w:t>
      </w:r>
      <w:r w:rsidR="00981532" w:rsidRPr="0011176D">
        <w:rPr>
          <w:rFonts w:cs="Arial"/>
          <w:szCs w:val="22"/>
        </w:rPr>
        <w:t>polarization</w:t>
      </w:r>
      <w:r w:rsidRPr="0011176D">
        <w:rPr>
          <w:rFonts w:cs="Arial"/>
          <w:szCs w:val="22"/>
        </w:rPr>
        <w:t xml:space="preserve">, which resulted in the loss of Authentic Leadership. The efforts of cooperation by Sanchez were seen through </w:t>
      </w:r>
      <w:r w:rsidR="00981532" w:rsidRPr="0011176D">
        <w:rPr>
          <w:rFonts w:cs="Arial"/>
          <w:szCs w:val="22"/>
        </w:rPr>
        <w:t>political</w:t>
      </w:r>
      <w:r w:rsidRPr="0011176D">
        <w:rPr>
          <w:rFonts w:cs="Arial"/>
          <w:szCs w:val="22"/>
        </w:rPr>
        <w:t xml:space="preserve"> prism too frequently, which resulted in the </w:t>
      </w:r>
      <w:r w:rsidRPr="0011176D">
        <w:rPr>
          <w:rFonts w:cs="Arial"/>
          <w:szCs w:val="22"/>
        </w:rPr>
        <w:lastRenderedPageBreak/>
        <w:t xml:space="preserve">charges of opportunism by the opposition parties and various ACs. This political combat was turned into a policy conflict: whether masks should be used, whether tests, whether tracking apps, all these issues were continuously </w:t>
      </w:r>
      <w:r w:rsidR="00981532" w:rsidRPr="0011176D">
        <w:rPr>
          <w:rFonts w:cs="Arial"/>
          <w:szCs w:val="22"/>
        </w:rPr>
        <w:t>politicized</w:t>
      </w:r>
      <w:r w:rsidRPr="0011176D">
        <w:rPr>
          <w:rFonts w:cs="Arial"/>
          <w:szCs w:val="22"/>
        </w:rPr>
        <w:t>. Such an atmosphere did not help Sánchez to demonstrate Authentic Leadership, which is based on sincere, apolitical values, as his activity was constantly seen as politically oriented transactions instead of sensible operation of the crisis (Anderson, T.L. 2022)</w:t>
      </w:r>
      <w:r w:rsidR="00E43DB1">
        <w:rPr>
          <w:rFonts w:cs="Arial"/>
          <w:szCs w:val="22"/>
        </w:rPr>
        <w:t>.</w:t>
      </w:r>
      <w:r w:rsidRPr="0011176D">
        <w:rPr>
          <w:rFonts w:cs="Arial"/>
          <w:szCs w:val="22"/>
        </w:rPr>
        <w:t xml:space="preserve"> There was no common vision that would be held beyond immediate management, over which the originally positive goodwill faded as the crisis was prolonged, which caused more public weariness and less adherence. The emphasis on the immediate political transactions instead of the long-term imperative of the people’s health eventually dwarfed the Charismatic Leadership strength required to hold a divided parliament and citizenry behind a single agenda.</w:t>
      </w:r>
    </w:p>
    <w:p w14:paraId="12AE7FE3" w14:textId="77777777" w:rsidR="0023631D" w:rsidRPr="0011176D" w:rsidRDefault="0023631D" w:rsidP="0011176D">
      <w:pPr>
        <w:spacing w:before="240" w:after="240"/>
        <w:rPr>
          <w:rFonts w:cs="Arial"/>
          <w:b/>
          <w:bCs/>
          <w:szCs w:val="22"/>
          <w:lang w:val="en-GB"/>
        </w:rPr>
      </w:pPr>
      <w:r w:rsidRPr="0011176D">
        <w:rPr>
          <w:rFonts w:cs="Arial"/>
          <w:b/>
          <w:bCs/>
          <w:szCs w:val="22"/>
        </w:rPr>
        <w:t>3.1.3. Influence on Institutional Systems and Policy Efficacy.</w:t>
      </w:r>
    </w:p>
    <w:p w14:paraId="4B6CEAD3" w14:textId="3D021861" w:rsidR="0023631D" w:rsidRPr="0011176D" w:rsidRDefault="0023631D" w:rsidP="0011176D">
      <w:pPr>
        <w:spacing w:before="240" w:after="240"/>
        <w:rPr>
          <w:rFonts w:cs="Arial"/>
          <w:szCs w:val="22"/>
          <w:lang w:val="en-GB"/>
        </w:rPr>
      </w:pPr>
      <w:r w:rsidRPr="0011176D">
        <w:rPr>
          <w:rFonts w:cs="Arial"/>
          <w:szCs w:val="22"/>
        </w:rPr>
        <w:t xml:space="preserve">Sanchez was therefore a reactive but not a proactively visionary leader. The benefits of first decisiveness were eventually discouraged by the political CPOE of the transactional approach. The emphasis changed from disarmament of national health to regional compromise and survival by politics. It was not possible to create a genuine non-partisan collaboration, and this is why, when the second wave reshaped, the government did not have the trust and cross-regional agreement to implement the </w:t>
      </w:r>
      <w:r w:rsidR="00C163BF" w:rsidRPr="0011176D">
        <w:rPr>
          <w:rFonts w:cs="Arial"/>
          <w:szCs w:val="22"/>
        </w:rPr>
        <w:t>restrictions needed</w:t>
      </w:r>
      <w:r w:rsidRPr="0011176D">
        <w:rPr>
          <w:rFonts w:cs="Arial"/>
          <w:szCs w:val="22"/>
        </w:rPr>
        <w:t xml:space="preserve">, resulting in prolonged periods of high infection rates and mortality (Rodriguez </w:t>
      </w:r>
      <w:r w:rsidR="00F43F4C">
        <w:rPr>
          <w:rFonts w:cs="Arial"/>
          <w:szCs w:val="22"/>
        </w:rPr>
        <w:t>and</w:t>
      </w:r>
      <w:r w:rsidRPr="0011176D">
        <w:rPr>
          <w:rFonts w:cs="Arial"/>
          <w:szCs w:val="22"/>
        </w:rPr>
        <w:t xml:space="preserve"> Fernandez, 2021). The Spanish example shows that strong and aggressive leadership in </w:t>
      </w:r>
      <w:r w:rsidR="00C163BF" w:rsidRPr="0011176D">
        <w:rPr>
          <w:rFonts w:cs="Arial"/>
          <w:szCs w:val="22"/>
        </w:rPr>
        <w:t>a crisis</w:t>
      </w:r>
      <w:r w:rsidRPr="0011176D">
        <w:rPr>
          <w:rFonts w:cs="Arial"/>
          <w:szCs w:val="22"/>
        </w:rPr>
        <w:t xml:space="preserve">, unless shifted to a more powerful and integrative transformational one, may become ineffective where political agreement is the condition of the continuity of policy execution. The inability to bring together political divides towards a single shared vision of public health is a major drawback of the purely transactional style of leadership during a long-term crisis. The failure of the leader to switch between commanding and </w:t>
      </w:r>
      <w:r w:rsidR="00C163BF" w:rsidRPr="0011176D">
        <w:rPr>
          <w:rFonts w:cs="Arial"/>
          <w:szCs w:val="22"/>
        </w:rPr>
        <w:t>influencing</w:t>
      </w:r>
      <w:r w:rsidRPr="0011176D">
        <w:rPr>
          <w:rFonts w:cs="Arial"/>
          <w:szCs w:val="22"/>
        </w:rPr>
        <w:t xml:space="preserve"> the regional authorities continued the institutional fragmentation that the initial command was meant to resolve, causing a long-term political cost that ultimately undermined the public response to health.</w:t>
      </w:r>
    </w:p>
    <w:p w14:paraId="2C7985CF" w14:textId="77777777" w:rsidR="0023631D" w:rsidRPr="0011176D" w:rsidRDefault="0023631D" w:rsidP="0011176D">
      <w:pPr>
        <w:spacing w:before="240" w:after="240"/>
        <w:rPr>
          <w:rFonts w:cs="Arial"/>
          <w:b/>
          <w:bCs/>
          <w:szCs w:val="22"/>
          <w:lang w:val="en-GB"/>
        </w:rPr>
      </w:pPr>
      <w:r w:rsidRPr="0011176D">
        <w:rPr>
          <w:rFonts w:cs="Arial"/>
          <w:b/>
          <w:bCs/>
          <w:szCs w:val="22"/>
        </w:rPr>
        <w:t>3.2. South Korean leadership style.</w:t>
      </w:r>
    </w:p>
    <w:p w14:paraId="4D0F11EB" w14:textId="77777777" w:rsidR="0023631D" w:rsidRPr="0011176D" w:rsidRDefault="0023631D" w:rsidP="0011176D">
      <w:pPr>
        <w:spacing w:before="240" w:after="240"/>
        <w:rPr>
          <w:rFonts w:cs="Arial"/>
          <w:b/>
          <w:bCs/>
          <w:szCs w:val="22"/>
          <w:lang w:val="en-GB"/>
        </w:rPr>
      </w:pPr>
      <w:r w:rsidRPr="0011176D">
        <w:rPr>
          <w:rFonts w:cs="Arial"/>
          <w:b/>
          <w:bCs/>
          <w:szCs w:val="22"/>
        </w:rPr>
        <w:t>3.2.1. President Moon Jae-in and Technocratic Approach.</w:t>
      </w:r>
    </w:p>
    <w:p w14:paraId="562F354B" w14:textId="0E6B066B" w:rsidR="0023631D" w:rsidRPr="0011176D" w:rsidRDefault="0023631D" w:rsidP="0011176D">
      <w:pPr>
        <w:spacing w:before="240" w:after="240"/>
        <w:rPr>
          <w:rFonts w:cs="Arial"/>
          <w:szCs w:val="22"/>
          <w:lang w:val="en-GB"/>
        </w:rPr>
      </w:pPr>
      <w:r w:rsidRPr="0011176D">
        <w:rPr>
          <w:rFonts w:cs="Arial"/>
          <w:szCs w:val="22"/>
        </w:rPr>
        <w:t xml:space="preserve">President Moon Jae-in guided the South Korean reaction, which could be described as a very efficient combination of Technocratic and Servant Leadership. Most importantly, Moon and his administration were successful in </w:t>
      </w:r>
      <w:r w:rsidR="00C163BF" w:rsidRPr="0011176D">
        <w:rPr>
          <w:rFonts w:cs="Arial"/>
          <w:szCs w:val="22"/>
        </w:rPr>
        <w:t>depoliticizing</w:t>
      </w:r>
      <w:r w:rsidRPr="0011176D">
        <w:rPr>
          <w:rFonts w:cs="Arial"/>
          <w:szCs w:val="22"/>
        </w:rPr>
        <w:t xml:space="preserve"> the pandemic response, as they continuously yielded to the expertise of the KDCA, led by Dr Jeong Eun-</w:t>
      </w:r>
      <w:r w:rsidR="00C163BF" w:rsidRPr="0011176D">
        <w:rPr>
          <w:rFonts w:cs="Arial"/>
          <w:szCs w:val="22"/>
        </w:rPr>
        <w:t>Kyeong</w:t>
      </w:r>
      <w:r w:rsidRPr="0011176D">
        <w:rPr>
          <w:rFonts w:cs="Arial"/>
          <w:szCs w:val="22"/>
        </w:rPr>
        <w:t xml:space="preserve"> (Park </w:t>
      </w:r>
      <w:r w:rsidR="00F43F4C">
        <w:rPr>
          <w:rFonts w:cs="Arial"/>
          <w:szCs w:val="22"/>
        </w:rPr>
        <w:t>and</w:t>
      </w:r>
      <w:r w:rsidRPr="0011176D">
        <w:rPr>
          <w:rFonts w:cs="Arial"/>
          <w:szCs w:val="22"/>
        </w:rPr>
        <w:t xml:space="preserve"> Han, 2022). This </w:t>
      </w:r>
      <w:r w:rsidRPr="0011176D">
        <w:rPr>
          <w:rFonts w:cs="Arial"/>
          <w:szCs w:val="22"/>
        </w:rPr>
        <w:lastRenderedPageBreak/>
        <w:t xml:space="preserve">was an intentional effort to base all key decisions in the field of major public health, including testing capacity, tracing policies, and social distancing tiers, on data and scientific consensus, a style of technocracy (Kim and Lee, 2021). The main benefit of this technocratic leadership was that it was quick to attain legitimacy and trust. Through open communication, regular communication and the use of a single, non-alarmist voice that stressed more on </w:t>
      </w:r>
      <w:r w:rsidR="00C163BF" w:rsidRPr="0011176D">
        <w:rPr>
          <w:rFonts w:cs="Arial"/>
          <w:szCs w:val="22"/>
        </w:rPr>
        <w:t>information</w:t>
      </w:r>
      <w:r w:rsidRPr="0011176D">
        <w:rPr>
          <w:rFonts w:cs="Arial"/>
          <w:szCs w:val="22"/>
        </w:rPr>
        <w:t xml:space="preserve">, the administration of Moon developed deep levels of compliance in society. The style is also aligned with the principles of Servant Leadership because it gives priority to the overall common good of the population and empowers the frontline experts, which encourages a sense of national purpose and responsibility (Choi, 2023). The KDCA structure supported by the IDCP Act established the situational favorability of this technocratic style that fell in line with the Contingency Theory, in which the favorability of the institution (the situation) had </w:t>
      </w:r>
      <w:r w:rsidR="00075F02" w:rsidRPr="0011176D">
        <w:rPr>
          <w:rFonts w:cs="Arial"/>
          <w:szCs w:val="22"/>
        </w:rPr>
        <w:t>maximized</w:t>
      </w:r>
      <w:r w:rsidRPr="0011176D">
        <w:rPr>
          <w:rFonts w:cs="Arial"/>
          <w:szCs w:val="22"/>
        </w:rPr>
        <w:t xml:space="preserve"> the effectiveness of the leadership based on expertise (the style).</w:t>
      </w:r>
    </w:p>
    <w:p w14:paraId="6C1C5EAD" w14:textId="77777777" w:rsidR="0023631D" w:rsidRPr="0011176D" w:rsidRDefault="0023631D" w:rsidP="0011176D">
      <w:pPr>
        <w:spacing w:before="240" w:after="240"/>
        <w:rPr>
          <w:rFonts w:cs="Arial"/>
          <w:b/>
          <w:bCs/>
          <w:szCs w:val="22"/>
          <w:lang w:val="en-GB"/>
        </w:rPr>
      </w:pPr>
      <w:r w:rsidRPr="0011176D">
        <w:rPr>
          <w:rFonts w:cs="Arial"/>
          <w:b/>
          <w:bCs/>
          <w:szCs w:val="22"/>
        </w:rPr>
        <w:t>3.2.2. The Erosion of Civil Liberties and Servant Leadership</w:t>
      </w:r>
      <w:r w:rsidRPr="0011176D">
        <w:rPr>
          <w:rFonts w:cs="Arial"/>
          <w:szCs w:val="22"/>
        </w:rPr>
        <w:t>.</w:t>
      </w:r>
    </w:p>
    <w:p w14:paraId="17690A49" w14:textId="516658FA" w:rsidR="0023631D" w:rsidRPr="0011176D" w:rsidRDefault="0023631D" w:rsidP="0011176D">
      <w:pPr>
        <w:spacing w:before="240" w:after="240"/>
        <w:rPr>
          <w:rFonts w:cs="Arial"/>
          <w:szCs w:val="22"/>
          <w:lang w:val="en-GB"/>
        </w:rPr>
      </w:pPr>
      <w:r w:rsidRPr="0011176D">
        <w:rPr>
          <w:rFonts w:cs="Arial"/>
          <w:szCs w:val="22"/>
        </w:rPr>
        <w:t xml:space="preserve">The deployment of aggressive yet non-coercive (3T) containment strategies made possible by this style could be embraced by the community as scientifically necessary as opposed to politically imposed (Kim and Lee, 2021). </w:t>
      </w:r>
      <w:r w:rsidR="00075F02" w:rsidRPr="0011176D">
        <w:rPr>
          <w:rFonts w:cs="Arial"/>
          <w:szCs w:val="22"/>
        </w:rPr>
        <w:t>Trust</w:t>
      </w:r>
      <w:r w:rsidRPr="0011176D">
        <w:rPr>
          <w:rFonts w:cs="Arial"/>
          <w:szCs w:val="22"/>
        </w:rPr>
        <w:t xml:space="preserve"> existed before, based on the mandate of the people that demanded reform in the wake of the MERS crisis, where the last administration was blamed for being less transparent than transparent, which Moon was vigorously trying to rectify, which is the essence of a Servant Leader (Choi, 2023). Yet, though there was a success in the field of public health, the technocratic form had severe drawbacks related to civil liberties. The implementation of the 3T strategy was essentially based on the President's readiness to use the IDCP Act to introduce </w:t>
      </w:r>
      <w:r w:rsidR="00075F02" w:rsidRPr="0011176D">
        <w:rPr>
          <w:rFonts w:cs="Arial"/>
          <w:szCs w:val="22"/>
        </w:rPr>
        <w:t>centralized</w:t>
      </w:r>
      <w:r w:rsidRPr="0011176D">
        <w:rPr>
          <w:rFonts w:cs="Arial"/>
          <w:szCs w:val="22"/>
        </w:rPr>
        <w:t xml:space="preserve"> digital surveillance. This application of technology bypassed the conventional Western democratic restrictions on surveillance authority, even though it was presented as a safety measure (Choi, 2023). The scientifically sound leadership that Moon showed was based on a social agreement of collective security against individual privacy, which is unethically and politically debatable. Such a desire to give up individual privacy to the common good is sometimes attributed to the strong Confucian culture of collectivism, which gave rise to high rates of obedience at the expense of serious questions by international human rights </w:t>
      </w:r>
      <w:r w:rsidR="00075F02" w:rsidRPr="0011176D">
        <w:rPr>
          <w:rFonts w:cs="Arial"/>
          <w:szCs w:val="22"/>
        </w:rPr>
        <w:t>organizations</w:t>
      </w:r>
      <w:r w:rsidRPr="0011176D">
        <w:rPr>
          <w:rFonts w:cs="Arial"/>
          <w:szCs w:val="22"/>
        </w:rPr>
        <w:t xml:space="preserve"> as to the sustainability of such surveillance authority. This brings out an evident ethical dilemma in the technocratic-security paradigm. Moreover, the strategy fitted </w:t>
      </w:r>
      <w:proofErr w:type="gramStart"/>
      <w:r w:rsidRPr="0011176D">
        <w:rPr>
          <w:rFonts w:cs="Arial"/>
          <w:szCs w:val="22"/>
        </w:rPr>
        <w:t>perfectly</w:t>
      </w:r>
      <w:proofErr w:type="gramEnd"/>
      <w:r w:rsidRPr="0011176D">
        <w:rPr>
          <w:rFonts w:cs="Arial"/>
          <w:szCs w:val="22"/>
        </w:rPr>
        <w:t xml:space="preserve"> the Path-Goal Theory, in which </w:t>
      </w:r>
      <w:proofErr w:type="gramStart"/>
      <w:r w:rsidRPr="0011176D">
        <w:rPr>
          <w:rFonts w:cs="Arial"/>
          <w:szCs w:val="22"/>
        </w:rPr>
        <w:t>Moon should</w:t>
      </w:r>
      <w:proofErr w:type="gramEnd"/>
      <w:r w:rsidRPr="0011176D">
        <w:rPr>
          <w:rFonts w:cs="Arial"/>
          <w:szCs w:val="22"/>
        </w:rPr>
        <w:t xml:space="preserve"> explain the path (directives of KDCA) and eliminate challenges (slow testing, restricted access to data) to subordinates and the public to reach the goal (containment), thus </w:t>
      </w:r>
      <w:r w:rsidR="00075F02" w:rsidRPr="0011176D">
        <w:rPr>
          <w:rFonts w:cs="Arial"/>
          <w:szCs w:val="22"/>
        </w:rPr>
        <w:t>maximizing</w:t>
      </w:r>
      <w:r w:rsidRPr="0011176D">
        <w:rPr>
          <w:rFonts w:cs="Arial"/>
          <w:szCs w:val="22"/>
        </w:rPr>
        <w:t xml:space="preserve"> performance and satisfaction.</w:t>
      </w:r>
    </w:p>
    <w:p w14:paraId="33BC5A87" w14:textId="77777777" w:rsidR="0023631D" w:rsidRPr="0011176D" w:rsidRDefault="0023631D" w:rsidP="0011176D">
      <w:pPr>
        <w:spacing w:before="240" w:after="240"/>
        <w:rPr>
          <w:rFonts w:cs="Arial"/>
          <w:b/>
          <w:bCs/>
          <w:szCs w:val="22"/>
          <w:lang w:val="en-GB"/>
        </w:rPr>
      </w:pPr>
      <w:r w:rsidRPr="0011176D">
        <w:rPr>
          <w:rFonts w:cs="Arial"/>
          <w:b/>
          <w:bCs/>
          <w:szCs w:val="22"/>
        </w:rPr>
        <w:t>3.2.3. Influence on Institutional Systems and Policy Efficacy.</w:t>
      </w:r>
    </w:p>
    <w:p w14:paraId="5BE9B5DF" w14:textId="7D3AE6E9" w:rsidR="0023631D" w:rsidRPr="0011176D" w:rsidRDefault="0023631D" w:rsidP="0011176D">
      <w:pPr>
        <w:spacing w:before="240" w:after="240"/>
        <w:rPr>
          <w:rFonts w:cs="Arial"/>
          <w:szCs w:val="22"/>
          <w:lang w:val="en-GB"/>
        </w:rPr>
      </w:pPr>
      <w:r w:rsidRPr="0011176D">
        <w:rPr>
          <w:rFonts w:cs="Arial"/>
          <w:szCs w:val="22"/>
        </w:rPr>
        <w:lastRenderedPageBreak/>
        <w:t xml:space="preserve">Moreover, technocratic emphasis threatened to estrange certain groups in a community or a business that perceived themselves to be unduly </w:t>
      </w:r>
      <w:r w:rsidR="00F762D3" w:rsidRPr="0011176D">
        <w:rPr>
          <w:rFonts w:cs="Arial"/>
          <w:szCs w:val="22"/>
        </w:rPr>
        <w:t>targeted or</w:t>
      </w:r>
      <w:r w:rsidRPr="0011176D">
        <w:rPr>
          <w:rFonts w:cs="Arial"/>
          <w:szCs w:val="22"/>
        </w:rPr>
        <w:t xml:space="preserve"> </w:t>
      </w:r>
      <w:r w:rsidR="00F762D3" w:rsidRPr="0011176D">
        <w:rPr>
          <w:rFonts w:cs="Arial"/>
          <w:szCs w:val="22"/>
        </w:rPr>
        <w:t>stigmatized</w:t>
      </w:r>
      <w:r w:rsidRPr="0011176D">
        <w:rPr>
          <w:rFonts w:cs="Arial"/>
          <w:szCs w:val="22"/>
        </w:rPr>
        <w:t xml:space="preserve"> by the granular distribution of movement data (Park </w:t>
      </w:r>
      <w:r w:rsidR="00F43F4C">
        <w:rPr>
          <w:rFonts w:cs="Arial"/>
          <w:szCs w:val="22"/>
        </w:rPr>
        <w:t>and</w:t>
      </w:r>
      <w:r w:rsidRPr="0011176D">
        <w:rPr>
          <w:rFonts w:cs="Arial"/>
          <w:szCs w:val="22"/>
        </w:rPr>
        <w:t xml:space="preserve"> Han, 2022). Under Moon Jae-in, the </w:t>
      </w:r>
      <w:r w:rsidR="00F762D3" w:rsidRPr="0011176D">
        <w:rPr>
          <w:rFonts w:cs="Arial"/>
          <w:szCs w:val="22"/>
        </w:rPr>
        <w:t>centralized</w:t>
      </w:r>
      <w:r w:rsidRPr="0011176D">
        <w:rPr>
          <w:rFonts w:cs="Arial"/>
          <w:szCs w:val="22"/>
        </w:rPr>
        <w:t xml:space="preserve"> institutional capacity that was formed after MERS was exploited. His technocratic, service-oriented style brought in </w:t>
      </w:r>
      <w:r w:rsidR="00F762D3" w:rsidRPr="0011176D">
        <w:rPr>
          <w:rFonts w:cs="Arial"/>
          <w:szCs w:val="22"/>
        </w:rPr>
        <w:t>moral</w:t>
      </w:r>
      <w:r w:rsidRPr="0011176D">
        <w:rPr>
          <w:rFonts w:cs="Arial"/>
          <w:szCs w:val="22"/>
        </w:rPr>
        <w:t xml:space="preserve"> and political rationale to make the system run at its optimum level. However, he did not have to bargain </w:t>
      </w:r>
      <w:r w:rsidR="00F762D3" w:rsidRPr="0011176D">
        <w:rPr>
          <w:rFonts w:cs="Arial"/>
          <w:szCs w:val="22"/>
        </w:rPr>
        <w:t>overpower</w:t>
      </w:r>
      <w:r w:rsidRPr="0011176D">
        <w:rPr>
          <w:rFonts w:cs="Arial"/>
          <w:szCs w:val="22"/>
        </w:rPr>
        <w:t xml:space="preserve"> like Sánchez, as power was delegated by law to the professionals he was sponsoring. The outcome was a very </w:t>
      </w:r>
      <w:r w:rsidR="00F762D3" w:rsidRPr="0011176D">
        <w:rPr>
          <w:rFonts w:cs="Arial"/>
          <w:szCs w:val="22"/>
        </w:rPr>
        <w:t>well-coordinated</w:t>
      </w:r>
      <w:r w:rsidRPr="0011176D">
        <w:rPr>
          <w:rFonts w:cs="Arial"/>
          <w:szCs w:val="22"/>
        </w:rPr>
        <w:t xml:space="preserve">, agile and effective national response, with little economic impact and one of the lowest initial mortality rates in the world. The experience of South Koreans </w:t>
      </w:r>
      <w:r w:rsidR="00CE5BE7" w:rsidRPr="0011176D">
        <w:rPr>
          <w:rFonts w:cs="Arial"/>
          <w:szCs w:val="22"/>
        </w:rPr>
        <w:t>emphasizes</w:t>
      </w:r>
      <w:r w:rsidRPr="0011176D">
        <w:rPr>
          <w:rFonts w:cs="Arial"/>
          <w:szCs w:val="22"/>
        </w:rPr>
        <w:t xml:space="preserve"> the potential of system preparedness to essentially empower a </w:t>
      </w:r>
      <w:r w:rsidR="00F762D3" w:rsidRPr="0011176D">
        <w:rPr>
          <w:rFonts w:cs="Arial"/>
          <w:szCs w:val="22"/>
        </w:rPr>
        <w:t>scientifically based</w:t>
      </w:r>
      <w:r w:rsidRPr="0011176D">
        <w:rPr>
          <w:rFonts w:cs="Arial"/>
          <w:szCs w:val="22"/>
        </w:rPr>
        <w:t xml:space="preserve"> leadership approach to produce better health results (Anderson, T.L. 2022</w:t>
      </w:r>
      <w:proofErr w:type="gramStart"/>
      <w:r w:rsidRPr="0011176D">
        <w:rPr>
          <w:rFonts w:cs="Arial"/>
          <w:szCs w:val="22"/>
        </w:rPr>
        <w:t>) ,</w:t>
      </w:r>
      <w:proofErr w:type="gramEnd"/>
      <w:r w:rsidRPr="0011176D">
        <w:rPr>
          <w:rFonts w:cs="Arial"/>
          <w:szCs w:val="22"/>
        </w:rPr>
        <w:t xml:space="preserve"> yet poses critical ethical dilemmas regarding the speed versus privacy trade-off of that framework. The success was consequently the product of an institutional predisposition and a leadership approach that effectively used cultural norms to produce a highly effective, high-trust, but privacy-invading policy environment.</w:t>
      </w:r>
    </w:p>
    <w:p w14:paraId="2FF31B22" w14:textId="77777777" w:rsidR="0023631D" w:rsidRPr="0011176D" w:rsidRDefault="0023631D" w:rsidP="0011176D">
      <w:pPr>
        <w:spacing w:before="240" w:after="240"/>
        <w:rPr>
          <w:rFonts w:cs="Arial"/>
          <w:b/>
          <w:bCs/>
          <w:szCs w:val="22"/>
          <w:lang w:val="en-GB"/>
        </w:rPr>
      </w:pPr>
      <w:r w:rsidRPr="0011176D">
        <w:rPr>
          <w:rFonts w:cs="Arial"/>
          <w:b/>
          <w:bCs/>
          <w:szCs w:val="22"/>
        </w:rPr>
        <w:t xml:space="preserve">3.3. Leadership Style in Canada </w:t>
      </w:r>
    </w:p>
    <w:p w14:paraId="1C64A924" w14:textId="77777777" w:rsidR="0023631D" w:rsidRPr="0011176D" w:rsidRDefault="0023631D" w:rsidP="0011176D">
      <w:pPr>
        <w:spacing w:before="240" w:after="240"/>
        <w:rPr>
          <w:rFonts w:cs="Arial"/>
          <w:b/>
          <w:bCs/>
          <w:szCs w:val="22"/>
          <w:lang w:val="en-GB"/>
        </w:rPr>
      </w:pPr>
      <w:r w:rsidRPr="0011176D">
        <w:rPr>
          <w:rFonts w:cs="Arial"/>
          <w:b/>
          <w:bCs/>
          <w:szCs w:val="22"/>
        </w:rPr>
        <w:t>3.3.1. Justin Trudeau and the Consensus Approach, Prime Minister.</w:t>
      </w:r>
    </w:p>
    <w:p w14:paraId="5CB98FFC" w14:textId="425CDD18" w:rsidR="0023631D" w:rsidRPr="0011176D" w:rsidRDefault="0023631D" w:rsidP="0011176D">
      <w:pPr>
        <w:spacing w:before="240" w:after="240"/>
        <w:rPr>
          <w:rFonts w:cs="Arial"/>
          <w:szCs w:val="22"/>
          <w:lang w:val="en-GB"/>
        </w:rPr>
      </w:pPr>
      <w:r w:rsidRPr="0011176D">
        <w:rPr>
          <w:rFonts w:cs="Arial"/>
          <w:szCs w:val="22"/>
        </w:rPr>
        <w:t xml:space="preserve">The leadership of Prime Minister Justin Trudeau during the pandemic was </w:t>
      </w:r>
      <w:r w:rsidR="00CE5BE7" w:rsidRPr="0011176D">
        <w:rPr>
          <w:rFonts w:cs="Arial"/>
          <w:szCs w:val="22"/>
        </w:rPr>
        <w:t>characterized</w:t>
      </w:r>
      <w:r w:rsidRPr="0011176D">
        <w:rPr>
          <w:rFonts w:cs="Arial"/>
          <w:szCs w:val="22"/>
        </w:rPr>
        <w:t xml:space="preserve"> by a Pragmatic-Federalist and Consensus-Driven approach, which was predetermined mainly by the constitutional fact of Canadian federalism. By </w:t>
      </w:r>
      <w:r w:rsidR="00CE5BE7" w:rsidRPr="0011176D">
        <w:rPr>
          <w:rFonts w:cs="Arial"/>
          <w:szCs w:val="22"/>
        </w:rPr>
        <w:t>realizing</w:t>
      </w:r>
      <w:r w:rsidRPr="0011176D">
        <w:rPr>
          <w:rFonts w:cs="Arial"/>
          <w:szCs w:val="22"/>
        </w:rPr>
        <w:t xml:space="preserve"> that the jurisdiction over public health was in the provinces, Trudeau effectively placed the federal government in the role of the Chief Fiscal Enabler and the Rhetorical Unifier of the country, instead of being the supposed primary health operational leader (Dion, 2020). The key strength of this consensus Fisher approach was that a massive national economic safety net was </w:t>
      </w:r>
      <w:r w:rsidR="00CE5BE7" w:rsidRPr="0011176D">
        <w:rPr>
          <w:rFonts w:cs="Arial"/>
          <w:szCs w:val="22"/>
        </w:rPr>
        <w:t>realized</w:t>
      </w:r>
      <w:r w:rsidRPr="0011176D">
        <w:rPr>
          <w:rFonts w:cs="Arial"/>
          <w:szCs w:val="22"/>
        </w:rPr>
        <w:t xml:space="preserve">. The federal government also hastened the development of measures such as the Canada Emergency Response Benefit (CERB) and wage subsidies, which helped avert the imminent social and economic meltdown (Gagnon and Smith, 2022). The </w:t>
      </w:r>
      <w:r w:rsidR="00CE5BE7" w:rsidRPr="0011176D">
        <w:rPr>
          <w:rFonts w:cs="Arial"/>
          <w:szCs w:val="22"/>
        </w:rPr>
        <w:t>centralized</w:t>
      </w:r>
      <w:r w:rsidRPr="0011176D">
        <w:rPr>
          <w:rFonts w:cs="Arial"/>
          <w:szCs w:val="22"/>
        </w:rPr>
        <w:t xml:space="preserve"> role it performed in national procurement was also well executed in this pragmatic leadership. The style was that of Collaborative Governance, where the leadership is trying to lead through influence and buying, and not by command which is structurally impossible in the Canadian context. Employing high empathy and emotional intelligence in communication, Trudeau was trying to perform the role of Transformational Leader: he was trying to give people hope in something; however, the absence of concerted action at the provincial level continuously contradicted this rhetoric.</w:t>
      </w:r>
    </w:p>
    <w:p w14:paraId="55D5A271" w14:textId="77777777" w:rsidR="0023631D" w:rsidRPr="0011176D" w:rsidRDefault="0023631D" w:rsidP="0011176D">
      <w:pPr>
        <w:spacing w:before="240" w:after="240"/>
        <w:rPr>
          <w:rFonts w:cs="Arial"/>
          <w:b/>
          <w:bCs/>
          <w:szCs w:val="22"/>
          <w:lang w:val="en-GB"/>
        </w:rPr>
      </w:pPr>
      <w:r w:rsidRPr="0011176D">
        <w:rPr>
          <w:rFonts w:cs="Arial"/>
          <w:szCs w:val="22"/>
        </w:rPr>
        <w:t>3</w:t>
      </w:r>
      <w:r w:rsidRPr="0011176D">
        <w:rPr>
          <w:rFonts w:cs="Arial"/>
          <w:b/>
          <w:bCs/>
          <w:szCs w:val="22"/>
        </w:rPr>
        <w:t>.3.2. Federalist Leadership Disadvantages and Constraints</w:t>
      </w:r>
      <w:r w:rsidRPr="0011176D">
        <w:rPr>
          <w:rFonts w:cs="Arial"/>
          <w:szCs w:val="22"/>
        </w:rPr>
        <w:t>.</w:t>
      </w:r>
    </w:p>
    <w:p w14:paraId="7FC5B877" w14:textId="01F40A4C" w:rsidR="0023631D" w:rsidRPr="0011176D" w:rsidRDefault="0023631D" w:rsidP="0011176D">
      <w:pPr>
        <w:spacing w:before="240" w:after="240"/>
        <w:rPr>
          <w:rFonts w:cs="Arial"/>
          <w:szCs w:val="22"/>
          <w:lang w:val="en-GB"/>
        </w:rPr>
      </w:pPr>
      <w:r w:rsidRPr="0011176D">
        <w:rPr>
          <w:rFonts w:cs="Arial"/>
          <w:szCs w:val="22"/>
        </w:rPr>
        <w:lastRenderedPageBreak/>
        <w:t xml:space="preserve">The government of Trudeau was able to acquire vast quantities of PPE and, later, a wide range of vaccines, which is a good show of fiscal and logistical management on the international scene (Taylor </w:t>
      </w:r>
      <w:r w:rsidR="00F43F4C">
        <w:rPr>
          <w:rFonts w:cs="Arial"/>
          <w:szCs w:val="22"/>
        </w:rPr>
        <w:t>and</w:t>
      </w:r>
      <w:r w:rsidRPr="0011176D">
        <w:rPr>
          <w:rFonts w:cs="Arial"/>
          <w:szCs w:val="22"/>
        </w:rPr>
        <w:t xml:space="preserve"> Wilson, 2021). In addition, his style of communication was often unified, empathetic and frequent, which served to hold the country in a sense of unity, even though the policy was fragmented. The main drawback of the pragmatic-federalist strategy was that it was </w:t>
      </w:r>
      <w:r w:rsidR="00876774" w:rsidRPr="0011176D">
        <w:rPr>
          <w:rFonts w:cs="Arial"/>
          <w:szCs w:val="22"/>
        </w:rPr>
        <w:t>paralyzed</w:t>
      </w:r>
      <w:r w:rsidRPr="0011176D">
        <w:rPr>
          <w:rFonts w:cs="Arial"/>
          <w:szCs w:val="22"/>
        </w:rPr>
        <w:t xml:space="preserve"> in its work on public health policy. Trudeau was constantly </w:t>
      </w:r>
      <w:r w:rsidR="00876774" w:rsidRPr="0011176D">
        <w:rPr>
          <w:rFonts w:cs="Arial"/>
          <w:szCs w:val="22"/>
        </w:rPr>
        <w:t>criticized</w:t>
      </w:r>
      <w:r w:rsidRPr="0011176D">
        <w:rPr>
          <w:rFonts w:cs="Arial"/>
          <w:szCs w:val="22"/>
        </w:rPr>
        <w:t xml:space="preserve"> as being too slow to shut down international borders but incapable of imposing a set of common inter-provincial public health standards. The consensus-style approach implied that he had to make concessions to the provinces even where national unity was obviously required (Dion, 2020). This limitation created great variability of provincial responses and results, especially in the first and second waves, which were crucial. An example is where the federal government was unable to impose more stringent requirements on long-term care homes or inter-provincial travel, but could issue recommendations, thus resulting in unequal protection of vulnerable groups (Taylor and Wilson, 2021). This restriction was very clearly seen in vaccine rollouts, where in some cases, provincial political rivalry led to scenarios where distribution lacked </w:t>
      </w:r>
      <w:r w:rsidR="00876774" w:rsidRPr="0011176D">
        <w:rPr>
          <w:rFonts w:cs="Arial"/>
          <w:szCs w:val="22"/>
        </w:rPr>
        <w:t>equalization</w:t>
      </w:r>
      <w:r w:rsidRPr="0011176D">
        <w:rPr>
          <w:rFonts w:cs="Arial"/>
          <w:szCs w:val="22"/>
        </w:rPr>
        <w:t xml:space="preserve"> and initial hoarding of supplies instead of a nationwide approach to the most at-risk groups. This revealed a severe dysfunction of Strategic Leadership on the federal level, as the leader was unable to define and implement a long-term strategy that could achieve success in </w:t>
      </w:r>
      <w:r w:rsidR="00876774" w:rsidRPr="0011176D">
        <w:rPr>
          <w:rFonts w:cs="Arial"/>
          <w:szCs w:val="22"/>
        </w:rPr>
        <w:t>maneuvering</w:t>
      </w:r>
      <w:r w:rsidRPr="0011176D">
        <w:rPr>
          <w:rFonts w:cs="Arial"/>
          <w:szCs w:val="22"/>
        </w:rPr>
        <w:t xml:space="preserve"> the constitutional obstacles through innovative intergovernmental deals.</w:t>
      </w:r>
    </w:p>
    <w:p w14:paraId="5F42B141" w14:textId="77777777" w:rsidR="0023631D" w:rsidRPr="0011176D" w:rsidRDefault="0023631D" w:rsidP="0011176D">
      <w:pPr>
        <w:spacing w:before="240" w:after="240"/>
        <w:rPr>
          <w:rFonts w:cs="Arial"/>
          <w:b/>
          <w:bCs/>
          <w:szCs w:val="22"/>
          <w:lang w:val="en-GB"/>
        </w:rPr>
      </w:pPr>
      <w:r w:rsidRPr="0011176D">
        <w:rPr>
          <w:rFonts w:cs="Arial"/>
          <w:b/>
          <w:bCs/>
          <w:szCs w:val="22"/>
        </w:rPr>
        <w:t>3.3.3. Influence on Institutional Systems and Policy Efficacy.</w:t>
      </w:r>
    </w:p>
    <w:p w14:paraId="18AA511D" w14:textId="654D2763" w:rsidR="0020676E" w:rsidRPr="0011176D" w:rsidRDefault="0023631D" w:rsidP="0011176D">
      <w:pPr>
        <w:spacing w:before="240" w:after="240"/>
        <w:rPr>
          <w:rFonts w:cs="Arial"/>
          <w:szCs w:val="22"/>
          <w:lang w:val="en-GB"/>
        </w:rPr>
      </w:pPr>
      <w:r w:rsidRPr="0011176D">
        <w:rPr>
          <w:rFonts w:cs="Arial"/>
          <w:szCs w:val="22"/>
        </w:rPr>
        <w:t xml:space="preserve">The dependence on negotiation and cooperation with provincial Premiers, most of whom were political adversaries, frequently slackened needed interventions. His approach did not include the Directive Crisis Leadership element required to circumvent constitutional obstacles in the face of an existential national </w:t>
      </w:r>
      <w:r w:rsidR="00A85B27" w:rsidRPr="0011176D">
        <w:rPr>
          <w:rFonts w:cs="Arial"/>
          <w:szCs w:val="22"/>
        </w:rPr>
        <w:t>crisis and</w:t>
      </w:r>
      <w:r w:rsidRPr="0011176D">
        <w:rPr>
          <w:rFonts w:cs="Arial"/>
          <w:szCs w:val="22"/>
        </w:rPr>
        <w:t xml:space="preserve"> could thus be </w:t>
      </w:r>
      <w:r w:rsidR="00A85B27" w:rsidRPr="0011176D">
        <w:rPr>
          <w:rFonts w:cs="Arial"/>
          <w:szCs w:val="22"/>
        </w:rPr>
        <w:t>criticized</w:t>
      </w:r>
      <w:r w:rsidRPr="0011176D">
        <w:rPr>
          <w:rFonts w:cs="Arial"/>
          <w:szCs w:val="22"/>
        </w:rPr>
        <w:t xml:space="preserve"> as focusing on political concord, instead of decisive action (Anderson, T.L. 2022</w:t>
      </w:r>
      <w:r w:rsidR="005D307E" w:rsidRPr="0011176D">
        <w:rPr>
          <w:rFonts w:cs="Arial"/>
          <w:szCs w:val="22"/>
        </w:rPr>
        <w:t>).</w:t>
      </w:r>
      <w:r w:rsidRPr="0011176D">
        <w:rPr>
          <w:rFonts w:cs="Arial"/>
          <w:szCs w:val="22"/>
        </w:rPr>
        <w:t xml:space="preserve"> The example of the </w:t>
      </w:r>
      <w:r w:rsidR="005D307E" w:rsidRPr="0011176D">
        <w:rPr>
          <w:rFonts w:cs="Arial"/>
          <w:szCs w:val="22"/>
        </w:rPr>
        <w:t>maximization</w:t>
      </w:r>
      <w:r w:rsidRPr="0011176D">
        <w:rPr>
          <w:rFonts w:cs="Arial"/>
          <w:szCs w:val="22"/>
        </w:rPr>
        <w:t xml:space="preserve"> of influence under constitutional conditions was the leadership of Trudeau. The fiscal and rhetorical powers of the federal government served to put the country back on its feet, but his form of style failed to overcome the structural problems of Canadian federalism because there was no </w:t>
      </w:r>
      <w:r w:rsidR="005D307E" w:rsidRPr="0011176D">
        <w:rPr>
          <w:rFonts w:cs="Arial"/>
          <w:szCs w:val="22"/>
        </w:rPr>
        <w:t>centralized</w:t>
      </w:r>
      <w:r w:rsidRPr="0011176D">
        <w:rPr>
          <w:rFonts w:cs="Arial"/>
          <w:szCs w:val="22"/>
        </w:rPr>
        <w:t xml:space="preserve"> public health directive. His practical manner of doing things eventually enabled provincial reactions without ensuring a consistent and united nation, the net effect of which was a mediocre, yet very patchy, nationalist achievement. The Canadian situation brings out clearly the limitations which inevitably accompany any type of consensus-based approach in the face of a crisis that requires speedy, consistent, and operationally integrated policy execution among competing jurisdictions. The incompatibility of the Transformational </w:t>
      </w:r>
      <w:r w:rsidRPr="0011176D">
        <w:rPr>
          <w:rFonts w:cs="Arial"/>
          <w:szCs w:val="22"/>
        </w:rPr>
        <w:lastRenderedPageBreak/>
        <w:t>rhetoric of Trudeau and the systemic failure to attain Strategic operational alignment is one of the main lessons of the weakness of the leadership style within the framework of a strict federal regime, which eventually made him shift the Transformational objectives to the Maintenance of the intergovernmental status quo</w:t>
      </w:r>
      <w:r w:rsidR="00F43F4C">
        <w:rPr>
          <w:rFonts w:cs="Arial"/>
          <w:szCs w:val="22"/>
        </w:rPr>
        <w:t xml:space="preserve"> </w:t>
      </w:r>
      <w:r w:rsidR="00F43F4C" w:rsidRPr="00F43F4C">
        <w:rPr>
          <w:rFonts w:cs="Arial"/>
          <w:szCs w:val="22"/>
        </w:rPr>
        <w:t>(OECD, 2021)</w:t>
      </w:r>
      <w:r w:rsidRPr="0011176D">
        <w:rPr>
          <w:rFonts w:cs="Arial"/>
          <w:szCs w:val="22"/>
        </w:rPr>
        <w:t>.</w:t>
      </w:r>
    </w:p>
    <w:p w14:paraId="58F67723" w14:textId="77777777" w:rsidR="0023631D" w:rsidRPr="0011176D" w:rsidRDefault="0023631D" w:rsidP="0011176D">
      <w:pPr>
        <w:pStyle w:val="Heading1"/>
        <w:rPr>
          <w:rFonts w:cs="Arial"/>
          <w:b/>
          <w:bCs/>
          <w:szCs w:val="32"/>
          <w:lang w:val="en-GB"/>
        </w:rPr>
      </w:pPr>
      <w:r w:rsidRPr="0011176D">
        <w:rPr>
          <w:rFonts w:cs="Arial"/>
          <w:b/>
          <w:bCs/>
          <w:szCs w:val="32"/>
        </w:rPr>
        <w:t xml:space="preserve">4. Conclusion </w:t>
      </w:r>
    </w:p>
    <w:p w14:paraId="1401507B" w14:textId="7DB07B5C" w:rsidR="0011176D" w:rsidRPr="0011176D" w:rsidRDefault="0011176D" w:rsidP="0011176D">
      <w:pPr>
        <w:spacing w:before="240" w:after="240"/>
        <w:rPr>
          <w:rFonts w:cs="Arial"/>
          <w:szCs w:val="22"/>
        </w:rPr>
      </w:pPr>
      <w:r w:rsidRPr="0011176D">
        <w:rPr>
          <w:rFonts w:cs="Arial"/>
          <w:szCs w:val="22"/>
        </w:rPr>
        <w:t xml:space="preserve">The comparative study of the responses to COVID-19 in Spain, South Korea, and Canada provides important information about the interdependence of the typology of institutions, leadership, and the result of public health. The effect of a </w:t>
      </w:r>
      <w:r w:rsidR="0073127F" w:rsidRPr="0011176D">
        <w:rPr>
          <w:rFonts w:cs="Arial"/>
          <w:szCs w:val="22"/>
        </w:rPr>
        <w:t>centralized</w:t>
      </w:r>
      <w:r w:rsidRPr="0011176D">
        <w:rPr>
          <w:rFonts w:cs="Arial"/>
          <w:szCs w:val="22"/>
        </w:rPr>
        <w:t xml:space="preserve">, autocratic reaction to the splintered and </w:t>
      </w:r>
      <w:r w:rsidR="0073127F" w:rsidRPr="0011176D">
        <w:rPr>
          <w:rFonts w:cs="Arial"/>
          <w:szCs w:val="22"/>
        </w:rPr>
        <w:t>decentralized</w:t>
      </w:r>
      <w:r w:rsidRPr="0011176D">
        <w:rPr>
          <w:rFonts w:cs="Arial"/>
          <w:szCs w:val="22"/>
        </w:rPr>
        <w:t xml:space="preserve"> system in Spain was controversial and ineffective, and its subsequent transactional style of leadership did not bring real political consensus, in part because of structural underinvestment and </w:t>
      </w:r>
      <w:r w:rsidR="0073127F" w:rsidRPr="0011176D">
        <w:rPr>
          <w:rFonts w:cs="Arial"/>
          <w:szCs w:val="22"/>
        </w:rPr>
        <w:t>partisanship</w:t>
      </w:r>
      <w:r w:rsidR="0073127F">
        <w:rPr>
          <w:rFonts w:cs="Arial"/>
          <w:szCs w:val="22"/>
        </w:rPr>
        <w:t>.</w:t>
      </w:r>
      <w:r w:rsidR="0073127F" w:rsidRPr="0011176D">
        <w:rPr>
          <w:rFonts w:cs="Arial"/>
          <w:szCs w:val="22"/>
        </w:rPr>
        <w:t xml:space="preserve"> On</w:t>
      </w:r>
      <w:r w:rsidRPr="0011176D">
        <w:rPr>
          <w:rFonts w:cs="Arial"/>
          <w:szCs w:val="22"/>
        </w:rPr>
        <w:t xml:space="preserve"> the other hand, the pre-existing, </w:t>
      </w:r>
      <w:r w:rsidR="0073127F" w:rsidRPr="0011176D">
        <w:rPr>
          <w:rFonts w:cs="Arial"/>
          <w:szCs w:val="22"/>
        </w:rPr>
        <w:t>centralized</w:t>
      </w:r>
      <w:r w:rsidRPr="0011176D">
        <w:rPr>
          <w:rFonts w:cs="Arial"/>
          <w:szCs w:val="22"/>
        </w:rPr>
        <w:t xml:space="preserve"> legal authority and institutional capacity of South Korea allowed President Moon Jae-in to be transformative, technocratic, and servant leadership style, the two perfect fits in Contingency Theory and the Path-Goal Theory to </w:t>
      </w:r>
      <w:r w:rsidR="001A04B6" w:rsidRPr="0011176D">
        <w:rPr>
          <w:rFonts w:cs="Arial"/>
          <w:szCs w:val="22"/>
        </w:rPr>
        <w:t>realize</w:t>
      </w:r>
      <w:r w:rsidRPr="0011176D">
        <w:rPr>
          <w:rFonts w:cs="Arial"/>
          <w:szCs w:val="22"/>
        </w:rPr>
        <w:t xml:space="preserve"> rapid containment and minimum economic disruption</w:t>
      </w:r>
      <w:r w:rsidR="00F43F4C">
        <w:rPr>
          <w:rFonts w:cs="Arial"/>
          <w:szCs w:val="22"/>
        </w:rPr>
        <w:t xml:space="preserve">. </w:t>
      </w:r>
      <w:r w:rsidRPr="0011176D">
        <w:rPr>
          <w:rFonts w:cs="Arial"/>
          <w:szCs w:val="22"/>
        </w:rPr>
        <w:t xml:space="preserve">The </w:t>
      </w:r>
      <w:r w:rsidR="001A04B6" w:rsidRPr="0011176D">
        <w:rPr>
          <w:rFonts w:cs="Arial"/>
          <w:szCs w:val="22"/>
        </w:rPr>
        <w:t>decentralized</w:t>
      </w:r>
      <w:r w:rsidRPr="0011176D">
        <w:rPr>
          <w:rFonts w:cs="Arial"/>
          <w:szCs w:val="22"/>
        </w:rPr>
        <w:t xml:space="preserve"> federal system in Canada restricted Prime Minister Justin Trudeau to a pragmatic and consensus-oriented approach. Although </w:t>
      </w:r>
      <w:r w:rsidR="005D307E" w:rsidRPr="0011176D">
        <w:rPr>
          <w:rFonts w:cs="Arial"/>
          <w:szCs w:val="22"/>
        </w:rPr>
        <w:t>fiscal</w:t>
      </w:r>
      <w:r w:rsidRPr="0011176D">
        <w:rPr>
          <w:rFonts w:cs="Arial"/>
          <w:szCs w:val="22"/>
        </w:rPr>
        <w:t xml:space="preserve"> </w:t>
      </w:r>
      <w:r w:rsidR="001A04B6" w:rsidRPr="0011176D">
        <w:rPr>
          <w:rFonts w:cs="Arial"/>
          <w:szCs w:val="22"/>
        </w:rPr>
        <w:t>stabilization</w:t>
      </w:r>
      <w:r w:rsidRPr="0011176D">
        <w:rPr>
          <w:rFonts w:cs="Arial"/>
          <w:szCs w:val="22"/>
        </w:rPr>
        <w:t xml:space="preserve"> was effective, this style was structurally unable to implement a coherent policy of public health operational work, which is a failure of Strategic Leadership in overcoming constitutional constraints</w:t>
      </w:r>
      <w:r w:rsidR="00F43F4C">
        <w:rPr>
          <w:rFonts w:cs="Arial"/>
          <w:szCs w:val="22"/>
        </w:rPr>
        <w:t xml:space="preserve">. </w:t>
      </w:r>
      <w:r w:rsidRPr="0011176D">
        <w:rPr>
          <w:rFonts w:cs="Arial"/>
          <w:szCs w:val="22"/>
        </w:rPr>
        <w:t>Synthetically, the institutional capacity of the health system already in place mediated the effect of crisis leadership</w:t>
      </w:r>
      <w:r w:rsidR="00F43F4C">
        <w:rPr>
          <w:rFonts w:cs="Arial"/>
          <w:szCs w:val="22"/>
        </w:rPr>
        <w:t xml:space="preserve">. </w:t>
      </w:r>
      <w:r w:rsidRPr="0011176D">
        <w:rPr>
          <w:rFonts w:cs="Arial"/>
          <w:szCs w:val="22"/>
        </w:rPr>
        <w:t xml:space="preserve">What was most needed was a system capable of </w:t>
      </w:r>
      <w:r w:rsidR="001A04B6" w:rsidRPr="0011176D">
        <w:rPr>
          <w:rFonts w:cs="Arial"/>
          <w:szCs w:val="22"/>
        </w:rPr>
        <w:t>centralizing</w:t>
      </w:r>
      <w:r w:rsidRPr="0011176D">
        <w:rPr>
          <w:rFonts w:cs="Arial"/>
          <w:szCs w:val="22"/>
        </w:rPr>
        <w:t xml:space="preserve"> the information and policy authority, but </w:t>
      </w:r>
      <w:r w:rsidR="001A04B6" w:rsidRPr="0011176D">
        <w:rPr>
          <w:rFonts w:cs="Arial"/>
          <w:szCs w:val="22"/>
        </w:rPr>
        <w:t>decentralizing</w:t>
      </w:r>
      <w:r w:rsidRPr="0011176D">
        <w:rPr>
          <w:rFonts w:cs="Arial"/>
          <w:szCs w:val="22"/>
        </w:rPr>
        <w:t xml:space="preserve"> the execution, as it would require agility. The future population health planning should involve the reforming of institutional design to provide transparent </w:t>
      </w:r>
      <w:r w:rsidR="001A04B6" w:rsidRPr="0011176D">
        <w:rPr>
          <w:rFonts w:cs="Arial"/>
          <w:szCs w:val="22"/>
        </w:rPr>
        <w:t>centralized</w:t>
      </w:r>
      <w:r w:rsidRPr="0011176D">
        <w:rPr>
          <w:rFonts w:cs="Arial"/>
          <w:szCs w:val="22"/>
        </w:rPr>
        <w:t xml:space="preserve"> powers to technocratic institutions to enable leaders to take decisive and transparent actions during further crises, with a critical balancing of the required pace with democratic and ethical accountability to provide both effective containment and civil </w:t>
      </w:r>
      <w:r w:rsidR="005D307E" w:rsidRPr="0011176D">
        <w:rPr>
          <w:rFonts w:cs="Arial"/>
          <w:szCs w:val="22"/>
        </w:rPr>
        <w:t>liberties</w:t>
      </w:r>
      <w:r w:rsidR="00F43F4C">
        <w:rPr>
          <w:rFonts w:cs="Arial"/>
          <w:szCs w:val="22"/>
        </w:rPr>
        <w:t>.</w:t>
      </w:r>
    </w:p>
    <w:p w14:paraId="308D1B98" w14:textId="67968E4C" w:rsidR="00F80CBB" w:rsidRPr="0011176D" w:rsidRDefault="00F80CBB" w:rsidP="0011176D">
      <w:pPr>
        <w:spacing w:before="240" w:after="240"/>
        <w:rPr>
          <w:rFonts w:cs="Arial"/>
          <w:szCs w:val="22"/>
        </w:rPr>
      </w:pPr>
    </w:p>
    <w:p w14:paraId="1303147D" w14:textId="77777777" w:rsidR="00F43F4C" w:rsidRDefault="00F43F4C">
      <w:pPr>
        <w:spacing w:line="240" w:lineRule="auto"/>
        <w:jc w:val="left"/>
        <w:rPr>
          <w:rFonts w:eastAsiaTheme="majorEastAsia" w:cs="Arial"/>
          <w:b/>
          <w:bCs/>
          <w:color w:val="0F4761" w:themeColor="accent1" w:themeShade="BF"/>
          <w:sz w:val="32"/>
          <w:szCs w:val="32"/>
        </w:rPr>
      </w:pPr>
      <w:r>
        <w:rPr>
          <w:rFonts w:cs="Arial"/>
          <w:b/>
          <w:bCs/>
          <w:szCs w:val="32"/>
        </w:rPr>
        <w:br w:type="page"/>
      </w:r>
    </w:p>
    <w:p w14:paraId="30685DED" w14:textId="2B4862CD" w:rsidR="002B7A7C" w:rsidRPr="0011176D" w:rsidRDefault="0023631D" w:rsidP="0011176D">
      <w:pPr>
        <w:pStyle w:val="Heading1"/>
        <w:rPr>
          <w:rFonts w:cs="Arial"/>
          <w:b/>
          <w:bCs/>
          <w:szCs w:val="32"/>
          <w:lang w:val="en-GB"/>
        </w:rPr>
      </w:pPr>
      <w:r w:rsidRPr="0011176D">
        <w:rPr>
          <w:rFonts w:cs="Arial"/>
          <w:b/>
          <w:bCs/>
          <w:szCs w:val="32"/>
        </w:rPr>
        <w:lastRenderedPageBreak/>
        <w:t xml:space="preserve">References </w:t>
      </w:r>
    </w:p>
    <w:p w14:paraId="67C4DCE2" w14:textId="77777777" w:rsidR="00F43F4C" w:rsidRPr="0011176D" w:rsidRDefault="00F43F4C" w:rsidP="00F43F4C">
      <w:pPr>
        <w:spacing w:before="240" w:after="240"/>
        <w:rPr>
          <w:rFonts w:cs="Arial"/>
          <w:szCs w:val="22"/>
          <w:lang w:val="en-GB"/>
        </w:rPr>
      </w:pPr>
    </w:p>
    <w:p w14:paraId="065AB2EE" w14:textId="77777777" w:rsidR="00F43F4C" w:rsidRPr="00F43F4C" w:rsidRDefault="00F43F4C" w:rsidP="00F43F4C">
      <w:pPr>
        <w:spacing w:before="240" w:after="240"/>
        <w:ind w:left="360"/>
        <w:rPr>
          <w:rFonts w:cs="Arial"/>
          <w:szCs w:val="22"/>
        </w:rPr>
      </w:pPr>
      <w:r w:rsidRPr="00F43F4C">
        <w:rPr>
          <w:rFonts w:cs="Arial"/>
          <w:szCs w:val="22"/>
        </w:rPr>
        <w:t>Anderson, T.L. (2022) Global Health Crises and Political Leadership: COVID-19 Case Studies. Oxford University Press, Oxford.</w:t>
      </w:r>
    </w:p>
    <w:p w14:paraId="608F0C5B" w14:textId="77777777" w:rsidR="00F43F4C" w:rsidRPr="00F43F4C" w:rsidRDefault="00F43F4C" w:rsidP="00F43F4C">
      <w:pPr>
        <w:spacing w:before="240" w:after="240"/>
        <w:ind w:left="360"/>
        <w:rPr>
          <w:rFonts w:cs="Arial"/>
          <w:szCs w:val="22"/>
        </w:rPr>
      </w:pPr>
      <w:r w:rsidRPr="00F43F4C">
        <w:rPr>
          <w:rFonts w:cs="Arial"/>
          <w:szCs w:val="22"/>
        </w:rPr>
        <w:t>Bae, Y. and Kim, M. (2022) ‘Public trust and compliance in South Korea’s COVID-19 response’, Asian Journal of Political Science, 30(2), pp. 145–160.</w:t>
      </w:r>
    </w:p>
    <w:p w14:paraId="6AD9EC3A" w14:textId="77777777" w:rsidR="00F43F4C" w:rsidRPr="00F43F4C" w:rsidRDefault="00F43F4C" w:rsidP="00F43F4C">
      <w:pPr>
        <w:spacing w:before="240" w:after="240"/>
        <w:ind w:left="360"/>
        <w:rPr>
          <w:rFonts w:cs="Arial"/>
          <w:szCs w:val="22"/>
        </w:rPr>
      </w:pPr>
      <w:r w:rsidRPr="00F43F4C">
        <w:rPr>
          <w:rFonts w:cs="Arial"/>
          <w:szCs w:val="22"/>
        </w:rPr>
        <w:t>Bennett, B. and Carney, T. (2020) ‘Law, regulation and pandemics: the public health law framework for COVID-19’, Journal of Law and Medicine, 27(4), pp. 789–800.</w:t>
      </w:r>
    </w:p>
    <w:p w14:paraId="45485FDC" w14:textId="77777777" w:rsidR="00F43F4C" w:rsidRPr="00F43F4C" w:rsidRDefault="00F43F4C" w:rsidP="00F43F4C">
      <w:pPr>
        <w:spacing w:before="240" w:after="240"/>
        <w:ind w:left="360"/>
        <w:rPr>
          <w:rFonts w:cs="Arial"/>
          <w:szCs w:val="22"/>
        </w:rPr>
      </w:pPr>
      <w:r w:rsidRPr="00F43F4C">
        <w:rPr>
          <w:rFonts w:cs="Arial"/>
          <w:szCs w:val="22"/>
        </w:rPr>
        <w:t>Choi, H. (2023) ‘Balancing public health and digital rights: the ethics of South Korea contact trace’, Journal of Medical Ethics, 49(5), pp. 345–351.</w:t>
      </w:r>
    </w:p>
    <w:p w14:paraId="04925F41" w14:textId="77777777" w:rsidR="00F43F4C" w:rsidRPr="00F43F4C" w:rsidRDefault="00F43F4C" w:rsidP="00F43F4C">
      <w:pPr>
        <w:spacing w:before="240" w:after="240"/>
        <w:ind w:left="360"/>
        <w:rPr>
          <w:rFonts w:cs="Arial"/>
          <w:szCs w:val="22"/>
        </w:rPr>
      </w:pPr>
      <w:r w:rsidRPr="00F43F4C">
        <w:rPr>
          <w:rFonts w:cs="Arial"/>
          <w:szCs w:val="22"/>
        </w:rPr>
        <w:t>Collins, R. and Thomas, S. (2021) ‘Health system resilience during COVID-19: lessons from OECD countries’, Health Policy, 125(9), pp. 1151–1160.</w:t>
      </w:r>
    </w:p>
    <w:p w14:paraId="7E5CFC67" w14:textId="77777777" w:rsidR="00F43F4C" w:rsidRPr="00F43F4C" w:rsidRDefault="00F43F4C" w:rsidP="00F43F4C">
      <w:pPr>
        <w:spacing w:before="240" w:after="240"/>
        <w:ind w:left="360"/>
        <w:rPr>
          <w:rFonts w:cs="Arial"/>
          <w:szCs w:val="22"/>
        </w:rPr>
      </w:pPr>
      <w:r w:rsidRPr="00F43F4C">
        <w:rPr>
          <w:rFonts w:cs="Arial"/>
          <w:szCs w:val="22"/>
        </w:rPr>
        <w:t>Dion, S. (2020) ‘Conflicting jurisdictions: the limits of federal leadership in the response to COVID-19 in Canada’, Canadian Public Policy, 46(4), pp. 475–492.</w:t>
      </w:r>
    </w:p>
    <w:p w14:paraId="504BF9AC" w14:textId="77777777" w:rsidR="00F43F4C" w:rsidRPr="00F43F4C" w:rsidRDefault="00F43F4C" w:rsidP="00F43F4C">
      <w:pPr>
        <w:spacing w:before="240" w:after="240"/>
        <w:ind w:left="360"/>
        <w:rPr>
          <w:rFonts w:cs="Arial"/>
          <w:szCs w:val="22"/>
        </w:rPr>
      </w:pPr>
      <w:r w:rsidRPr="00F43F4C">
        <w:rPr>
          <w:rFonts w:cs="Arial"/>
          <w:szCs w:val="22"/>
        </w:rPr>
        <w:t>European Centre for Disease Prevention and Control (ECDC) (2022) Overview of the COVID-19 Response in the EU/EEA and the UK. Stockholm: ECDC.</w:t>
      </w:r>
    </w:p>
    <w:p w14:paraId="0DB617E0" w14:textId="77777777" w:rsidR="00F43F4C" w:rsidRPr="00F43F4C" w:rsidRDefault="00F43F4C" w:rsidP="00F43F4C">
      <w:pPr>
        <w:spacing w:before="240" w:after="240"/>
        <w:ind w:left="360"/>
        <w:rPr>
          <w:rFonts w:cs="Arial"/>
          <w:szCs w:val="22"/>
        </w:rPr>
      </w:pPr>
      <w:r w:rsidRPr="00F43F4C">
        <w:rPr>
          <w:rFonts w:cs="Arial"/>
          <w:szCs w:val="22"/>
        </w:rPr>
        <w:t xml:space="preserve">Gagnon, B. and Smith, A. (2022) ‘Fiscal </w:t>
      </w:r>
      <w:proofErr w:type="spellStart"/>
      <w:r w:rsidRPr="00F43F4C">
        <w:rPr>
          <w:rFonts w:cs="Arial"/>
          <w:szCs w:val="22"/>
        </w:rPr>
        <w:t>centralisation</w:t>
      </w:r>
      <w:proofErr w:type="spellEnd"/>
      <w:r w:rsidRPr="00F43F4C">
        <w:rPr>
          <w:rFonts w:cs="Arial"/>
          <w:szCs w:val="22"/>
        </w:rPr>
        <w:t xml:space="preserve"> and </w:t>
      </w:r>
      <w:proofErr w:type="spellStart"/>
      <w:r w:rsidRPr="00F43F4C">
        <w:rPr>
          <w:rFonts w:cs="Arial"/>
          <w:szCs w:val="22"/>
        </w:rPr>
        <w:t>decentralised</w:t>
      </w:r>
      <w:proofErr w:type="spellEnd"/>
      <w:r w:rsidRPr="00F43F4C">
        <w:rPr>
          <w:rFonts w:cs="Arial"/>
          <w:szCs w:val="22"/>
        </w:rPr>
        <w:t xml:space="preserve"> health policy: lessons in Canada in pandemic safety net’, Governance, 35(1), pp. 165–182.</w:t>
      </w:r>
    </w:p>
    <w:p w14:paraId="1DBE9E6E" w14:textId="77777777" w:rsidR="00F43F4C" w:rsidRPr="00F43F4C" w:rsidRDefault="00F43F4C" w:rsidP="00F43F4C">
      <w:pPr>
        <w:spacing w:before="240" w:after="240"/>
        <w:ind w:left="360"/>
        <w:rPr>
          <w:rFonts w:cs="Arial"/>
          <w:szCs w:val="22"/>
        </w:rPr>
      </w:pPr>
      <w:r w:rsidRPr="00F43F4C">
        <w:rPr>
          <w:rFonts w:cs="Arial"/>
          <w:szCs w:val="22"/>
        </w:rPr>
        <w:t xml:space="preserve">Garcia, P., Almagro, C. and Montero, J. (2023) ‘Fragmentation and </w:t>
      </w:r>
      <w:proofErr w:type="spellStart"/>
      <w:r w:rsidRPr="00F43F4C">
        <w:rPr>
          <w:rFonts w:cs="Arial"/>
          <w:szCs w:val="22"/>
        </w:rPr>
        <w:t>centralisation</w:t>
      </w:r>
      <w:proofErr w:type="spellEnd"/>
      <w:r w:rsidRPr="00F43F4C">
        <w:rPr>
          <w:rFonts w:cs="Arial"/>
          <w:szCs w:val="22"/>
        </w:rPr>
        <w:t xml:space="preserve"> in a pandemic: the Spanish health system in face of COVID-19’, Health Policy, 12(3), pp. 45–61.</w:t>
      </w:r>
    </w:p>
    <w:p w14:paraId="34D0A253" w14:textId="77777777" w:rsidR="00F43F4C" w:rsidRPr="00F43F4C" w:rsidRDefault="00F43F4C" w:rsidP="00F43F4C">
      <w:pPr>
        <w:spacing w:before="240" w:after="240"/>
        <w:ind w:left="360"/>
        <w:rPr>
          <w:rFonts w:cs="Arial"/>
          <w:szCs w:val="22"/>
        </w:rPr>
      </w:pPr>
      <w:r w:rsidRPr="00F43F4C">
        <w:rPr>
          <w:rFonts w:cs="Arial"/>
          <w:szCs w:val="22"/>
        </w:rPr>
        <w:t>Hargreaves, S. and Kumar, B. (2021) ‘Public health leadership and decision-making during COVID-19: a global analysis’, Global Health Action, 14(1), pp. 189–204.</w:t>
      </w:r>
    </w:p>
    <w:p w14:paraId="42F0251E" w14:textId="77777777" w:rsidR="00F43F4C" w:rsidRPr="00F43F4C" w:rsidRDefault="00F43F4C" w:rsidP="00F43F4C">
      <w:pPr>
        <w:spacing w:before="240" w:after="240"/>
        <w:ind w:left="360"/>
        <w:rPr>
          <w:rFonts w:cs="Arial"/>
          <w:szCs w:val="22"/>
        </w:rPr>
      </w:pPr>
      <w:r w:rsidRPr="00F43F4C">
        <w:rPr>
          <w:rFonts w:cs="Arial"/>
          <w:szCs w:val="22"/>
        </w:rPr>
        <w:t>Hick, J. and Biddinger, P. (2020) ‘Novel coronavirus and old lessons — preparing the health system for the pandemic’, New England Journal of Medicine, 382(20), pp. e55–e60.</w:t>
      </w:r>
    </w:p>
    <w:p w14:paraId="11CCB702" w14:textId="77777777" w:rsidR="00F43F4C" w:rsidRPr="00F43F4C" w:rsidRDefault="00F43F4C" w:rsidP="00F43F4C">
      <w:pPr>
        <w:spacing w:before="240" w:after="240"/>
        <w:ind w:left="360"/>
        <w:rPr>
          <w:rFonts w:cs="Arial"/>
          <w:szCs w:val="22"/>
        </w:rPr>
      </w:pPr>
      <w:r w:rsidRPr="00F43F4C">
        <w:rPr>
          <w:rFonts w:cs="Arial"/>
          <w:szCs w:val="22"/>
        </w:rPr>
        <w:t xml:space="preserve">Jeong, E. and Kim, S. (2021) ‘Pandemic preparedness and the role of </w:t>
      </w:r>
      <w:proofErr w:type="spellStart"/>
      <w:r w:rsidRPr="00F43F4C">
        <w:rPr>
          <w:rFonts w:cs="Arial"/>
          <w:szCs w:val="22"/>
        </w:rPr>
        <w:t>centralised</w:t>
      </w:r>
      <w:proofErr w:type="spellEnd"/>
      <w:r w:rsidRPr="00F43F4C">
        <w:rPr>
          <w:rFonts w:cs="Arial"/>
          <w:szCs w:val="22"/>
        </w:rPr>
        <w:t xml:space="preserve"> disease control agencies: evidence from South Korea’, Asian Public Policy Review, 8(2), pp. 75–89.</w:t>
      </w:r>
    </w:p>
    <w:p w14:paraId="759589A9" w14:textId="77777777" w:rsidR="00F43F4C" w:rsidRPr="00F43F4C" w:rsidRDefault="00F43F4C" w:rsidP="00F43F4C">
      <w:pPr>
        <w:spacing w:before="240" w:after="240"/>
        <w:ind w:left="360"/>
        <w:rPr>
          <w:rFonts w:cs="Arial"/>
          <w:szCs w:val="22"/>
        </w:rPr>
      </w:pPr>
      <w:r w:rsidRPr="00F43F4C">
        <w:rPr>
          <w:rFonts w:cs="Arial"/>
          <w:szCs w:val="22"/>
        </w:rPr>
        <w:lastRenderedPageBreak/>
        <w:t xml:space="preserve">Kim, S. and Lee, J. (2021) ‘Technocracy and trust: </w:t>
      </w:r>
      <w:proofErr w:type="spellStart"/>
      <w:r w:rsidRPr="00F43F4C">
        <w:rPr>
          <w:rFonts w:cs="Arial"/>
          <w:szCs w:val="22"/>
        </w:rPr>
        <w:t>centralised</w:t>
      </w:r>
      <w:proofErr w:type="spellEnd"/>
      <w:r w:rsidRPr="00F43F4C">
        <w:rPr>
          <w:rFonts w:cs="Arial"/>
          <w:szCs w:val="22"/>
        </w:rPr>
        <w:t xml:space="preserve"> digital response to COVID-19 in South Korea’, The Lancet Public Health, 6(8), pp. e584–e592.</w:t>
      </w:r>
    </w:p>
    <w:p w14:paraId="04CF129B" w14:textId="77777777" w:rsidR="00F43F4C" w:rsidRPr="00F43F4C" w:rsidRDefault="00F43F4C" w:rsidP="00F43F4C">
      <w:pPr>
        <w:spacing w:before="240" w:after="240"/>
        <w:ind w:left="360"/>
        <w:rPr>
          <w:rFonts w:cs="Arial"/>
          <w:szCs w:val="22"/>
        </w:rPr>
      </w:pPr>
      <w:r w:rsidRPr="00F43F4C">
        <w:rPr>
          <w:rFonts w:cs="Arial"/>
          <w:szCs w:val="22"/>
        </w:rPr>
        <w:t>Lopez, A. and Martinez, R. (2022) ‘Logistical breakdown and political friction: resource allocation in Spanish COVID-19 response’, Public Administration Review, 82(2), pp. 290–305.</w:t>
      </w:r>
    </w:p>
    <w:p w14:paraId="170981AD" w14:textId="77777777" w:rsidR="00F43F4C" w:rsidRPr="00F43F4C" w:rsidRDefault="00F43F4C" w:rsidP="00F43F4C">
      <w:pPr>
        <w:spacing w:before="240" w:after="240"/>
        <w:ind w:left="360"/>
        <w:rPr>
          <w:rFonts w:cs="Arial"/>
          <w:szCs w:val="22"/>
        </w:rPr>
      </w:pPr>
      <w:r w:rsidRPr="00F43F4C">
        <w:rPr>
          <w:rFonts w:cs="Arial"/>
          <w:szCs w:val="22"/>
        </w:rPr>
        <w:t>Moon, M.J. and Kim, S. (2022) ‘Smart governance and digital innovation in Korea’s COVID-19 management’, Public Performance and Management Review, 45(4), pp. 873–892.</w:t>
      </w:r>
    </w:p>
    <w:p w14:paraId="62C09A9E" w14:textId="77777777" w:rsidR="00F43F4C" w:rsidRPr="00F43F4C" w:rsidRDefault="00F43F4C" w:rsidP="00F43F4C">
      <w:pPr>
        <w:spacing w:before="240" w:after="240"/>
        <w:ind w:left="360"/>
        <w:rPr>
          <w:rFonts w:cs="Arial"/>
          <w:szCs w:val="22"/>
        </w:rPr>
      </w:pPr>
      <w:r w:rsidRPr="00F43F4C">
        <w:rPr>
          <w:rFonts w:cs="Arial"/>
          <w:szCs w:val="22"/>
        </w:rPr>
        <w:t>OECD (2021) The COVID-19 Crisis and the Future of Health Systems: Lessons Learned. OECD Publishing, Paris.</w:t>
      </w:r>
    </w:p>
    <w:p w14:paraId="11F89843" w14:textId="77777777" w:rsidR="00F43F4C" w:rsidRPr="00F43F4C" w:rsidRDefault="00F43F4C" w:rsidP="00F43F4C">
      <w:pPr>
        <w:spacing w:before="240" w:after="240"/>
        <w:ind w:left="360"/>
        <w:rPr>
          <w:rFonts w:cs="Arial"/>
          <w:szCs w:val="22"/>
        </w:rPr>
      </w:pPr>
      <w:proofErr w:type="spellStart"/>
      <w:r w:rsidRPr="00F43F4C">
        <w:rPr>
          <w:rFonts w:cs="Arial"/>
          <w:szCs w:val="22"/>
        </w:rPr>
        <w:t>Organisation</w:t>
      </w:r>
      <w:proofErr w:type="spellEnd"/>
      <w:r w:rsidRPr="00F43F4C">
        <w:rPr>
          <w:rFonts w:cs="Arial"/>
          <w:szCs w:val="22"/>
        </w:rPr>
        <w:t xml:space="preserve"> for Economic Co-operation and Development (OECD) (2023) Health </w:t>
      </w:r>
      <w:proofErr w:type="gramStart"/>
      <w:r w:rsidRPr="00F43F4C">
        <w:rPr>
          <w:rFonts w:cs="Arial"/>
          <w:szCs w:val="22"/>
        </w:rPr>
        <w:t>at a Glance</w:t>
      </w:r>
      <w:proofErr w:type="gramEnd"/>
      <w:r w:rsidRPr="00F43F4C">
        <w:rPr>
          <w:rFonts w:cs="Arial"/>
          <w:szCs w:val="22"/>
        </w:rPr>
        <w:t xml:space="preserve"> 2023: OECD Indicators. Paris: OECD Publishing.</w:t>
      </w:r>
    </w:p>
    <w:p w14:paraId="08F5F54B" w14:textId="77777777" w:rsidR="00F43F4C" w:rsidRPr="00F43F4C" w:rsidRDefault="00F43F4C" w:rsidP="00F43F4C">
      <w:pPr>
        <w:spacing w:before="240" w:after="240"/>
        <w:ind w:left="360"/>
        <w:rPr>
          <w:rFonts w:cs="Arial"/>
          <w:szCs w:val="22"/>
        </w:rPr>
      </w:pPr>
      <w:r w:rsidRPr="00F43F4C">
        <w:rPr>
          <w:rFonts w:cs="Arial"/>
          <w:szCs w:val="22"/>
        </w:rPr>
        <w:t>Park, D. and Han, M. (2022) ‘Agility and transparency: the South Korean model of pandemic control’, Journal of Global Health, 12(1), pp. 12001–12010.</w:t>
      </w:r>
    </w:p>
    <w:p w14:paraId="5ED00580" w14:textId="77777777" w:rsidR="00F43F4C" w:rsidRPr="00F43F4C" w:rsidRDefault="00F43F4C" w:rsidP="00F43F4C">
      <w:pPr>
        <w:spacing w:before="240" w:after="240"/>
        <w:ind w:left="360"/>
        <w:rPr>
          <w:rFonts w:cs="Arial"/>
          <w:szCs w:val="22"/>
        </w:rPr>
      </w:pPr>
      <w:r w:rsidRPr="00F43F4C">
        <w:rPr>
          <w:rFonts w:cs="Arial"/>
          <w:szCs w:val="22"/>
        </w:rPr>
        <w:t>Phelan, A. and Katz, R. (2020) ‘Governance and leadership in pandemic response: balancing national sovereignty and global solidarity’, Public Health Reports, 135(1), pp. 18–25.</w:t>
      </w:r>
    </w:p>
    <w:p w14:paraId="6D6FF5BC" w14:textId="77777777" w:rsidR="00F43F4C" w:rsidRPr="00F43F4C" w:rsidRDefault="00F43F4C" w:rsidP="00F43F4C">
      <w:pPr>
        <w:spacing w:before="240" w:after="240"/>
        <w:ind w:left="360"/>
        <w:rPr>
          <w:rFonts w:cs="Arial"/>
          <w:szCs w:val="22"/>
        </w:rPr>
      </w:pPr>
      <w:r w:rsidRPr="00F43F4C">
        <w:rPr>
          <w:rFonts w:cs="Arial"/>
          <w:szCs w:val="22"/>
        </w:rPr>
        <w:t>Rodriguez, M. and Fernandez, C. (2021) ‘The autocratic shift: state of alarm in Spain and the ineffectiveness of inter-regional coordination’, European Journal of Public Health, 31(5), pp. 876–883.</w:t>
      </w:r>
    </w:p>
    <w:p w14:paraId="7B331F42" w14:textId="77777777" w:rsidR="00F43F4C" w:rsidRPr="00F43F4C" w:rsidRDefault="00F43F4C" w:rsidP="00F43F4C">
      <w:pPr>
        <w:spacing w:before="240" w:after="240"/>
        <w:ind w:left="360"/>
        <w:rPr>
          <w:rFonts w:cs="Arial"/>
          <w:szCs w:val="22"/>
        </w:rPr>
      </w:pPr>
      <w:r w:rsidRPr="00F43F4C">
        <w:rPr>
          <w:rFonts w:cs="Arial"/>
          <w:szCs w:val="22"/>
        </w:rPr>
        <w:t>Smith, K. and Brown, L. (2022) ‘Health system reforms and leadership under crisis conditions’, Journal of Health Management, 24(3), pp. 311–327.</w:t>
      </w:r>
    </w:p>
    <w:p w14:paraId="734331D1" w14:textId="77777777" w:rsidR="00F43F4C" w:rsidRPr="00F43F4C" w:rsidRDefault="00F43F4C" w:rsidP="00F43F4C">
      <w:pPr>
        <w:spacing w:before="240" w:after="240"/>
        <w:ind w:left="360"/>
        <w:rPr>
          <w:rFonts w:cs="Arial"/>
          <w:szCs w:val="22"/>
        </w:rPr>
      </w:pPr>
      <w:r w:rsidRPr="00F43F4C">
        <w:rPr>
          <w:rFonts w:cs="Arial"/>
          <w:szCs w:val="22"/>
        </w:rPr>
        <w:t>Taylor, M. and Wilson, P. (2021) ‘The Atlantic bubble and beyond: explaining policy variation in Canadian COVID-19 responses’, Journal of Health Politics, Policy and Law, 46(6), pp. 917–945.</w:t>
      </w:r>
    </w:p>
    <w:p w14:paraId="73DB0F17" w14:textId="77777777" w:rsidR="00F43F4C" w:rsidRPr="00F43F4C" w:rsidRDefault="00F43F4C" w:rsidP="00F43F4C">
      <w:pPr>
        <w:spacing w:before="240" w:after="240"/>
        <w:ind w:left="360"/>
        <w:rPr>
          <w:rFonts w:cs="Arial"/>
          <w:szCs w:val="22"/>
        </w:rPr>
      </w:pPr>
      <w:r w:rsidRPr="00F43F4C">
        <w:rPr>
          <w:rFonts w:cs="Arial"/>
          <w:szCs w:val="22"/>
        </w:rPr>
        <w:t xml:space="preserve">United Nations Development </w:t>
      </w:r>
      <w:proofErr w:type="spellStart"/>
      <w:r w:rsidRPr="00F43F4C">
        <w:rPr>
          <w:rFonts w:cs="Arial"/>
          <w:szCs w:val="22"/>
        </w:rPr>
        <w:t>Programme</w:t>
      </w:r>
      <w:proofErr w:type="spellEnd"/>
      <w:r w:rsidRPr="00F43F4C">
        <w:rPr>
          <w:rFonts w:cs="Arial"/>
          <w:szCs w:val="22"/>
        </w:rPr>
        <w:t xml:space="preserve"> (UNDP) (2021) COVID-19 and Human Development: Building Resilient Systems. New York: UNDP.</w:t>
      </w:r>
    </w:p>
    <w:p w14:paraId="35DEE269" w14:textId="77777777" w:rsidR="00F43F4C" w:rsidRPr="00F43F4C" w:rsidRDefault="00F43F4C" w:rsidP="00F43F4C">
      <w:pPr>
        <w:spacing w:before="240" w:after="240"/>
        <w:ind w:left="360"/>
        <w:rPr>
          <w:rFonts w:cs="Arial"/>
          <w:szCs w:val="22"/>
        </w:rPr>
      </w:pPr>
      <w:r w:rsidRPr="00F43F4C">
        <w:rPr>
          <w:rFonts w:cs="Arial"/>
          <w:szCs w:val="22"/>
        </w:rPr>
        <w:t>Villarreal, J. and Moreno, A. (2022) ‘</w:t>
      </w:r>
      <w:proofErr w:type="spellStart"/>
      <w:r w:rsidRPr="00F43F4C">
        <w:rPr>
          <w:rFonts w:cs="Arial"/>
          <w:szCs w:val="22"/>
        </w:rPr>
        <w:t>Decentralisation</w:t>
      </w:r>
      <w:proofErr w:type="spellEnd"/>
      <w:r w:rsidRPr="00F43F4C">
        <w:rPr>
          <w:rFonts w:cs="Arial"/>
          <w:szCs w:val="22"/>
        </w:rPr>
        <w:t>, governance, and pandemic resilience: Spain’s COVID-19 experience’, International Journal of Health Governance, 27(2), pp. 133–148.</w:t>
      </w:r>
    </w:p>
    <w:p w14:paraId="42A0B621" w14:textId="77777777" w:rsidR="00F43F4C" w:rsidRPr="00F43F4C" w:rsidRDefault="00F43F4C" w:rsidP="00F43F4C">
      <w:pPr>
        <w:spacing w:before="240" w:after="240"/>
        <w:ind w:left="360"/>
        <w:rPr>
          <w:rFonts w:cs="Arial"/>
          <w:szCs w:val="22"/>
        </w:rPr>
      </w:pPr>
      <w:r w:rsidRPr="00F43F4C">
        <w:rPr>
          <w:rFonts w:cs="Arial"/>
          <w:szCs w:val="22"/>
        </w:rPr>
        <w:lastRenderedPageBreak/>
        <w:t>Wang, Z. and Chen, J. (2021) ‘Leadership communication and crisis management: evidence from COVID-19’, International Journal of Public Leadership, 17(2), pp. 89–105.</w:t>
      </w:r>
    </w:p>
    <w:p w14:paraId="2A77DD9E" w14:textId="77777777" w:rsidR="00F43F4C" w:rsidRPr="00F43F4C" w:rsidRDefault="00F43F4C" w:rsidP="00F43F4C">
      <w:pPr>
        <w:spacing w:before="240" w:after="240"/>
        <w:ind w:left="360"/>
        <w:rPr>
          <w:rFonts w:cs="Arial"/>
          <w:szCs w:val="22"/>
        </w:rPr>
      </w:pPr>
      <w:r w:rsidRPr="00F43F4C">
        <w:rPr>
          <w:rFonts w:cs="Arial"/>
          <w:szCs w:val="22"/>
        </w:rPr>
        <w:t>World Bank (2022) Strengthening Health Systems Resilience during COVID-19: Policy Lessons for Future Crises. Washington, DC: World Bank.</w:t>
      </w:r>
    </w:p>
    <w:p w14:paraId="537DB0C4" w14:textId="77777777" w:rsidR="00F43F4C" w:rsidRPr="00F43F4C" w:rsidRDefault="00F43F4C" w:rsidP="00F43F4C">
      <w:pPr>
        <w:spacing w:before="240" w:after="240"/>
        <w:ind w:left="360"/>
        <w:rPr>
          <w:rFonts w:cs="Arial"/>
          <w:szCs w:val="22"/>
        </w:rPr>
      </w:pPr>
      <w:r w:rsidRPr="00F43F4C">
        <w:rPr>
          <w:rFonts w:cs="Arial"/>
          <w:szCs w:val="22"/>
        </w:rPr>
        <w:t>World Health Organization (WHO) (2021) COVID-19 Strategic Preparedness and Response Plan: 2021 Update. Geneva: WHO.</w:t>
      </w:r>
    </w:p>
    <w:p w14:paraId="17F33C27" w14:textId="77777777" w:rsidR="00F43F4C" w:rsidRPr="00F43F4C" w:rsidRDefault="00F43F4C" w:rsidP="00F43F4C">
      <w:pPr>
        <w:spacing w:before="240" w:after="240"/>
        <w:ind w:left="360"/>
        <w:rPr>
          <w:rFonts w:cs="Arial"/>
          <w:szCs w:val="22"/>
        </w:rPr>
      </w:pPr>
      <w:r w:rsidRPr="00F43F4C">
        <w:rPr>
          <w:rFonts w:cs="Arial"/>
          <w:szCs w:val="22"/>
        </w:rPr>
        <w:t>World Health Organization (WHO) (2022) Building Health System Resilience for Universal Health Coverage and Health Security during the COVID-19 Pandemic and Beyond. Geneva: WHO.</w:t>
      </w:r>
    </w:p>
    <w:p w14:paraId="69575BB0" w14:textId="77777777" w:rsidR="00F43F4C" w:rsidRPr="00F43F4C" w:rsidRDefault="00F43F4C" w:rsidP="00F43F4C">
      <w:pPr>
        <w:spacing w:before="240" w:after="240"/>
        <w:ind w:left="360"/>
        <w:rPr>
          <w:rFonts w:cs="Arial"/>
          <w:szCs w:val="22"/>
        </w:rPr>
      </w:pPr>
      <w:r w:rsidRPr="00F43F4C">
        <w:rPr>
          <w:rFonts w:cs="Arial"/>
          <w:szCs w:val="22"/>
        </w:rPr>
        <w:t>Yoon, D. and Park, J. (2023) ‘Digital governance and citizen participation in South Korea’s COVID-19 response’, Government Information Quarterly, 40(2), pp. 101–124.</w:t>
      </w:r>
    </w:p>
    <w:p w14:paraId="57655FA1" w14:textId="77777777" w:rsidR="00F43F4C" w:rsidRPr="00F43F4C" w:rsidRDefault="00F43F4C" w:rsidP="00F43F4C">
      <w:pPr>
        <w:spacing w:before="240" w:after="240"/>
        <w:ind w:left="360"/>
        <w:rPr>
          <w:rFonts w:cs="Arial"/>
          <w:szCs w:val="22"/>
        </w:rPr>
      </w:pPr>
      <w:r w:rsidRPr="00F43F4C">
        <w:rPr>
          <w:rFonts w:cs="Arial"/>
          <w:szCs w:val="22"/>
        </w:rPr>
        <w:t>Zhou, Y. and Liu, H. (2022) ‘Political leadership styles and pandemic outcomes: a comparative analysis’, Policy and Society, 41(3), pp. 310–329.</w:t>
      </w:r>
    </w:p>
    <w:sectPr w:rsidR="00F43F4C" w:rsidRPr="00F43F4C" w:rsidSect="00752B3E">
      <w:footerReference w:type="even" r:id="rId9"/>
      <w:foot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90264" w14:textId="77777777" w:rsidR="003C5F5B" w:rsidRDefault="003C5F5B" w:rsidP="00752B3E">
      <w:r>
        <w:separator/>
      </w:r>
    </w:p>
  </w:endnote>
  <w:endnote w:type="continuationSeparator" w:id="0">
    <w:p w14:paraId="55D67424" w14:textId="77777777" w:rsidR="003C5F5B" w:rsidRDefault="003C5F5B" w:rsidP="00752B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61001208"/>
      <w:docPartObj>
        <w:docPartGallery w:val="Page Numbers (Bottom of Page)"/>
        <w:docPartUnique/>
      </w:docPartObj>
    </w:sdtPr>
    <w:sdtContent>
      <w:p w14:paraId="26745882" w14:textId="77777777" w:rsidR="00752B3E" w:rsidRDefault="00752B3E" w:rsidP="003A0B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7427AD" w14:textId="77777777" w:rsidR="00752B3E" w:rsidRDefault="00752B3E" w:rsidP="00752B3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41228851"/>
      <w:docPartObj>
        <w:docPartGallery w:val="Page Numbers (Bottom of Page)"/>
        <w:docPartUnique/>
      </w:docPartObj>
    </w:sdtPr>
    <w:sdtContent>
      <w:p w14:paraId="077934C9" w14:textId="77777777" w:rsidR="00752B3E" w:rsidRDefault="00752B3E" w:rsidP="003A0B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FEAAFC0" w14:textId="77777777" w:rsidR="00752B3E" w:rsidRDefault="00752B3E" w:rsidP="00752B3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2DE5F9" w14:textId="77777777" w:rsidR="003C5F5B" w:rsidRDefault="003C5F5B" w:rsidP="00752B3E">
      <w:r>
        <w:separator/>
      </w:r>
    </w:p>
  </w:footnote>
  <w:footnote w:type="continuationSeparator" w:id="0">
    <w:p w14:paraId="0C3986AB" w14:textId="77777777" w:rsidR="003C5F5B" w:rsidRDefault="003C5F5B" w:rsidP="00752B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0F11E2"/>
    <w:multiLevelType w:val="hybridMultilevel"/>
    <w:tmpl w:val="5D5282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5AC4186"/>
    <w:multiLevelType w:val="hybridMultilevel"/>
    <w:tmpl w:val="E1286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13162156">
    <w:abstractNumId w:val="1"/>
  </w:num>
  <w:num w:numId="2" w16cid:durableId="2023966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31D"/>
    <w:rsid w:val="0003692F"/>
    <w:rsid w:val="00075F02"/>
    <w:rsid w:val="000F1789"/>
    <w:rsid w:val="0011176D"/>
    <w:rsid w:val="00163590"/>
    <w:rsid w:val="00167957"/>
    <w:rsid w:val="00170AF2"/>
    <w:rsid w:val="00187F72"/>
    <w:rsid w:val="001A04B6"/>
    <w:rsid w:val="001A22D2"/>
    <w:rsid w:val="001E7A7C"/>
    <w:rsid w:val="002058B6"/>
    <w:rsid w:val="0020676E"/>
    <w:rsid w:val="00216911"/>
    <w:rsid w:val="002340D3"/>
    <w:rsid w:val="0023631D"/>
    <w:rsid w:val="00240895"/>
    <w:rsid w:val="002B0608"/>
    <w:rsid w:val="002B27BF"/>
    <w:rsid w:val="002B45AD"/>
    <w:rsid w:val="002B7A7C"/>
    <w:rsid w:val="002E3242"/>
    <w:rsid w:val="00304088"/>
    <w:rsid w:val="00332A30"/>
    <w:rsid w:val="003C5F5B"/>
    <w:rsid w:val="003D187B"/>
    <w:rsid w:val="003D19F4"/>
    <w:rsid w:val="003F6D2C"/>
    <w:rsid w:val="00402875"/>
    <w:rsid w:val="004135FD"/>
    <w:rsid w:val="0042291E"/>
    <w:rsid w:val="004368DA"/>
    <w:rsid w:val="00442114"/>
    <w:rsid w:val="00474A6C"/>
    <w:rsid w:val="004A02B7"/>
    <w:rsid w:val="004D1262"/>
    <w:rsid w:val="004E4C0E"/>
    <w:rsid w:val="00502A79"/>
    <w:rsid w:val="00517036"/>
    <w:rsid w:val="0052480B"/>
    <w:rsid w:val="005371E7"/>
    <w:rsid w:val="0054588E"/>
    <w:rsid w:val="005467BA"/>
    <w:rsid w:val="005606F2"/>
    <w:rsid w:val="005631A3"/>
    <w:rsid w:val="00590F19"/>
    <w:rsid w:val="005D307E"/>
    <w:rsid w:val="005D421A"/>
    <w:rsid w:val="005E10A9"/>
    <w:rsid w:val="005F67AF"/>
    <w:rsid w:val="00634455"/>
    <w:rsid w:val="006465EB"/>
    <w:rsid w:val="00685DEE"/>
    <w:rsid w:val="0069427C"/>
    <w:rsid w:val="006C434F"/>
    <w:rsid w:val="006C71B3"/>
    <w:rsid w:val="006D7B56"/>
    <w:rsid w:val="0073127F"/>
    <w:rsid w:val="00736058"/>
    <w:rsid w:val="00752B3E"/>
    <w:rsid w:val="00772EE3"/>
    <w:rsid w:val="007E3E22"/>
    <w:rsid w:val="007E47E5"/>
    <w:rsid w:val="00803B57"/>
    <w:rsid w:val="00822BDB"/>
    <w:rsid w:val="00836E5D"/>
    <w:rsid w:val="00854BF1"/>
    <w:rsid w:val="0085709E"/>
    <w:rsid w:val="00874536"/>
    <w:rsid w:val="00876774"/>
    <w:rsid w:val="00880A6F"/>
    <w:rsid w:val="00882AA6"/>
    <w:rsid w:val="008905D6"/>
    <w:rsid w:val="008932D5"/>
    <w:rsid w:val="00922B19"/>
    <w:rsid w:val="009561BB"/>
    <w:rsid w:val="00981532"/>
    <w:rsid w:val="009A4F25"/>
    <w:rsid w:val="009A5A7D"/>
    <w:rsid w:val="009C2D1C"/>
    <w:rsid w:val="009C40B7"/>
    <w:rsid w:val="00A268D7"/>
    <w:rsid w:val="00A26A6A"/>
    <w:rsid w:val="00A32163"/>
    <w:rsid w:val="00A85B27"/>
    <w:rsid w:val="00A95295"/>
    <w:rsid w:val="00A953D8"/>
    <w:rsid w:val="00AD0B44"/>
    <w:rsid w:val="00AF04EC"/>
    <w:rsid w:val="00B32513"/>
    <w:rsid w:val="00BD7175"/>
    <w:rsid w:val="00C163BF"/>
    <w:rsid w:val="00C704E2"/>
    <w:rsid w:val="00CB68EC"/>
    <w:rsid w:val="00CE4794"/>
    <w:rsid w:val="00CE5BE7"/>
    <w:rsid w:val="00CF2268"/>
    <w:rsid w:val="00D009FA"/>
    <w:rsid w:val="00D65183"/>
    <w:rsid w:val="00DB3A97"/>
    <w:rsid w:val="00DE7895"/>
    <w:rsid w:val="00E044DD"/>
    <w:rsid w:val="00E1227A"/>
    <w:rsid w:val="00E30AF1"/>
    <w:rsid w:val="00E43DB1"/>
    <w:rsid w:val="00E5414F"/>
    <w:rsid w:val="00E55987"/>
    <w:rsid w:val="00E71BCA"/>
    <w:rsid w:val="00E9345D"/>
    <w:rsid w:val="00E959C1"/>
    <w:rsid w:val="00ED2AA3"/>
    <w:rsid w:val="00EE77A7"/>
    <w:rsid w:val="00F15B8E"/>
    <w:rsid w:val="00F30D5A"/>
    <w:rsid w:val="00F43F4C"/>
    <w:rsid w:val="00F63081"/>
    <w:rsid w:val="00F762D3"/>
    <w:rsid w:val="00F76E08"/>
    <w:rsid w:val="00F80CBB"/>
    <w:rsid w:val="00FB154C"/>
    <w:rsid w:val="00FD3FA4"/>
    <w:rsid w:val="00FE542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378E0A"/>
  <w15:chartTrackingRefBased/>
  <w15:docId w15:val="{3753760E-3373-EE41-9036-58497196B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US" w:eastAsia="en-US" w:bidi="bn-IN"/>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423"/>
    <w:pPr>
      <w:spacing w:line="360" w:lineRule="auto"/>
      <w:jc w:val="both"/>
    </w:pPr>
    <w:rPr>
      <w:rFonts w:ascii="Arial" w:hAnsi="Arial" w:cs="Vrinda"/>
      <w:sz w:val="22"/>
    </w:rPr>
  </w:style>
  <w:style w:type="paragraph" w:styleId="Heading1">
    <w:name w:val="heading 1"/>
    <w:basedOn w:val="Normal"/>
    <w:next w:val="Normal"/>
    <w:link w:val="Heading1Char"/>
    <w:uiPriority w:val="9"/>
    <w:qFormat/>
    <w:rsid w:val="0003692F"/>
    <w:pPr>
      <w:keepNext/>
      <w:keepLines/>
      <w:spacing w:before="360" w:after="80"/>
      <w:outlineLvl w:val="0"/>
    </w:pPr>
    <w:rPr>
      <w:rFonts w:eastAsiaTheme="majorEastAsia" w:cstheme="majorBidi"/>
      <w:color w:val="0F4761" w:themeColor="accent1" w:themeShade="BF"/>
      <w:sz w:val="32"/>
      <w:szCs w:val="50"/>
    </w:rPr>
  </w:style>
  <w:style w:type="paragraph" w:styleId="Heading2">
    <w:name w:val="heading 2"/>
    <w:basedOn w:val="Normal"/>
    <w:next w:val="Normal"/>
    <w:link w:val="Heading2Char"/>
    <w:uiPriority w:val="9"/>
    <w:unhideWhenUsed/>
    <w:qFormat/>
    <w:rsid w:val="008905D6"/>
    <w:pPr>
      <w:keepNext/>
      <w:keepLines/>
      <w:spacing w:before="160" w:after="80"/>
      <w:outlineLvl w:val="1"/>
    </w:pPr>
    <w:rPr>
      <w:rFonts w:eastAsiaTheme="majorEastAsia" w:cstheme="majorBidi"/>
      <w:color w:val="0F4761" w:themeColor="accent1" w:themeShade="BF"/>
      <w:sz w:val="28"/>
      <w:szCs w:val="40"/>
    </w:rPr>
  </w:style>
  <w:style w:type="paragraph" w:styleId="Heading3">
    <w:name w:val="heading 3"/>
    <w:basedOn w:val="Normal"/>
    <w:next w:val="Normal"/>
    <w:link w:val="Heading3Char"/>
    <w:uiPriority w:val="9"/>
    <w:unhideWhenUsed/>
    <w:qFormat/>
    <w:rsid w:val="0023631D"/>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unhideWhenUsed/>
    <w:qFormat/>
    <w:rsid w:val="002363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2363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23631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631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631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631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692F"/>
    <w:rPr>
      <w:rFonts w:ascii="Arial" w:eastAsiaTheme="majorEastAsia" w:hAnsi="Arial" w:cstheme="majorBidi"/>
      <w:color w:val="0F4761" w:themeColor="accent1" w:themeShade="BF"/>
      <w:sz w:val="32"/>
      <w:szCs w:val="50"/>
    </w:rPr>
  </w:style>
  <w:style w:type="character" w:customStyle="1" w:styleId="Heading2Char">
    <w:name w:val="Heading 2 Char"/>
    <w:basedOn w:val="DefaultParagraphFont"/>
    <w:link w:val="Heading2"/>
    <w:uiPriority w:val="9"/>
    <w:rsid w:val="008905D6"/>
    <w:rPr>
      <w:rFonts w:ascii="Arial" w:eastAsiaTheme="majorEastAsia" w:hAnsi="Arial" w:cstheme="majorBidi"/>
      <w:color w:val="0F4761" w:themeColor="accent1" w:themeShade="BF"/>
      <w:sz w:val="28"/>
      <w:szCs w:val="40"/>
    </w:rPr>
  </w:style>
  <w:style w:type="character" w:customStyle="1" w:styleId="Heading3Char">
    <w:name w:val="Heading 3 Char"/>
    <w:basedOn w:val="DefaultParagraphFont"/>
    <w:link w:val="Heading3"/>
    <w:uiPriority w:val="9"/>
    <w:rsid w:val="0023631D"/>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rsid w:val="002363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23631D"/>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2363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63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63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631D"/>
    <w:rPr>
      <w:rFonts w:eastAsiaTheme="majorEastAsia" w:cstheme="majorBidi"/>
      <w:color w:val="272727" w:themeColor="text1" w:themeTint="D8"/>
    </w:rPr>
  </w:style>
  <w:style w:type="paragraph" w:styleId="Title">
    <w:name w:val="Title"/>
    <w:basedOn w:val="Normal"/>
    <w:next w:val="Normal"/>
    <w:link w:val="TitleChar"/>
    <w:uiPriority w:val="10"/>
    <w:qFormat/>
    <w:rsid w:val="0023631D"/>
    <w:pPr>
      <w:spacing w:after="80"/>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23631D"/>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23631D"/>
    <w:pPr>
      <w:numPr>
        <w:ilvl w:val="1"/>
      </w:numPr>
      <w:spacing w:after="160"/>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23631D"/>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23631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3631D"/>
    <w:rPr>
      <w:rFonts w:cs="Vrinda"/>
      <w:i/>
      <w:iCs/>
      <w:color w:val="404040" w:themeColor="text1" w:themeTint="BF"/>
    </w:rPr>
  </w:style>
  <w:style w:type="paragraph" w:styleId="ListParagraph">
    <w:name w:val="List Paragraph"/>
    <w:basedOn w:val="Normal"/>
    <w:uiPriority w:val="34"/>
    <w:qFormat/>
    <w:rsid w:val="0023631D"/>
    <w:pPr>
      <w:ind w:left="720"/>
      <w:contextualSpacing/>
    </w:pPr>
  </w:style>
  <w:style w:type="character" w:styleId="IntenseEmphasis">
    <w:name w:val="Intense Emphasis"/>
    <w:basedOn w:val="DefaultParagraphFont"/>
    <w:uiPriority w:val="21"/>
    <w:qFormat/>
    <w:rsid w:val="0023631D"/>
    <w:rPr>
      <w:i/>
      <w:iCs/>
      <w:color w:val="0F4761" w:themeColor="accent1" w:themeShade="BF"/>
    </w:rPr>
  </w:style>
  <w:style w:type="paragraph" w:styleId="IntenseQuote">
    <w:name w:val="Intense Quote"/>
    <w:basedOn w:val="Normal"/>
    <w:next w:val="Normal"/>
    <w:link w:val="IntenseQuoteChar"/>
    <w:uiPriority w:val="30"/>
    <w:qFormat/>
    <w:rsid w:val="002363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631D"/>
    <w:rPr>
      <w:rFonts w:cs="Vrinda"/>
      <w:i/>
      <w:iCs/>
      <w:color w:val="0F4761" w:themeColor="accent1" w:themeShade="BF"/>
    </w:rPr>
  </w:style>
  <w:style w:type="character" w:styleId="IntenseReference">
    <w:name w:val="Intense Reference"/>
    <w:basedOn w:val="DefaultParagraphFont"/>
    <w:uiPriority w:val="32"/>
    <w:qFormat/>
    <w:rsid w:val="0023631D"/>
    <w:rPr>
      <w:b/>
      <w:bCs/>
      <w:smallCaps/>
      <w:color w:val="0F4761" w:themeColor="accent1" w:themeShade="BF"/>
      <w:spacing w:val="5"/>
    </w:rPr>
  </w:style>
  <w:style w:type="paragraph" w:styleId="TOC1">
    <w:name w:val="toc 1"/>
    <w:basedOn w:val="Normal"/>
    <w:next w:val="Normal"/>
    <w:autoRedefine/>
    <w:uiPriority w:val="39"/>
    <w:unhideWhenUsed/>
    <w:rsid w:val="0023631D"/>
    <w:pPr>
      <w:spacing w:before="360" w:after="360"/>
    </w:pPr>
    <w:rPr>
      <w:b/>
      <w:bCs/>
      <w:caps/>
      <w:szCs w:val="22"/>
      <w:u w:val="single"/>
    </w:rPr>
  </w:style>
  <w:style w:type="paragraph" w:styleId="TOC2">
    <w:name w:val="toc 2"/>
    <w:basedOn w:val="Normal"/>
    <w:next w:val="Normal"/>
    <w:autoRedefine/>
    <w:uiPriority w:val="39"/>
    <w:unhideWhenUsed/>
    <w:rsid w:val="0023631D"/>
    <w:rPr>
      <w:b/>
      <w:bCs/>
      <w:smallCaps/>
      <w:szCs w:val="22"/>
    </w:rPr>
  </w:style>
  <w:style w:type="paragraph" w:styleId="TOC3">
    <w:name w:val="toc 3"/>
    <w:basedOn w:val="Normal"/>
    <w:next w:val="Normal"/>
    <w:autoRedefine/>
    <w:uiPriority w:val="39"/>
    <w:unhideWhenUsed/>
    <w:rsid w:val="0023631D"/>
    <w:rPr>
      <w:smallCaps/>
      <w:szCs w:val="22"/>
    </w:rPr>
  </w:style>
  <w:style w:type="paragraph" w:styleId="TOC4">
    <w:name w:val="toc 4"/>
    <w:basedOn w:val="Normal"/>
    <w:next w:val="Normal"/>
    <w:autoRedefine/>
    <w:uiPriority w:val="39"/>
    <w:unhideWhenUsed/>
    <w:rsid w:val="0023631D"/>
    <w:rPr>
      <w:szCs w:val="22"/>
    </w:rPr>
  </w:style>
  <w:style w:type="paragraph" w:styleId="TOC5">
    <w:name w:val="toc 5"/>
    <w:basedOn w:val="Normal"/>
    <w:next w:val="Normal"/>
    <w:autoRedefine/>
    <w:uiPriority w:val="39"/>
    <w:unhideWhenUsed/>
    <w:rsid w:val="0023631D"/>
    <w:rPr>
      <w:szCs w:val="22"/>
    </w:rPr>
  </w:style>
  <w:style w:type="paragraph" w:styleId="TOC6">
    <w:name w:val="toc 6"/>
    <w:basedOn w:val="Normal"/>
    <w:next w:val="Normal"/>
    <w:autoRedefine/>
    <w:uiPriority w:val="39"/>
    <w:unhideWhenUsed/>
    <w:rsid w:val="0023631D"/>
    <w:rPr>
      <w:szCs w:val="22"/>
    </w:rPr>
  </w:style>
  <w:style w:type="paragraph" w:styleId="TOC7">
    <w:name w:val="toc 7"/>
    <w:basedOn w:val="Normal"/>
    <w:next w:val="Normal"/>
    <w:autoRedefine/>
    <w:uiPriority w:val="39"/>
    <w:unhideWhenUsed/>
    <w:rsid w:val="0023631D"/>
    <w:rPr>
      <w:szCs w:val="22"/>
    </w:rPr>
  </w:style>
  <w:style w:type="paragraph" w:styleId="TOC8">
    <w:name w:val="toc 8"/>
    <w:basedOn w:val="Normal"/>
    <w:next w:val="Normal"/>
    <w:autoRedefine/>
    <w:uiPriority w:val="39"/>
    <w:unhideWhenUsed/>
    <w:rsid w:val="0023631D"/>
    <w:rPr>
      <w:szCs w:val="22"/>
    </w:rPr>
  </w:style>
  <w:style w:type="paragraph" w:styleId="TOC9">
    <w:name w:val="toc 9"/>
    <w:basedOn w:val="Normal"/>
    <w:next w:val="Normal"/>
    <w:autoRedefine/>
    <w:uiPriority w:val="39"/>
    <w:unhideWhenUsed/>
    <w:rsid w:val="0023631D"/>
    <w:rPr>
      <w:szCs w:val="22"/>
    </w:rPr>
  </w:style>
  <w:style w:type="character" w:styleId="Hyperlink">
    <w:name w:val="Hyperlink"/>
    <w:basedOn w:val="DefaultParagraphFont"/>
    <w:uiPriority w:val="99"/>
    <w:unhideWhenUsed/>
    <w:rsid w:val="0023631D"/>
    <w:rPr>
      <w:color w:val="467886" w:themeColor="hyperlink"/>
      <w:u w:val="single"/>
    </w:rPr>
  </w:style>
  <w:style w:type="paragraph" w:styleId="NormalWeb">
    <w:name w:val="Normal (Web)"/>
    <w:basedOn w:val="Normal"/>
    <w:uiPriority w:val="99"/>
    <w:semiHidden/>
    <w:unhideWhenUsed/>
    <w:rsid w:val="0023631D"/>
    <w:pPr>
      <w:spacing w:before="100" w:beforeAutospacing="1" w:after="100" w:afterAutospacing="1"/>
    </w:pPr>
    <w:rPr>
      <w:rFonts w:ascii="Times New Roman" w:eastAsia="Times New Roman" w:hAnsi="Times New Roman" w:cs="Times New Roman"/>
      <w:kern w:val="0"/>
      <w:szCs w:val="24"/>
      <w14:ligatures w14:val="none"/>
    </w:rPr>
  </w:style>
  <w:style w:type="character" w:styleId="Strong">
    <w:name w:val="Strong"/>
    <w:basedOn w:val="DefaultParagraphFont"/>
    <w:uiPriority w:val="22"/>
    <w:qFormat/>
    <w:rsid w:val="0023631D"/>
    <w:rPr>
      <w:b/>
      <w:bCs/>
    </w:rPr>
  </w:style>
  <w:style w:type="paragraph" w:styleId="Footer">
    <w:name w:val="footer"/>
    <w:basedOn w:val="Normal"/>
    <w:link w:val="FooterChar"/>
    <w:uiPriority w:val="99"/>
    <w:unhideWhenUsed/>
    <w:rsid w:val="00752B3E"/>
    <w:pPr>
      <w:tabs>
        <w:tab w:val="center" w:pos="4680"/>
        <w:tab w:val="right" w:pos="9360"/>
      </w:tabs>
    </w:pPr>
  </w:style>
  <w:style w:type="character" w:customStyle="1" w:styleId="FooterChar">
    <w:name w:val="Footer Char"/>
    <w:basedOn w:val="DefaultParagraphFont"/>
    <w:link w:val="Footer"/>
    <w:uiPriority w:val="99"/>
    <w:rsid w:val="00752B3E"/>
    <w:rPr>
      <w:rFonts w:cs="Vrinda"/>
    </w:rPr>
  </w:style>
  <w:style w:type="character" w:styleId="PageNumber">
    <w:name w:val="page number"/>
    <w:basedOn w:val="DefaultParagraphFont"/>
    <w:uiPriority w:val="99"/>
    <w:semiHidden/>
    <w:unhideWhenUsed/>
    <w:rsid w:val="00752B3E"/>
  </w:style>
  <w:style w:type="paragraph" w:styleId="TOCHeading">
    <w:name w:val="TOC Heading"/>
    <w:basedOn w:val="Heading1"/>
    <w:next w:val="Normal"/>
    <w:uiPriority w:val="39"/>
    <w:unhideWhenUsed/>
    <w:qFormat/>
    <w:rsid w:val="00752B3E"/>
    <w:pPr>
      <w:spacing w:before="480" w:after="0" w:line="276" w:lineRule="auto"/>
      <w:outlineLvl w:val="9"/>
    </w:pPr>
    <w:rPr>
      <w:b/>
      <w:bCs/>
      <w:kern w:val="0"/>
      <w:sz w:val="28"/>
      <w:szCs w:val="28"/>
      <w:lang w:bidi="ar-SA"/>
      <w14:ligatures w14:val="none"/>
    </w:rPr>
  </w:style>
  <w:style w:type="paragraph" w:styleId="Header">
    <w:name w:val="header"/>
    <w:basedOn w:val="Normal"/>
    <w:link w:val="HeaderChar"/>
    <w:uiPriority w:val="99"/>
    <w:semiHidden/>
    <w:unhideWhenUsed/>
    <w:rsid w:val="00FD3FA4"/>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FD3FA4"/>
    <w:rPr>
      <w:rFonts w:ascii="Arial" w:hAnsi="Arial" w:cs="Vrind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3959">
      <w:bodyDiv w:val="1"/>
      <w:marLeft w:val="0"/>
      <w:marRight w:val="0"/>
      <w:marTop w:val="0"/>
      <w:marBottom w:val="0"/>
      <w:divBdr>
        <w:top w:val="none" w:sz="0" w:space="0" w:color="auto"/>
        <w:left w:val="none" w:sz="0" w:space="0" w:color="auto"/>
        <w:bottom w:val="none" w:sz="0" w:space="0" w:color="auto"/>
        <w:right w:val="none" w:sz="0" w:space="0" w:color="auto"/>
      </w:divBdr>
    </w:div>
    <w:div w:id="75055439">
      <w:bodyDiv w:val="1"/>
      <w:marLeft w:val="0"/>
      <w:marRight w:val="0"/>
      <w:marTop w:val="0"/>
      <w:marBottom w:val="0"/>
      <w:divBdr>
        <w:top w:val="none" w:sz="0" w:space="0" w:color="auto"/>
        <w:left w:val="none" w:sz="0" w:space="0" w:color="auto"/>
        <w:bottom w:val="none" w:sz="0" w:space="0" w:color="auto"/>
        <w:right w:val="none" w:sz="0" w:space="0" w:color="auto"/>
      </w:divBdr>
    </w:div>
    <w:div w:id="113057546">
      <w:bodyDiv w:val="1"/>
      <w:marLeft w:val="0"/>
      <w:marRight w:val="0"/>
      <w:marTop w:val="0"/>
      <w:marBottom w:val="0"/>
      <w:divBdr>
        <w:top w:val="none" w:sz="0" w:space="0" w:color="auto"/>
        <w:left w:val="none" w:sz="0" w:space="0" w:color="auto"/>
        <w:bottom w:val="none" w:sz="0" w:space="0" w:color="auto"/>
        <w:right w:val="none" w:sz="0" w:space="0" w:color="auto"/>
      </w:divBdr>
    </w:div>
    <w:div w:id="295794623">
      <w:bodyDiv w:val="1"/>
      <w:marLeft w:val="0"/>
      <w:marRight w:val="0"/>
      <w:marTop w:val="0"/>
      <w:marBottom w:val="0"/>
      <w:divBdr>
        <w:top w:val="none" w:sz="0" w:space="0" w:color="auto"/>
        <w:left w:val="none" w:sz="0" w:space="0" w:color="auto"/>
        <w:bottom w:val="none" w:sz="0" w:space="0" w:color="auto"/>
        <w:right w:val="none" w:sz="0" w:space="0" w:color="auto"/>
      </w:divBdr>
    </w:div>
    <w:div w:id="359017246">
      <w:bodyDiv w:val="1"/>
      <w:marLeft w:val="0"/>
      <w:marRight w:val="0"/>
      <w:marTop w:val="0"/>
      <w:marBottom w:val="0"/>
      <w:divBdr>
        <w:top w:val="none" w:sz="0" w:space="0" w:color="auto"/>
        <w:left w:val="none" w:sz="0" w:space="0" w:color="auto"/>
        <w:bottom w:val="none" w:sz="0" w:space="0" w:color="auto"/>
        <w:right w:val="none" w:sz="0" w:space="0" w:color="auto"/>
      </w:divBdr>
    </w:div>
    <w:div w:id="628784718">
      <w:bodyDiv w:val="1"/>
      <w:marLeft w:val="0"/>
      <w:marRight w:val="0"/>
      <w:marTop w:val="0"/>
      <w:marBottom w:val="0"/>
      <w:divBdr>
        <w:top w:val="none" w:sz="0" w:space="0" w:color="auto"/>
        <w:left w:val="none" w:sz="0" w:space="0" w:color="auto"/>
        <w:bottom w:val="none" w:sz="0" w:space="0" w:color="auto"/>
        <w:right w:val="none" w:sz="0" w:space="0" w:color="auto"/>
      </w:divBdr>
    </w:div>
    <w:div w:id="1019500684">
      <w:bodyDiv w:val="1"/>
      <w:marLeft w:val="0"/>
      <w:marRight w:val="0"/>
      <w:marTop w:val="0"/>
      <w:marBottom w:val="0"/>
      <w:divBdr>
        <w:top w:val="none" w:sz="0" w:space="0" w:color="auto"/>
        <w:left w:val="none" w:sz="0" w:space="0" w:color="auto"/>
        <w:bottom w:val="none" w:sz="0" w:space="0" w:color="auto"/>
        <w:right w:val="none" w:sz="0" w:space="0" w:color="auto"/>
      </w:divBdr>
    </w:div>
    <w:div w:id="1648245237">
      <w:bodyDiv w:val="1"/>
      <w:marLeft w:val="0"/>
      <w:marRight w:val="0"/>
      <w:marTop w:val="0"/>
      <w:marBottom w:val="0"/>
      <w:divBdr>
        <w:top w:val="none" w:sz="0" w:space="0" w:color="auto"/>
        <w:left w:val="none" w:sz="0" w:space="0" w:color="auto"/>
        <w:bottom w:val="none" w:sz="0" w:space="0" w:color="auto"/>
        <w:right w:val="none" w:sz="0" w:space="0" w:color="auto"/>
      </w:divBdr>
    </w:div>
    <w:div w:id="1688020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6B338-63FF-A241-B55E-ADA3C84DA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9748</TotalTime>
  <Pages>19</Pages>
  <Words>6614</Words>
  <Characters>37703</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44229</CharactersWithSpaces>
  <SharedDoc>false</SharedDoc>
  <HLinks>
    <vt:vector size="42" baseType="variant">
      <vt:variant>
        <vt:i4>1572925</vt:i4>
      </vt:variant>
      <vt:variant>
        <vt:i4>38</vt:i4>
      </vt:variant>
      <vt:variant>
        <vt:i4>0</vt:i4>
      </vt:variant>
      <vt:variant>
        <vt:i4>5</vt:i4>
      </vt:variant>
      <vt:variant>
        <vt:lpwstr/>
      </vt:variant>
      <vt:variant>
        <vt:lpwstr>_Toc213284487</vt:lpwstr>
      </vt:variant>
      <vt:variant>
        <vt:i4>1572925</vt:i4>
      </vt:variant>
      <vt:variant>
        <vt:i4>32</vt:i4>
      </vt:variant>
      <vt:variant>
        <vt:i4>0</vt:i4>
      </vt:variant>
      <vt:variant>
        <vt:i4>5</vt:i4>
      </vt:variant>
      <vt:variant>
        <vt:lpwstr/>
      </vt:variant>
      <vt:variant>
        <vt:lpwstr>_Toc213284486</vt:lpwstr>
      </vt:variant>
      <vt:variant>
        <vt:i4>1572925</vt:i4>
      </vt:variant>
      <vt:variant>
        <vt:i4>26</vt:i4>
      </vt:variant>
      <vt:variant>
        <vt:i4>0</vt:i4>
      </vt:variant>
      <vt:variant>
        <vt:i4>5</vt:i4>
      </vt:variant>
      <vt:variant>
        <vt:lpwstr/>
      </vt:variant>
      <vt:variant>
        <vt:lpwstr>_Toc213284485</vt:lpwstr>
      </vt:variant>
      <vt:variant>
        <vt:i4>1572925</vt:i4>
      </vt:variant>
      <vt:variant>
        <vt:i4>20</vt:i4>
      </vt:variant>
      <vt:variant>
        <vt:i4>0</vt:i4>
      </vt:variant>
      <vt:variant>
        <vt:i4>5</vt:i4>
      </vt:variant>
      <vt:variant>
        <vt:lpwstr/>
      </vt:variant>
      <vt:variant>
        <vt:lpwstr>_Toc213284484</vt:lpwstr>
      </vt:variant>
      <vt:variant>
        <vt:i4>1572925</vt:i4>
      </vt:variant>
      <vt:variant>
        <vt:i4>14</vt:i4>
      </vt:variant>
      <vt:variant>
        <vt:i4>0</vt:i4>
      </vt:variant>
      <vt:variant>
        <vt:i4>5</vt:i4>
      </vt:variant>
      <vt:variant>
        <vt:lpwstr/>
      </vt:variant>
      <vt:variant>
        <vt:lpwstr>_Toc213284483</vt:lpwstr>
      </vt:variant>
      <vt:variant>
        <vt:i4>1572925</vt:i4>
      </vt:variant>
      <vt:variant>
        <vt:i4>8</vt:i4>
      </vt:variant>
      <vt:variant>
        <vt:i4>0</vt:i4>
      </vt:variant>
      <vt:variant>
        <vt:i4>5</vt:i4>
      </vt:variant>
      <vt:variant>
        <vt:lpwstr/>
      </vt:variant>
      <vt:variant>
        <vt:lpwstr>_Toc213284482</vt:lpwstr>
      </vt:variant>
      <vt:variant>
        <vt:i4>1572925</vt:i4>
      </vt:variant>
      <vt:variant>
        <vt:i4>2</vt:i4>
      </vt:variant>
      <vt:variant>
        <vt:i4>0</vt:i4>
      </vt:variant>
      <vt:variant>
        <vt:i4>5</vt:i4>
      </vt:variant>
      <vt:variant>
        <vt:lpwstr/>
      </vt:variant>
      <vt:variant>
        <vt:lpwstr>_Toc213284481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Ramona Moreanu (2213248)</cp:lastModifiedBy>
  <cp:revision>62</cp:revision>
  <dcterms:created xsi:type="dcterms:W3CDTF">2025-11-21T15:06:00Z</dcterms:created>
  <dcterms:modified xsi:type="dcterms:W3CDTF">2025-12-15T08:50:00Z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d59f5049-49c4-4eeb-9d3a-423f41c9b832</vt:lpwstr>
  </property>
</Properties>
</file>