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B68E62" w14:textId="77777777" w:rsidR="0024028D" w:rsidRPr="0024028D" w:rsidRDefault="0024028D" w:rsidP="0024028D">
      <w:pPr>
        <w:rPr>
          <w:b/>
          <w:bCs/>
          <w:u w:val="single"/>
        </w:rPr>
      </w:pPr>
      <w:r w:rsidRPr="0024028D">
        <w:rPr>
          <w:b/>
          <w:bCs/>
          <w:u w:val="single"/>
        </w:rPr>
        <w:t>Police Armament in the UK: Key Themes and Data Analysis</w:t>
      </w:r>
    </w:p>
    <w:p w14:paraId="1880F928" w14:textId="77777777" w:rsidR="0024028D" w:rsidRPr="0024028D" w:rsidRDefault="0024028D" w:rsidP="0024028D"/>
    <w:p w14:paraId="26E325CF" w14:textId="77777777" w:rsidR="0024028D" w:rsidRPr="0024028D" w:rsidRDefault="0024028D" w:rsidP="0024028D">
      <w:r w:rsidRPr="0024028D">
        <w:t>This section synthesises the main themes from the literature on police armament in the UK, examining statistical data and evaluating conflicting viewpoints.</w:t>
      </w:r>
    </w:p>
    <w:p w14:paraId="732E4B77" w14:textId="77777777" w:rsidR="0024028D" w:rsidRPr="0024028D" w:rsidRDefault="0024028D" w:rsidP="0024028D"/>
    <w:p w14:paraId="18F78B79" w14:textId="6DC6C260" w:rsidR="0024028D" w:rsidRPr="0024028D" w:rsidRDefault="0024028D" w:rsidP="0024028D">
      <w:pPr>
        <w:rPr>
          <w:b/>
          <w:bCs/>
        </w:rPr>
      </w:pPr>
      <w:r w:rsidRPr="0024028D">
        <w:rPr>
          <w:b/>
          <w:bCs/>
        </w:rPr>
        <w:t>Historical Continuity vs. Modern Challenges</w:t>
      </w:r>
      <w:r>
        <w:rPr>
          <w:b/>
          <w:bCs/>
        </w:rPr>
        <w:t>.</w:t>
      </w:r>
    </w:p>
    <w:p w14:paraId="6BAE5F4C" w14:textId="027B3548" w:rsidR="0024028D" w:rsidRPr="0024028D" w:rsidRDefault="0024028D" w:rsidP="0024028D">
      <w:r w:rsidRPr="0024028D">
        <w:t>A central theme in th</w:t>
      </w:r>
      <w:r>
        <w:t>is</w:t>
      </w:r>
      <w:r w:rsidRPr="0024028D">
        <w:t xml:space="preserve"> literature is the tension between the UK’s tradition of unarmed policing and contemporary security demands. Reiner (2010) highlights the cultural importance of “policing by consent,” while Balestrini (2021) suggests adapting to modern risks. This divide forms the core of the debate on whether UK police should remain unarmed.</w:t>
      </w:r>
    </w:p>
    <w:p w14:paraId="1B8AC53F" w14:textId="77777777" w:rsidR="0024028D" w:rsidRPr="0024028D" w:rsidRDefault="0024028D" w:rsidP="0024028D"/>
    <w:p w14:paraId="4C44E70A" w14:textId="7D1BC6AC" w:rsidR="0024028D" w:rsidRPr="0024028D" w:rsidRDefault="0024028D" w:rsidP="0024028D">
      <w:pPr>
        <w:rPr>
          <w:b/>
          <w:bCs/>
        </w:rPr>
      </w:pPr>
      <w:r w:rsidRPr="0024028D">
        <w:rPr>
          <w:b/>
          <w:bCs/>
        </w:rPr>
        <w:t>Regional Variations</w:t>
      </w:r>
      <w:r>
        <w:rPr>
          <w:b/>
          <w:bCs/>
        </w:rPr>
        <w:t>.</w:t>
      </w:r>
    </w:p>
    <w:p w14:paraId="0A604CB8" w14:textId="77777777" w:rsidR="0024028D" w:rsidRPr="0024028D" w:rsidRDefault="0024028D" w:rsidP="0024028D">
      <w:r w:rsidRPr="0024028D">
        <w:t>Regional differences significantly shape the discourse on police armament. Rogers (2013) notes that rural areas, such as Welsh communities, show more resistance to armed policing compared to urban regions, reflecting distinct local values and attitudes across the UK.</w:t>
      </w:r>
    </w:p>
    <w:p w14:paraId="2B6BD968" w14:textId="77777777" w:rsidR="0024028D" w:rsidRPr="0024028D" w:rsidRDefault="0024028D" w:rsidP="0024028D">
      <w:pPr>
        <w:rPr>
          <w:b/>
          <w:bCs/>
        </w:rPr>
      </w:pPr>
    </w:p>
    <w:p w14:paraId="46129045" w14:textId="2DA1A09B" w:rsidR="0024028D" w:rsidRPr="0024028D" w:rsidRDefault="0024028D" w:rsidP="0024028D">
      <w:pPr>
        <w:rPr>
          <w:b/>
          <w:bCs/>
        </w:rPr>
      </w:pPr>
      <w:r w:rsidRPr="0024028D">
        <w:rPr>
          <w:b/>
          <w:bCs/>
        </w:rPr>
        <w:t>Impact on Crime Rates</w:t>
      </w:r>
      <w:r>
        <w:rPr>
          <w:b/>
          <w:bCs/>
        </w:rPr>
        <w:t>.</w:t>
      </w:r>
    </w:p>
    <w:p w14:paraId="51356F12" w14:textId="77777777" w:rsidR="0024028D" w:rsidRPr="0024028D" w:rsidRDefault="0024028D" w:rsidP="0024028D">
      <w:r w:rsidRPr="0024028D">
        <w:t>The question of whether arming all officers would reduce crime lacks a clear answer. While some argue that armed police deter violent crime, UK-specific data challenges this notion. The Home Office (2024) reported a 1% decrease in crime without significant changes to police armament. Similarly, London’s 5% reduction in knife crime in 2022/23 was attributed to targeted strategies rather than increased armed presence (Metropolitan Police, 2023). In Wales, where armed police are less common, a 3% drop in crime suggests factors beyond armament—such as socio-economic conditions—play crucial roles.</w:t>
      </w:r>
    </w:p>
    <w:p w14:paraId="09F2F4BC" w14:textId="77777777" w:rsidR="0024028D" w:rsidRPr="0024028D" w:rsidRDefault="0024028D" w:rsidP="0024028D"/>
    <w:p w14:paraId="48A3990D" w14:textId="77777777" w:rsidR="0024028D" w:rsidRPr="0024028D" w:rsidRDefault="0024028D" w:rsidP="0024028D">
      <w:r w:rsidRPr="0024028D">
        <w:t>International research, such as Koper and Roth’s (2021) study across 20 countries, also indicates that community policing and social services, rather than armament, are more effective in reducing crime.</w:t>
      </w:r>
    </w:p>
    <w:p w14:paraId="47336FDF" w14:textId="77777777" w:rsidR="0024028D" w:rsidRPr="0024028D" w:rsidRDefault="0024028D" w:rsidP="0024028D"/>
    <w:p w14:paraId="0D2C780E" w14:textId="2C9B3858" w:rsidR="0024028D" w:rsidRPr="0024028D" w:rsidRDefault="0024028D" w:rsidP="0024028D">
      <w:pPr>
        <w:rPr>
          <w:b/>
          <w:bCs/>
        </w:rPr>
      </w:pPr>
      <w:r w:rsidRPr="0024028D">
        <w:rPr>
          <w:b/>
          <w:bCs/>
        </w:rPr>
        <w:t>Impact on Community Relations</w:t>
      </w:r>
      <w:r>
        <w:rPr>
          <w:b/>
          <w:bCs/>
        </w:rPr>
        <w:t>.</w:t>
      </w:r>
    </w:p>
    <w:p w14:paraId="7E067A23" w14:textId="77777777" w:rsidR="0024028D" w:rsidRPr="0024028D" w:rsidRDefault="0024028D" w:rsidP="0024028D">
      <w:r w:rsidRPr="0024028D">
        <w:t xml:space="preserve">Arming police can affect community trust. </w:t>
      </w:r>
      <w:proofErr w:type="spellStart"/>
      <w:r w:rsidRPr="0024028D">
        <w:t>Yesberg</w:t>
      </w:r>
      <w:proofErr w:type="spellEnd"/>
      <w:r w:rsidRPr="0024028D">
        <w:t xml:space="preserve"> et al. (2022) found that visible armed police can increase public anxiety, potentially harming police-community relations. While some believe armed officers deter crime (Card &amp; DiNardo, 2002), Squires and Kennison (2022) warn that armament may escalate force incidents, complicating public perceptions of police.</w:t>
      </w:r>
    </w:p>
    <w:p w14:paraId="598894BD" w14:textId="77777777" w:rsidR="0024028D" w:rsidRPr="0024028D" w:rsidRDefault="0024028D" w:rsidP="0024028D"/>
    <w:p w14:paraId="6543E590" w14:textId="77777777" w:rsidR="0024028D" w:rsidRDefault="0024028D" w:rsidP="0024028D">
      <w:pPr>
        <w:rPr>
          <w:b/>
          <w:bCs/>
        </w:rPr>
      </w:pPr>
    </w:p>
    <w:p w14:paraId="15337433" w14:textId="77777777" w:rsidR="0024028D" w:rsidRDefault="0024028D" w:rsidP="0024028D">
      <w:pPr>
        <w:rPr>
          <w:b/>
          <w:bCs/>
        </w:rPr>
      </w:pPr>
    </w:p>
    <w:p w14:paraId="236DAC8E" w14:textId="78CABFF8" w:rsidR="0024028D" w:rsidRPr="0024028D" w:rsidRDefault="0024028D" w:rsidP="0024028D">
      <w:pPr>
        <w:rPr>
          <w:b/>
          <w:bCs/>
        </w:rPr>
      </w:pPr>
      <w:r w:rsidRPr="0024028D">
        <w:rPr>
          <w:b/>
          <w:bCs/>
        </w:rPr>
        <w:lastRenderedPageBreak/>
        <w:t>Policing Strategies and Effectiveness</w:t>
      </w:r>
      <w:r>
        <w:rPr>
          <w:b/>
          <w:bCs/>
        </w:rPr>
        <w:t>.</w:t>
      </w:r>
    </w:p>
    <w:p w14:paraId="41817650" w14:textId="77777777" w:rsidR="0024028D" w:rsidRPr="0024028D" w:rsidRDefault="0024028D" w:rsidP="0024028D">
      <w:r w:rsidRPr="0024028D">
        <w:t>UK policing employs a tiered approach, combining unarmed policing with specialised armed units. Bacon (2022) praises this system for its flexibility, as seen in the Home Office’s (2024) data showing minimal firearm discharge despite increased armed operations. Internationally, Zimring (2019) contrasts the UK’s low lethal force rates with the US, where police are routinely armed. Norway’s model, where firearms are kept in vehicles, also offers an alternative to continuous armed patrols (Hendy &amp; Packham, 2023).</w:t>
      </w:r>
    </w:p>
    <w:p w14:paraId="1EA4B3C8" w14:textId="77777777" w:rsidR="0024028D" w:rsidRPr="0024028D" w:rsidRDefault="0024028D" w:rsidP="0024028D"/>
    <w:p w14:paraId="2F91B588" w14:textId="77777777" w:rsidR="0024028D" w:rsidRPr="0024028D" w:rsidRDefault="0024028D" w:rsidP="0024028D">
      <w:r w:rsidRPr="0024028D">
        <w:t>Welsh policing exemplifies the UK’s unarmed tradition, with Jones and Lister (2019) noting that Welsh communities favour community-based approaches. The 2023 South Wales Police survey shows only 23% support for increased armament, with a preference for community policing and prevention investments.</w:t>
      </w:r>
    </w:p>
    <w:p w14:paraId="03EDECE4" w14:textId="77777777" w:rsidR="0024028D" w:rsidRPr="0024028D" w:rsidRDefault="0024028D" w:rsidP="0024028D"/>
    <w:p w14:paraId="3E8851C1" w14:textId="36F1B696" w:rsidR="0024028D" w:rsidRPr="0024028D" w:rsidRDefault="0024028D" w:rsidP="0024028D">
      <w:pPr>
        <w:rPr>
          <w:b/>
          <w:bCs/>
        </w:rPr>
      </w:pPr>
      <w:r w:rsidRPr="0024028D">
        <w:rPr>
          <w:b/>
          <w:bCs/>
        </w:rPr>
        <w:t>Police Firearm Use and Incidents</w:t>
      </w:r>
      <w:r>
        <w:rPr>
          <w:b/>
          <w:bCs/>
        </w:rPr>
        <w:t>.</w:t>
      </w:r>
    </w:p>
    <w:p w14:paraId="0EB52744" w14:textId="77777777" w:rsidR="0024028D" w:rsidRPr="0024028D" w:rsidRDefault="0024028D" w:rsidP="0024028D">
      <w:r w:rsidRPr="0024028D">
        <w:t>The UK’s low rate of firearm discharge (0.01% of operations) underscores the rarity of lethal force in UK policing (Home Office, 2024). This is particularly true in Wales, where armed operations vary significantly, with Gwent’s 50 operations per 100,000 contrasting with Dyfed-Powys’s 19 (Home Office, 2024). The consistent use of Armed Response Vehicles (ARVs) raises questions about this model’s suitability, especially in rural areas with longer response times (Bacon, 2022).</w:t>
      </w:r>
    </w:p>
    <w:p w14:paraId="56B0207C" w14:textId="77777777" w:rsidR="0024028D" w:rsidRPr="0024028D" w:rsidRDefault="0024028D" w:rsidP="0024028D"/>
    <w:p w14:paraId="3DDB2B82" w14:textId="77777777" w:rsidR="0024028D" w:rsidRPr="0024028D" w:rsidRDefault="0024028D" w:rsidP="0024028D">
      <w:r w:rsidRPr="0024028D">
        <w:t>The trend of fewer armed officers amid rising police numbers suggests a policy commitment to unarmed policing (National Police Chiefs’ Council, 2024). However, the correlation between high armed operations and socio-economic deprivation (Welsh Government, 2023) reveals how external factors influence policing needs.</w:t>
      </w:r>
    </w:p>
    <w:p w14:paraId="1C20FABD" w14:textId="77777777" w:rsidR="0024028D" w:rsidRPr="0024028D" w:rsidRDefault="0024028D" w:rsidP="0024028D"/>
    <w:p w14:paraId="040E8B7F" w14:textId="71F67BB2" w:rsidR="0024028D" w:rsidRPr="0024028D" w:rsidRDefault="0024028D" w:rsidP="0024028D">
      <w:pPr>
        <w:rPr>
          <w:b/>
          <w:bCs/>
        </w:rPr>
      </w:pPr>
      <w:r w:rsidRPr="0024028D">
        <w:rPr>
          <w:b/>
          <w:bCs/>
        </w:rPr>
        <w:t>Public Order and Protest Policing</w:t>
      </w:r>
      <w:r>
        <w:rPr>
          <w:b/>
          <w:bCs/>
        </w:rPr>
        <w:t>.</w:t>
      </w:r>
    </w:p>
    <w:p w14:paraId="3D0A29FB" w14:textId="77777777" w:rsidR="0024028D" w:rsidRPr="0024028D" w:rsidRDefault="0024028D" w:rsidP="0024028D">
      <w:r w:rsidRPr="0024028D">
        <w:t>Rising public order offences and protests challenge unarmed policing. In 2020/21, public order offences in England and Wales rose by 6%, with Cardiff experiencing multiple protests (Home Office, 2021). Reiner (2010) emphasises the importance of legitimacy in policing public order, warning that visible armed police in peaceful Welsh areas could damage community trust.</w:t>
      </w:r>
    </w:p>
    <w:p w14:paraId="49F9476B" w14:textId="77777777" w:rsidR="0024028D" w:rsidRPr="0024028D" w:rsidRDefault="0024028D" w:rsidP="0024028D"/>
    <w:p w14:paraId="7B35A76A" w14:textId="77777777" w:rsidR="0024028D" w:rsidRPr="0024028D" w:rsidRDefault="0024028D" w:rsidP="0024028D">
      <w:r w:rsidRPr="0024028D">
        <w:t>The “flashpoint” model by Waddington et al. (1989) remains relevant, as recent Welsh police efforts have successfully used non-armed tactics to de-escalate protests. However, the quick mobilisation of groups via social media may demand new approaches.</w:t>
      </w:r>
    </w:p>
    <w:p w14:paraId="54647BA7" w14:textId="77777777" w:rsidR="0024028D" w:rsidRPr="0024028D" w:rsidRDefault="0024028D" w:rsidP="0024028D"/>
    <w:p w14:paraId="4DED3EDD" w14:textId="17F44863" w:rsidR="0024028D" w:rsidRPr="0024028D" w:rsidRDefault="0024028D" w:rsidP="0024028D">
      <w:pPr>
        <w:rPr>
          <w:b/>
          <w:bCs/>
        </w:rPr>
      </w:pPr>
      <w:r w:rsidRPr="0024028D">
        <w:rPr>
          <w:b/>
          <w:bCs/>
        </w:rPr>
        <w:t>Football Hooliganism</w:t>
      </w:r>
      <w:r>
        <w:rPr>
          <w:b/>
          <w:bCs/>
        </w:rPr>
        <w:t>.</w:t>
      </w:r>
    </w:p>
    <w:p w14:paraId="21918312" w14:textId="77777777" w:rsidR="0024028D" w:rsidRPr="0024028D" w:rsidRDefault="0024028D" w:rsidP="0024028D">
      <w:r w:rsidRPr="0024028D">
        <w:t xml:space="preserve">Football-related disorder remains a challenge for UK policing, with 1,308 arrests in the 2021/22 season, including incidents involving Welsh clubs (UK Football Policing Unit, 2022). Rod E. Stott </w:t>
      </w:r>
      <w:r w:rsidRPr="0024028D">
        <w:lastRenderedPageBreak/>
        <w:t>and Pearson (2007) argue that the crowd dynamic in sports can escalate tensions, suggesting that mass police, especially if armed, might worsen hostilities. In Wales, this crowd dynamic is handled effectively through a model prioritising communication over force (Reicher et al., 2004), which aligns with the community-focused approach in Welsh policing.</w:t>
      </w:r>
    </w:p>
    <w:p w14:paraId="665E1AC2" w14:textId="77777777" w:rsidR="0024028D" w:rsidRPr="0024028D" w:rsidRDefault="0024028D" w:rsidP="0024028D"/>
    <w:p w14:paraId="769A5F9B" w14:textId="1189C706" w:rsidR="0024028D" w:rsidRPr="0024028D" w:rsidRDefault="0024028D" w:rsidP="0024028D">
      <w:pPr>
        <w:rPr>
          <w:b/>
          <w:bCs/>
        </w:rPr>
      </w:pPr>
      <w:r w:rsidRPr="0024028D">
        <w:rPr>
          <w:b/>
          <w:bCs/>
        </w:rPr>
        <w:t>Mental Health-Related Incidents</w:t>
      </w:r>
      <w:r>
        <w:rPr>
          <w:b/>
          <w:bCs/>
        </w:rPr>
        <w:t>.</w:t>
      </w:r>
    </w:p>
    <w:p w14:paraId="1B52AD2E" w14:textId="77777777" w:rsidR="0024028D" w:rsidRPr="0024028D" w:rsidRDefault="0024028D" w:rsidP="0024028D">
      <w:r w:rsidRPr="0024028D">
        <w:t xml:space="preserve">Mental health crises increasingly occupy police resources, with an estimated 20-40% of police callouts in England and Wales involving mental health issues (College of Policing, 2023). </w:t>
      </w:r>
      <w:proofErr w:type="spellStart"/>
      <w:r w:rsidRPr="0024028D">
        <w:t>Teplin’s</w:t>
      </w:r>
      <w:proofErr w:type="spellEnd"/>
      <w:r w:rsidRPr="0024028D">
        <w:t xml:space="preserve"> (2000) research suggests this reflects gaps in community mental health services, positioning police as default responders. Kesic et al. (2013) </w:t>
      </w:r>
      <w:proofErr w:type="gramStart"/>
      <w:r w:rsidRPr="0024028D">
        <w:t>note</w:t>
      </w:r>
      <w:proofErr w:type="gramEnd"/>
      <w:r w:rsidRPr="0024028D">
        <w:t xml:space="preserve"> the risk of escalation when armed police handle mental health crises, adding complexity to the discussion on routine armament.</w:t>
      </w:r>
    </w:p>
    <w:p w14:paraId="4DCA7887" w14:textId="77777777" w:rsidR="0024028D" w:rsidRPr="0024028D" w:rsidRDefault="0024028D" w:rsidP="0024028D"/>
    <w:p w14:paraId="791C64D8" w14:textId="2DE6985B" w:rsidR="0024028D" w:rsidRPr="0024028D" w:rsidRDefault="0024028D" w:rsidP="0024028D">
      <w:r w:rsidRPr="0024028D">
        <w:t xml:space="preserve">In Wales, where armed response is less common, police maintain a community-based approach even in mental health crises. This is partly due to the historically lower levels of armed operations compared to England, reinforcing a non-armed response to these unpredictable </w:t>
      </w:r>
      <w:r>
        <w:t>situations.</w:t>
      </w:r>
    </w:p>
    <w:p w14:paraId="5DBA58FE" w14:textId="77777777" w:rsidR="0024028D" w:rsidRPr="0024028D" w:rsidRDefault="0024028D" w:rsidP="0024028D"/>
    <w:p w14:paraId="50F4E509" w14:textId="77777777" w:rsidR="0024028D" w:rsidRPr="0024028D" w:rsidRDefault="0024028D" w:rsidP="0024028D">
      <w:r w:rsidRPr="0024028D">
        <w:t>The analysis reveals that while Wales has successfully adapted to modern policing needs with minimal reliance on arms, evolving public order threats and rising mental health calls continue to challenge traditional models. The rarity of armed police incidents and low self-defence claims involving firearms (Crown Prosecution Service, 2023) suggest that an unarmed approach remains effective for community trust and crime prevention. However, as Jackson and Bradford (2024) argue, a nuanced, evidence-based approach is necessary to respond to diverse regional needs.</w:t>
      </w:r>
    </w:p>
    <w:p w14:paraId="5E035F29" w14:textId="77777777" w:rsidR="0024028D" w:rsidRPr="0024028D" w:rsidRDefault="0024028D" w:rsidP="0024028D"/>
    <w:p w14:paraId="4266A061" w14:textId="77777777" w:rsidR="0024028D" w:rsidRPr="0024028D" w:rsidRDefault="0024028D" w:rsidP="0024028D">
      <w:r w:rsidRPr="0024028D">
        <w:t>In Wales, preserving the principles of minimal force and community trust while maintaining readiness for critical incidents exemplifies the balance between tradition and adaptability. As public safety needs evolve, Welsh policing strategies must also adapt, prioritising procedural justice (Tyler, 2004) to protect and serve communities effectively.</w:t>
      </w:r>
    </w:p>
    <w:p w14:paraId="6D05B268" w14:textId="77777777" w:rsidR="0004629D" w:rsidRDefault="0004629D"/>
    <w:sectPr w:rsidR="000462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912"/>
    <w:rsid w:val="0004629D"/>
    <w:rsid w:val="00085635"/>
    <w:rsid w:val="0024028D"/>
    <w:rsid w:val="006149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0C14F"/>
  <w15:chartTrackingRefBased/>
  <w15:docId w15:val="{873DAB5E-9DE3-4092-8ECF-4FE41FA9E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49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49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49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49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49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49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49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49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49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49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149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49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49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49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49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49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49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4912"/>
    <w:rPr>
      <w:rFonts w:eastAsiaTheme="majorEastAsia" w:cstheme="majorBidi"/>
      <w:color w:val="272727" w:themeColor="text1" w:themeTint="D8"/>
    </w:rPr>
  </w:style>
  <w:style w:type="paragraph" w:styleId="Title">
    <w:name w:val="Title"/>
    <w:basedOn w:val="Normal"/>
    <w:next w:val="Normal"/>
    <w:link w:val="TitleChar"/>
    <w:uiPriority w:val="10"/>
    <w:qFormat/>
    <w:rsid w:val="006149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49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49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49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4912"/>
    <w:pPr>
      <w:spacing w:before="160"/>
      <w:jc w:val="center"/>
    </w:pPr>
    <w:rPr>
      <w:i/>
      <w:iCs/>
      <w:color w:val="404040" w:themeColor="text1" w:themeTint="BF"/>
    </w:rPr>
  </w:style>
  <w:style w:type="character" w:customStyle="1" w:styleId="QuoteChar">
    <w:name w:val="Quote Char"/>
    <w:basedOn w:val="DefaultParagraphFont"/>
    <w:link w:val="Quote"/>
    <w:uiPriority w:val="29"/>
    <w:rsid w:val="00614912"/>
    <w:rPr>
      <w:i/>
      <w:iCs/>
      <w:color w:val="404040" w:themeColor="text1" w:themeTint="BF"/>
    </w:rPr>
  </w:style>
  <w:style w:type="paragraph" w:styleId="ListParagraph">
    <w:name w:val="List Paragraph"/>
    <w:basedOn w:val="Normal"/>
    <w:uiPriority w:val="34"/>
    <w:qFormat/>
    <w:rsid w:val="00614912"/>
    <w:pPr>
      <w:ind w:left="720"/>
      <w:contextualSpacing/>
    </w:pPr>
  </w:style>
  <w:style w:type="character" w:styleId="IntenseEmphasis">
    <w:name w:val="Intense Emphasis"/>
    <w:basedOn w:val="DefaultParagraphFont"/>
    <w:uiPriority w:val="21"/>
    <w:qFormat/>
    <w:rsid w:val="00614912"/>
    <w:rPr>
      <w:i/>
      <w:iCs/>
      <w:color w:val="0F4761" w:themeColor="accent1" w:themeShade="BF"/>
    </w:rPr>
  </w:style>
  <w:style w:type="paragraph" w:styleId="IntenseQuote">
    <w:name w:val="Intense Quote"/>
    <w:basedOn w:val="Normal"/>
    <w:next w:val="Normal"/>
    <w:link w:val="IntenseQuoteChar"/>
    <w:uiPriority w:val="30"/>
    <w:qFormat/>
    <w:rsid w:val="006149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4912"/>
    <w:rPr>
      <w:i/>
      <w:iCs/>
      <w:color w:val="0F4761" w:themeColor="accent1" w:themeShade="BF"/>
    </w:rPr>
  </w:style>
  <w:style w:type="character" w:styleId="IntenseReference">
    <w:name w:val="Intense Reference"/>
    <w:basedOn w:val="DefaultParagraphFont"/>
    <w:uiPriority w:val="32"/>
    <w:qFormat/>
    <w:rsid w:val="00614912"/>
    <w:rPr>
      <w:b/>
      <w:bCs/>
      <w:smallCaps/>
      <w:color w:val="0F4761" w:themeColor="accent1" w:themeShade="BF"/>
      <w:spacing w:val="5"/>
    </w:rPr>
  </w:style>
  <w:style w:type="paragraph" w:customStyle="1" w:styleId="OBEBibliography">
    <w:name w:val="OBE Bibliography"/>
    <w:basedOn w:val="Normal"/>
    <w:qFormat/>
    <w:rsid w:val="00614912"/>
    <w:pPr>
      <w:suppressAutoHyphens/>
      <w:spacing w:after="240" w:line="240" w:lineRule="auto"/>
      <w:jc w:val="both"/>
    </w:pPr>
    <w:rPr>
      <w:rFonts w:ascii="Calibri" w:eastAsia="Calibri" w:hAnsi="Calibri" w:cs="Times New Roman"/>
      <w:color w:val="00000A"/>
      <w:sz w:val="24"/>
      <w:lang w:val="en-US"/>
      <w14:ligatures w14:val="none"/>
    </w:rPr>
  </w:style>
  <w:style w:type="paragraph" w:customStyle="1" w:styleId="OBESubtitle2ndtier">
    <w:name w:val="OBE Subtitle 2nd tier"/>
    <w:link w:val="OBESubtitle2ndtierChar"/>
    <w:qFormat/>
    <w:rsid w:val="00614912"/>
    <w:pPr>
      <w:outlineLvl w:val="1"/>
    </w:pPr>
    <w:rPr>
      <w:rFonts w:asciiTheme="majorHAnsi" w:eastAsiaTheme="minorEastAsia" w:hAnsiTheme="majorHAnsi" w:cstheme="majorHAnsi"/>
      <w:i/>
      <w:color w:val="000000" w:themeColor="text1"/>
      <w:kern w:val="0"/>
      <w:sz w:val="28"/>
      <w:szCs w:val="36"/>
      <w:u w:val="single"/>
      <w14:ligatures w14:val="none"/>
    </w:rPr>
  </w:style>
  <w:style w:type="character" w:customStyle="1" w:styleId="OBESubtitle2ndtierChar">
    <w:name w:val="OBE Subtitle 2nd tier Char"/>
    <w:basedOn w:val="DefaultParagraphFont"/>
    <w:link w:val="OBESubtitle2ndtier"/>
    <w:rsid w:val="00614912"/>
    <w:rPr>
      <w:rFonts w:asciiTheme="majorHAnsi" w:eastAsiaTheme="minorEastAsia" w:hAnsiTheme="majorHAnsi" w:cstheme="majorHAnsi"/>
      <w:i/>
      <w:color w:val="000000" w:themeColor="text1"/>
      <w:kern w:val="0"/>
      <w:sz w:val="28"/>
      <w:szCs w:val="36"/>
      <w:u w:val="single"/>
      <w14:ligatures w14:val="none"/>
    </w:rPr>
  </w:style>
  <w:style w:type="paragraph" w:customStyle="1" w:styleId="OBESubtitle3rdtier">
    <w:name w:val="OBE Subtitle 3rd tier"/>
    <w:qFormat/>
    <w:rsid w:val="00614912"/>
    <w:pPr>
      <w:outlineLvl w:val="2"/>
    </w:pPr>
    <w:rPr>
      <w:rFonts w:eastAsiaTheme="minorEastAsia" w:cstheme="minorHAnsi"/>
      <w:i/>
      <w:kern w:val="0"/>
      <w:sz w:val="24"/>
      <w:szCs w:val="24"/>
      <w:u w:val="single"/>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53138494">
      <w:bodyDiv w:val="1"/>
      <w:marLeft w:val="0"/>
      <w:marRight w:val="0"/>
      <w:marTop w:val="0"/>
      <w:marBottom w:val="0"/>
      <w:divBdr>
        <w:top w:val="none" w:sz="0" w:space="0" w:color="auto"/>
        <w:left w:val="none" w:sz="0" w:space="0" w:color="auto"/>
        <w:bottom w:val="none" w:sz="0" w:space="0" w:color="auto"/>
        <w:right w:val="none" w:sz="0" w:space="0" w:color="auto"/>
      </w:divBdr>
    </w:div>
    <w:div w:id="1472671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3</Pages>
  <Words>1007</Words>
  <Characters>5742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Jones,Garry swp8308</dc:creator>
  <cp:keywords/>
  <dc:description/>
  <cp:lastModifiedBy>Jones,Garry swp8308</cp:lastModifiedBy>
  <cp:revision>1</cp:revision>
  <dcterms:created xsi:type="dcterms:W3CDTF">2024-11-03T13:35:00Z</dcterms:created>
  <dcterms:modified xsi:type="dcterms:W3CDTF">2024-11-03T13:52:00Z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2024-11-03T13:52:05Z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24727771-150e-4916-a392-d7a086b0d5be</vt:lpwstr>
  </property>
  <property fmtid="{D5CDD505-2E9C-101B-9397-08002B2CF9AE}" pid="8" name="MSIP_Label_66cf8fe5-b7b7-4df7-b38d-1c61ac2f6639_ContentBits">
    <vt:lpwstr>0</vt:lpwstr>
  </property>
</Properties>
</file>