
<file path=[Content_Types].xml><?xml version="1.0" encoding="utf-8"?>
<Types xmlns="http://schemas.openxmlformats.org/package/2006/content-types">
  <Default Extension="png" ContentType="image/png"/>
  <Default Extension="emf" ContentType="image/x-emf"/>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BD630A" w14:textId="77777777" w:rsidR="00613924" w:rsidRPr="00093DDF" w:rsidRDefault="00613924" w:rsidP="00093DDF">
      <w:pPr>
        <w:spacing w:line="360" w:lineRule="auto"/>
        <w:rPr>
          <w:rFonts w:ascii="Arial" w:hAnsi="Arial" w:cs="Arial"/>
        </w:rPr>
      </w:pPr>
      <w:r w:rsidRPr="00093DDF">
        <w:rPr>
          <w:rFonts w:ascii="Arial" w:hAnsi="Arial" w:cs="Arial"/>
          <w:noProof/>
          <w:lang w:val="en-US"/>
        </w:rPr>
        <w:drawing>
          <wp:inline distT="0" distB="0" distL="0" distR="0" wp14:anchorId="33A6F24A" wp14:editId="26A9C18C">
            <wp:extent cx="3200317" cy="638355"/>
            <wp:effectExtent l="0" t="0" r="635" b="9525"/>
            <wp:docPr id="1" name="Picture 1" descr="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21/2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0906" cy="650440"/>
                    </a:xfrm>
                    <a:prstGeom prst="rect">
                      <a:avLst/>
                    </a:prstGeom>
                    <a:noFill/>
                    <a:ln>
                      <a:noFill/>
                    </a:ln>
                  </pic:spPr>
                </pic:pic>
              </a:graphicData>
            </a:graphic>
          </wp:inline>
        </w:drawing>
      </w:r>
    </w:p>
    <w:p w14:paraId="338D4AA1" w14:textId="77777777" w:rsidR="00613924" w:rsidRPr="00093DDF" w:rsidRDefault="00613924" w:rsidP="00093DDF">
      <w:pPr>
        <w:spacing w:line="360" w:lineRule="auto"/>
        <w:rPr>
          <w:rFonts w:ascii="Arial" w:hAnsi="Arial" w:cs="Arial"/>
        </w:rPr>
      </w:pPr>
    </w:p>
    <w:p w14:paraId="4E74CDB7" w14:textId="77777777" w:rsidR="00613924" w:rsidRPr="00093DDF" w:rsidRDefault="00613924" w:rsidP="00093DDF">
      <w:pPr>
        <w:spacing w:line="360" w:lineRule="auto"/>
        <w:jc w:val="center"/>
        <w:rPr>
          <w:rFonts w:ascii="Arial" w:hAnsi="Arial" w:cs="Arial"/>
          <w:lang w:val="en-US"/>
        </w:rPr>
      </w:pPr>
    </w:p>
    <w:p w14:paraId="7204CD67" w14:textId="77777777" w:rsidR="00613924" w:rsidRPr="00093DDF" w:rsidRDefault="00613924" w:rsidP="00093DDF">
      <w:pPr>
        <w:spacing w:line="360" w:lineRule="auto"/>
        <w:jc w:val="center"/>
        <w:rPr>
          <w:rFonts w:ascii="Arial" w:hAnsi="Arial" w:cs="Arial"/>
          <w:lang w:val="en-US"/>
        </w:rPr>
      </w:pPr>
    </w:p>
    <w:p w14:paraId="3D48E626" w14:textId="77777777" w:rsidR="00613924" w:rsidRPr="00093DDF" w:rsidRDefault="00613924" w:rsidP="00093DDF">
      <w:pPr>
        <w:spacing w:line="360" w:lineRule="auto"/>
        <w:jc w:val="center"/>
        <w:rPr>
          <w:rFonts w:ascii="Arial" w:hAnsi="Arial" w:cs="Arial"/>
          <w:lang w:val="en-US"/>
        </w:rPr>
      </w:pPr>
    </w:p>
    <w:p w14:paraId="30B211DA" w14:textId="77777777" w:rsidR="00613924" w:rsidRPr="00093DDF" w:rsidRDefault="00613924" w:rsidP="00093DDF">
      <w:pPr>
        <w:spacing w:line="360" w:lineRule="auto"/>
        <w:jc w:val="center"/>
        <w:rPr>
          <w:rFonts w:ascii="Arial" w:hAnsi="Arial" w:cs="Arial"/>
          <w:lang w:val="en-US"/>
        </w:rPr>
      </w:pPr>
    </w:p>
    <w:p w14:paraId="3A63AE10" w14:textId="77777777" w:rsidR="00613924" w:rsidRPr="00093DDF" w:rsidRDefault="00613924" w:rsidP="00093DDF">
      <w:pPr>
        <w:spacing w:line="360" w:lineRule="auto"/>
        <w:jc w:val="center"/>
        <w:rPr>
          <w:rFonts w:ascii="Arial" w:hAnsi="Arial" w:cs="Arial"/>
          <w:lang w:val="en-US"/>
        </w:rPr>
      </w:pPr>
    </w:p>
    <w:p w14:paraId="70D89FD0" w14:textId="3D0248C1" w:rsidR="001E3BC7" w:rsidRPr="00093DDF" w:rsidRDefault="001E3BC7" w:rsidP="00093DDF">
      <w:pPr>
        <w:autoSpaceDE w:val="0"/>
        <w:autoSpaceDN w:val="0"/>
        <w:adjustRightInd w:val="0"/>
        <w:spacing w:after="0" w:line="360" w:lineRule="auto"/>
        <w:jc w:val="center"/>
        <w:rPr>
          <w:rFonts w:ascii="Arial" w:eastAsiaTheme="minorEastAsia" w:hAnsi="Arial" w:cs="Arial"/>
          <w:color w:val="000000"/>
          <w:lang w:val="en-US" w:eastAsia="zh-CN"/>
        </w:rPr>
      </w:pPr>
      <w:r w:rsidRPr="00093DDF">
        <w:rPr>
          <w:rFonts w:ascii="Arial" w:hAnsi="Arial" w:cs="Arial"/>
          <w:lang w:val="en-US"/>
        </w:rPr>
        <w:t xml:space="preserve">Report to </w:t>
      </w:r>
      <w:r w:rsidRPr="00093DDF">
        <w:rPr>
          <w:rFonts w:ascii="Arial" w:eastAsiaTheme="minorEastAsia" w:hAnsi="Arial" w:cs="Arial"/>
          <w:color w:val="000000"/>
          <w:lang w:val="en-US" w:eastAsia="zh-CN"/>
        </w:rPr>
        <w:t>Mobility Solutions Group on the Proposal to Cease Hoists and Mobile Beds Production</w:t>
      </w:r>
    </w:p>
    <w:p w14:paraId="1D197BCC" w14:textId="25706667" w:rsidR="00613924" w:rsidRPr="00093DDF" w:rsidRDefault="00613924" w:rsidP="00093DDF">
      <w:pPr>
        <w:spacing w:line="360" w:lineRule="auto"/>
        <w:jc w:val="center"/>
        <w:rPr>
          <w:rFonts w:ascii="Arial" w:hAnsi="Arial" w:cs="Arial"/>
          <w:lang w:val="en-US"/>
        </w:rPr>
      </w:pPr>
    </w:p>
    <w:p w14:paraId="75AF0EBB" w14:textId="77777777" w:rsidR="00613924" w:rsidRPr="00093DDF" w:rsidRDefault="00613924" w:rsidP="00093DDF">
      <w:pPr>
        <w:spacing w:line="360" w:lineRule="auto"/>
        <w:jc w:val="center"/>
        <w:rPr>
          <w:rFonts w:ascii="Arial" w:hAnsi="Arial" w:cs="Arial"/>
          <w:lang w:val="en-US"/>
        </w:rPr>
      </w:pPr>
    </w:p>
    <w:p w14:paraId="57D52307" w14:textId="77777777" w:rsidR="00613924" w:rsidRPr="00093DDF" w:rsidRDefault="00613924" w:rsidP="00093DDF">
      <w:pPr>
        <w:spacing w:line="360" w:lineRule="auto"/>
        <w:ind w:left="5387"/>
        <w:rPr>
          <w:rFonts w:ascii="Arial" w:hAnsi="Arial" w:cs="Arial"/>
        </w:rPr>
      </w:pPr>
    </w:p>
    <w:p w14:paraId="26ADB091" w14:textId="77777777" w:rsidR="00613924" w:rsidRPr="00093DDF" w:rsidRDefault="00613924" w:rsidP="00093DDF">
      <w:pPr>
        <w:spacing w:after="0" w:line="360" w:lineRule="auto"/>
        <w:ind w:left="5387"/>
        <w:rPr>
          <w:rFonts w:ascii="Arial" w:hAnsi="Arial" w:cs="Arial"/>
        </w:rPr>
      </w:pPr>
    </w:p>
    <w:p w14:paraId="705B692A" w14:textId="77777777" w:rsidR="00613924" w:rsidRPr="00093DDF" w:rsidRDefault="00613924" w:rsidP="00093DDF">
      <w:pPr>
        <w:spacing w:after="0" w:line="360" w:lineRule="auto"/>
        <w:ind w:left="5387"/>
        <w:rPr>
          <w:rFonts w:ascii="Arial" w:hAnsi="Arial" w:cs="Arial"/>
        </w:rPr>
      </w:pPr>
    </w:p>
    <w:p w14:paraId="7DDE5CD3" w14:textId="77777777" w:rsidR="00613924" w:rsidRPr="00093DDF" w:rsidRDefault="00613924" w:rsidP="00093DDF">
      <w:pPr>
        <w:spacing w:after="0" w:line="360" w:lineRule="auto"/>
        <w:ind w:left="5387"/>
        <w:rPr>
          <w:rFonts w:ascii="Arial" w:hAnsi="Arial" w:cs="Arial"/>
        </w:rPr>
      </w:pPr>
    </w:p>
    <w:p w14:paraId="569C127F" w14:textId="77777777" w:rsidR="00613924" w:rsidRPr="00093DDF" w:rsidRDefault="00613924" w:rsidP="00093DDF">
      <w:pPr>
        <w:spacing w:after="0" w:line="360" w:lineRule="auto"/>
        <w:ind w:left="5387"/>
        <w:rPr>
          <w:rFonts w:ascii="Arial" w:hAnsi="Arial" w:cs="Arial"/>
        </w:rPr>
      </w:pPr>
    </w:p>
    <w:p w14:paraId="3C7E781D" w14:textId="77777777" w:rsidR="00613924" w:rsidRPr="00093DDF" w:rsidRDefault="00613924" w:rsidP="00093DDF">
      <w:pPr>
        <w:spacing w:after="0" w:line="360" w:lineRule="auto"/>
        <w:ind w:left="5387"/>
        <w:rPr>
          <w:rFonts w:ascii="Arial" w:hAnsi="Arial" w:cs="Arial"/>
        </w:rPr>
      </w:pPr>
    </w:p>
    <w:p w14:paraId="5AD2D28A" w14:textId="77777777" w:rsidR="00613924" w:rsidRPr="00093DDF" w:rsidRDefault="00613924" w:rsidP="00093DDF">
      <w:pPr>
        <w:spacing w:after="0" w:line="360" w:lineRule="auto"/>
        <w:ind w:left="5387"/>
        <w:rPr>
          <w:rFonts w:ascii="Arial" w:hAnsi="Arial" w:cs="Arial"/>
        </w:rPr>
      </w:pPr>
    </w:p>
    <w:p w14:paraId="6453DA4B" w14:textId="77777777" w:rsidR="00613924" w:rsidRPr="00093DDF" w:rsidRDefault="00613924" w:rsidP="00093DDF">
      <w:pPr>
        <w:spacing w:after="0" w:line="360" w:lineRule="auto"/>
        <w:ind w:left="2880"/>
        <w:rPr>
          <w:rFonts w:ascii="Arial" w:hAnsi="Arial" w:cs="Arial"/>
        </w:rPr>
      </w:pPr>
      <w:r w:rsidRPr="00093DDF">
        <w:rPr>
          <w:rFonts w:ascii="Arial" w:hAnsi="Arial" w:cs="Arial"/>
        </w:rPr>
        <w:t>By Nikola Chakrakchiev</w:t>
      </w:r>
    </w:p>
    <w:p w14:paraId="7FEA4CAE" w14:textId="77777777" w:rsidR="00613924" w:rsidRPr="00093DDF" w:rsidRDefault="00613924" w:rsidP="00093DDF">
      <w:pPr>
        <w:spacing w:after="0" w:line="360" w:lineRule="auto"/>
        <w:ind w:left="2880"/>
        <w:rPr>
          <w:rFonts w:ascii="Arial" w:hAnsi="Arial" w:cs="Arial"/>
        </w:rPr>
      </w:pPr>
      <w:r w:rsidRPr="00093DDF">
        <w:rPr>
          <w:rFonts w:ascii="Arial" w:hAnsi="Arial" w:cs="Arial"/>
        </w:rPr>
        <w:t>Student ID: 2029324</w:t>
      </w:r>
    </w:p>
    <w:p w14:paraId="5A8C9C75" w14:textId="77777777" w:rsidR="00613924" w:rsidRPr="00093DDF" w:rsidRDefault="00613924" w:rsidP="00093DDF">
      <w:pPr>
        <w:spacing w:after="0" w:line="360" w:lineRule="auto"/>
        <w:ind w:left="2880"/>
        <w:rPr>
          <w:rFonts w:ascii="Arial" w:hAnsi="Arial" w:cs="Arial"/>
        </w:rPr>
      </w:pPr>
      <w:r w:rsidRPr="00093DDF">
        <w:rPr>
          <w:rFonts w:ascii="Arial" w:hAnsi="Arial" w:cs="Arial"/>
        </w:rPr>
        <w:t xml:space="preserve">Course name: BA Business Management </w:t>
      </w:r>
    </w:p>
    <w:p w14:paraId="5F5B080C" w14:textId="6971A2DA" w:rsidR="00613924" w:rsidRPr="00093DDF" w:rsidRDefault="00613924" w:rsidP="00093DDF">
      <w:pPr>
        <w:spacing w:after="0" w:line="360" w:lineRule="auto"/>
        <w:ind w:left="2880"/>
        <w:rPr>
          <w:rFonts w:ascii="Arial" w:hAnsi="Arial" w:cs="Arial"/>
          <w:lang w:val="en-US"/>
        </w:rPr>
      </w:pPr>
      <w:r w:rsidRPr="00093DDF">
        <w:rPr>
          <w:rFonts w:ascii="Arial" w:hAnsi="Arial" w:cs="Arial"/>
        </w:rPr>
        <w:t xml:space="preserve">Module: </w:t>
      </w:r>
      <w:r w:rsidRPr="00093DDF">
        <w:rPr>
          <w:rFonts w:ascii="Arial" w:hAnsi="Arial" w:cs="Arial"/>
          <w:lang w:val="en-US"/>
        </w:rPr>
        <w:t>Management Accounting</w:t>
      </w:r>
      <w:r w:rsidRPr="00093DDF">
        <w:rPr>
          <w:rFonts w:ascii="Arial" w:hAnsi="Arial" w:cs="Arial"/>
        </w:rPr>
        <w:t xml:space="preserve"> (LCBB500</w:t>
      </w:r>
      <w:r w:rsidRPr="00093DDF">
        <w:rPr>
          <w:rFonts w:ascii="Arial" w:hAnsi="Arial" w:cs="Arial"/>
          <w:lang w:val="en-US"/>
        </w:rPr>
        <w:t>2)</w:t>
      </w:r>
    </w:p>
    <w:p w14:paraId="4250A281" w14:textId="740D7B76" w:rsidR="001B6EC5" w:rsidRDefault="00613924" w:rsidP="00093DDF">
      <w:pPr>
        <w:spacing w:after="0" w:line="360" w:lineRule="auto"/>
        <w:ind w:left="2880"/>
        <w:rPr>
          <w:rFonts w:ascii="Arial" w:hAnsi="Arial" w:cs="Arial"/>
          <w:lang w:val="en-US"/>
        </w:rPr>
      </w:pPr>
      <w:r w:rsidRPr="00093DDF">
        <w:rPr>
          <w:rFonts w:ascii="Arial" w:hAnsi="Arial" w:cs="Arial"/>
        </w:rPr>
        <w:t>Lecturer: Munoszinessa</w:t>
      </w:r>
      <w:r w:rsidR="005C5311" w:rsidRPr="00093DDF">
        <w:rPr>
          <w:rFonts w:ascii="Arial" w:hAnsi="Arial" w:cs="Arial"/>
          <w:lang w:val="en-US"/>
        </w:rPr>
        <w:t xml:space="preserve"> Zuwirai</w:t>
      </w:r>
    </w:p>
    <w:p w14:paraId="4446450B" w14:textId="77777777" w:rsidR="001B6EC5" w:rsidRDefault="001B6EC5">
      <w:pPr>
        <w:spacing w:after="160" w:line="259" w:lineRule="auto"/>
        <w:rPr>
          <w:rFonts w:ascii="Arial" w:hAnsi="Arial" w:cs="Arial"/>
          <w:lang w:val="en-US"/>
        </w:rPr>
      </w:pPr>
      <w:r>
        <w:rPr>
          <w:rFonts w:ascii="Arial" w:hAnsi="Arial" w:cs="Arial"/>
          <w:lang w:val="en-US"/>
        </w:rPr>
        <w:br w:type="page"/>
      </w:r>
    </w:p>
    <w:p w14:paraId="3EE50C16" w14:textId="77777777" w:rsidR="00613924" w:rsidRPr="00093DDF" w:rsidRDefault="00613924" w:rsidP="00093DDF">
      <w:pPr>
        <w:spacing w:after="0" w:line="360" w:lineRule="auto"/>
        <w:ind w:left="2880"/>
        <w:rPr>
          <w:rFonts w:ascii="Arial" w:hAnsi="Arial" w:cs="Arial"/>
          <w:lang w:val="en-US"/>
        </w:rPr>
      </w:pPr>
    </w:p>
    <w:sdt>
      <w:sdtPr>
        <w:rPr>
          <w:rFonts w:ascii="Arial" w:hAnsi="Arial" w:cs="Arial"/>
          <w:sz w:val="22"/>
          <w:szCs w:val="22"/>
        </w:rPr>
        <w:id w:val="520059852"/>
        <w:docPartObj>
          <w:docPartGallery w:val="Table of Contents"/>
          <w:docPartUnique/>
        </w:docPartObj>
      </w:sdtPr>
      <w:sdtEndPr>
        <w:rPr>
          <w:rFonts w:eastAsiaTheme="minorHAnsi"/>
          <w:b/>
          <w:bCs/>
          <w:noProof/>
          <w:color w:val="auto"/>
          <w:lang w:val="bg-BG"/>
        </w:rPr>
      </w:sdtEndPr>
      <w:sdtContent>
        <w:p w14:paraId="734399F1" w14:textId="48D4319C" w:rsidR="00093DDF" w:rsidRPr="00093DDF" w:rsidRDefault="00093DDF" w:rsidP="00093DDF">
          <w:pPr>
            <w:pStyle w:val="TOCHeading"/>
            <w:spacing w:line="360" w:lineRule="auto"/>
            <w:rPr>
              <w:rFonts w:ascii="Arial" w:hAnsi="Arial" w:cs="Arial"/>
              <w:sz w:val="22"/>
              <w:szCs w:val="22"/>
            </w:rPr>
          </w:pPr>
          <w:r w:rsidRPr="00093DDF">
            <w:rPr>
              <w:rFonts w:ascii="Arial" w:hAnsi="Arial" w:cs="Arial"/>
              <w:sz w:val="22"/>
              <w:szCs w:val="22"/>
            </w:rPr>
            <w:t>Contents</w:t>
          </w:r>
        </w:p>
        <w:p w14:paraId="4949C58E" w14:textId="6B825B5F" w:rsidR="00093DDF" w:rsidRPr="00093DDF" w:rsidRDefault="00093DDF" w:rsidP="00093DDF">
          <w:pPr>
            <w:pStyle w:val="TOC1"/>
            <w:tabs>
              <w:tab w:val="right" w:leader="dot" w:pos="9016"/>
            </w:tabs>
            <w:spacing w:line="360" w:lineRule="auto"/>
            <w:rPr>
              <w:rFonts w:ascii="Arial" w:eastAsiaTheme="minorEastAsia" w:hAnsi="Arial" w:cs="Arial"/>
              <w:noProof/>
              <w:lang w:val="en-US"/>
            </w:rPr>
          </w:pPr>
          <w:r w:rsidRPr="00093DDF">
            <w:rPr>
              <w:rFonts w:ascii="Arial" w:hAnsi="Arial" w:cs="Arial"/>
            </w:rPr>
            <w:fldChar w:fldCharType="begin"/>
          </w:r>
          <w:r w:rsidRPr="00093DDF">
            <w:rPr>
              <w:rFonts w:ascii="Arial" w:hAnsi="Arial" w:cs="Arial"/>
            </w:rPr>
            <w:instrText xml:space="preserve"> TOC \o "1-3" \h \z \u </w:instrText>
          </w:r>
          <w:r w:rsidRPr="00093DDF">
            <w:rPr>
              <w:rFonts w:ascii="Arial" w:hAnsi="Arial" w:cs="Arial"/>
            </w:rPr>
            <w:fldChar w:fldCharType="separate"/>
          </w:r>
          <w:hyperlink w:anchor="_Toc108092238" w:history="1">
            <w:r w:rsidRPr="00093DDF">
              <w:rPr>
                <w:rStyle w:val="Hyperlink"/>
                <w:rFonts w:ascii="Arial" w:hAnsi="Arial" w:cs="Arial"/>
                <w:noProof/>
                <w:lang w:val="en-GB"/>
              </w:rPr>
              <w:t>Introduction</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_Toc108092238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3</w:t>
            </w:r>
            <w:r w:rsidRPr="00093DDF">
              <w:rPr>
                <w:rFonts w:ascii="Arial" w:hAnsi="Arial" w:cs="Arial"/>
                <w:noProof/>
                <w:webHidden/>
              </w:rPr>
              <w:fldChar w:fldCharType="end"/>
            </w:r>
          </w:hyperlink>
        </w:p>
        <w:p w14:paraId="2E2CAE75" w14:textId="00E92E93" w:rsidR="00093DDF" w:rsidRPr="00093DDF" w:rsidRDefault="00093DDF" w:rsidP="00093DDF">
          <w:pPr>
            <w:pStyle w:val="TOC1"/>
            <w:tabs>
              <w:tab w:val="right" w:leader="dot" w:pos="9016"/>
            </w:tabs>
            <w:spacing w:line="360" w:lineRule="auto"/>
            <w:rPr>
              <w:rFonts w:ascii="Arial" w:eastAsiaTheme="minorEastAsia" w:hAnsi="Arial" w:cs="Arial"/>
              <w:noProof/>
              <w:lang w:val="en-US"/>
            </w:rPr>
          </w:pPr>
          <w:hyperlink w:anchor="_Toc108092239" w:history="1">
            <w:r w:rsidRPr="00093DDF">
              <w:rPr>
                <w:rStyle w:val="Hyperlink"/>
                <w:rFonts w:ascii="Arial" w:hAnsi="Arial" w:cs="Arial"/>
                <w:noProof/>
                <w:lang w:val="en-GB"/>
              </w:rPr>
              <w:t>Marginal Costing Statement</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_Toc108092239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3</w:t>
            </w:r>
            <w:r w:rsidRPr="00093DDF">
              <w:rPr>
                <w:rFonts w:ascii="Arial" w:hAnsi="Arial" w:cs="Arial"/>
                <w:noProof/>
                <w:webHidden/>
              </w:rPr>
              <w:fldChar w:fldCharType="end"/>
            </w:r>
          </w:hyperlink>
        </w:p>
        <w:p w14:paraId="032D7821" w14:textId="69A42719" w:rsidR="00093DDF" w:rsidRPr="00093DDF" w:rsidRDefault="00093DDF" w:rsidP="00093DDF">
          <w:pPr>
            <w:pStyle w:val="TOC3"/>
            <w:tabs>
              <w:tab w:val="right" w:leader="dot" w:pos="9016"/>
            </w:tabs>
            <w:spacing w:line="360" w:lineRule="auto"/>
            <w:rPr>
              <w:rFonts w:ascii="Arial" w:eastAsiaTheme="minorEastAsia" w:hAnsi="Arial" w:cs="Arial"/>
              <w:noProof/>
              <w:lang w:val="en-US"/>
            </w:rPr>
          </w:pPr>
          <w:hyperlink w:anchor="_Toc108092240" w:history="1">
            <w:r w:rsidRPr="00093DDF">
              <w:rPr>
                <w:rStyle w:val="Hyperlink"/>
                <w:rFonts w:ascii="Arial" w:hAnsi="Arial" w:cs="Arial"/>
                <w:noProof/>
                <w:lang w:val="en-GB"/>
              </w:rPr>
              <w:t>Table 1. Accounting report for the production of Wheelchairs, Hoists and Mobile Beds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_Toc108092240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3</w:t>
            </w:r>
            <w:r w:rsidRPr="00093DDF">
              <w:rPr>
                <w:rFonts w:ascii="Arial" w:hAnsi="Arial" w:cs="Arial"/>
                <w:noProof/>
                <w:webHidden/>
              </w:rPr>
              <w:fldChar w:fldCharType="end"/>
            </w:r>
          </w:hyperlink>
        </w:p>
        <w:p w14:paraId="02663141" w14:textId="19BDFB08"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1" w:history="1">
            <w:r w:rsidRPr="00093DDF">
              <w:rPr>
                <w:rStyle w:val="Hyperlink"/>
                <w:rFonts w:ascii="Arial" w:hAnsi="Arial" w:cs="Arial"/>
                <w:noProof/>
                <w:lang w:val="en-GB"/>
              </w:rPr>
              <w:t>Discontinuing the production of Hoists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_Toc108092241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4</w:t>
            </w:r>
            <w:r w:rsidRPr="00093DDF">
              <w:rPr>
                <w:rFonts w:ascii="Arial" w:hAnsi="Arial" w:cs="Arial"/>
                <w:noProof/>
                <w:webHidden/>
              </w:rPr>
              <w:fldChar w:fldCharType="end"/>
            </w:r>
          </w:hyperlink>
        </w:p>
        <w:p w14:paraId="257C44FD" w14:textId="6E636674" w:rsidR="00093DDF" w:rsidRPr="00093DDF" w:rsidRDefault="00093DDF" w:rsidP="00093DDF">
          <w:pPr>
            <w:pStyle w:val="TOC3"/>
            <w:tabs>
              <w:tab w:val="right" w:leader="dot" w:pos="9016"/>
            </w:tabs>
            <w:spacing w:line="360" w:lineRule="auto"/>
            <w:rPr>
              <w:rFonts w:ascii="Arial" w:eastAsiaTheme="minorEastAsia" w:hAnsi="Arial" w:cs="Arial"/>
              <w:noProof/>
              <w:lang w:val="en-US"/>
            </w:rPr>
          </w:pPr>
          <w:hyperlink w:anchor="_Toc108092242" w:history="1">
            <w:r w:rsidRPr="00093DDF">
              <w:rPr>
                <w:rStyle w:val="Hyperlink"/>
                <w:rFonts w:ascii="Arial" w:hAnsi="Arial" w:cs="Arial"/>
                <w:noProof/>
                <w:lang w:val="en-GB"/>
              </w:rPr>
              <w:t>Table 2. Accounting report for the production of Wheelchairs, and Mobile Beds after discontinuing Hoists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_Toc108092242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4</w:t>
            </w:r>
            <w:r w:rsidRPr="00093DDF">
              <w:rPr>
                <w:rFonts w:ascii="Arial" w:hAnsi="Arial" w:cs="Arial"/>
                <w:noProof/>
                <w:webHidden/>
              </w:rPr>
              <w:fldChar w:fldCharType="end"/>
            </w:r>
          </w:hyperlink>
        </w:p>
        <w:p w14:paraId="2B6F5521" w14:textId="7874320F"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3" w:history="1">
            <w:r w:rsidRPr="00093DDF">
              <w:rPr>
                <w:rStyle w:val="Hyperlink"/>
                <w:rFonts w:ascii="Arial" w:hAnsi="Arial" w:cs="Arial"/>
                <w:noProof/>
                <w:lang w:val="en-GB"/>
              </w:rPr>
              <w:t>Discontinuing the production of Mobile beds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_Toc108092243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4</w:t>
            </w:r>
            <w:r w:rsidRPr="00093DDF">
              <w:rPr>
                <w:rFonts w:ascii="Arial" w:hAnsi="Arial" w:cs="Arial"/>
                <w:noProof/>
                <w:webHidden/>
              </w:rPr>
              <w:fldChar w:fldCharType="end"/>
            </w:r>
          </w:hyperlink>
        </w:p>
        <w:p w14:paraId="6921A02A" w14:textId="19A935E3" w:rsidR="00093DDF" w:rsidRPr="00093DDF" w:rsidRDefault="00093DDF" w:rsidP="00093DDF">
          <w:pPr>
            <w:pStyle w:val="TOC3"/>
            <w:tabs>
              <w:tab w:val="right" w:leader="dot" w:pos="9016"/>
            </w:tabs>
            <w:spacing w:line="360" w:lineRule="auto"/>
            <w:rPr>
              <w:rFonts w:ascii="Arial" w:eastAsiaTheme="minorEastAsia" w:hAnsi="Arial" w:cs="Arial"/>
              <w:noProof/>
              <w:lang w:val="en-US"/>
            </w:rPr>
          </w:pPr>
          <w:hyperlink w:anchor="_Toc108092244" w:history="1">
            <w:r w:rsidRPr="00093DDF">
              <w:rPr>
                <w:rStyle w:val="Hyperlink"/>
                <w:rFonts w:ascii="Arial" w:hAnsi="Arial" w:cs="Arial"/>
                <w:noProof/>
                <w:lang w:val="en-GB"/>
              </w:rPr>
              <w:t>Table 3. Accounting report for the production of Wheelchairs, and Hoists after discontinuing Mobile Beds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_Toc108092244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4</w:t>
            </w:r>
            <w:r w:rsidRPr="00093DDF">
              <w:rPr>
                <w:rFonts w:ascii="Arial" w:hAnsi="Arial" w:cs="Arial"/>
                <w:noProof/>
                <w:webHidden/>
              </w:rPr>
              <w:fldChar w:fldCharType="end"/>
            </w:r>
          </w:hyperlink>
        </w:p>
        <w:p w14:paraId="4A0A488B" w14:textId="1BB85994"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5" w:history="1">
            <w:r w:rsidRPr="00093DDF">
              <w:rPr>
                <w:rStyle w:val="Hyperlink"/>
                <w:rFonts w:ascii="Arial" w:hAnsi="Arial" w:cs="Arial"/>
                <w:noProof/>
                <w:lang w:val="en-GB"/>
              </w:rPr>
              <w:t>Recommendations</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_Toc108092245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5</w:t>
            </w:r>
            <w:r w:rsidRPr="00093DDF">
              <w:rPr>
                <w:rFonts w:ascii="Arial" w:hAnsi="Arial" w:cs="Arial"/>
                <w:noProof/>
                <w:webHidden/>
              </w:rPr>
              <w:fldChar w:fldCharType="end"/>
            </w:r>
          </w:hyperlink>
        </w:p>
        <w:p w14:paraId="078DDBCF" w14:textId="22BA74E1" w:rsidR="00093DDF" w:rsidRPr="00093DDF" w:rsidRDefault="00093DDF" w:rsidP="00093DDF">
          <w:pPr>
            <w:pStyle w:val="TOC1"/>
            <w:tabs>
              <w:tab w:val="right" w:leader="dot" w:pos="9016"/>
            </w:tabs>
            <w:spacing w:line="360" w:lineRule="auto"/>
            <w:rPr>
              <w:rFonts w:ascii="Arial" w:eastAsiaTheme="minorEastAsia" w:hAnsi="Arial" w:cs="Arial"/>
              <w:noProof/>
              <w:lang w:val="en-US"/>
            </w:rPr>
          </w:pPr>
          <w:hyperlink w:anchor="_Toc108092246" w:history="1">
            <w:r w:rsidRPr="00093DDF">
              <w:rPr>
                <w:rStyle w:val="Hyperlink"/>
                <w:rFonts w:ascii="Arial" w:hAnsi="Arial" w:cs="Arial"/>
                <w:noProof/>
                <w:lang w:val="en-GB"/>
              </w:rPr>
              <w:t>Marginal costing importance</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_Toc108092246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5</w:t>
            </w:r>
            <w:r w:rsidRPr="00093DDF">
              <w:rPr>
                <w:rFonts w:ascii="Arial" w:hAnsi="Arial" w:cs="Arial"/>
                <w:noProof/>
                <w:webHidden/>
              </w:rPr>
              <w:fldChar w:fldCharType="end"/>
            </w:r>
          </w:hyperlink>
        </w:p>
        <w:p w14:paraId="68364979" w14:textId="6986DE36"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7" w:history="1">
            <w:r w:rsidRPr="00093DDF">
              <w:rPr>
                <w:rStyle w:val="Hyperlink"/>
                <w:rFonts w:ascii="Arial" w:hAnsi="Arial" w:cs="Arial"/>
                <w:noProof/>
                <w:lang w:val="en-GB"/>
              </w:rPr>
              <w:t>Marginal costing definition and use</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_Toc108092247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5</w:t>
            </w:r>
            <w:r w:rsidRPr="00093DDF">
              <w:rPr>
                <w:rFonts w:ascii="Arial" w:hAnsi="Arial" w:cs="Arial"/>
                <w:noProof/>
                <w:webHidden/>
              </w:rPr>
              <w:fldChar w:fldCharType="end"/>
            </w:r>
          </w:hyperlink>
        </w:p>
        <w:p w14:paraId="05AD866B" w14:textId="0AFC8AC9"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8" w:history="1">
            <w:r w:rsidRPr="00093DDF">
              <w:rPr>
                <w:rStyle w:val="Hyperlink"/>
                <w:rFonts w:ascii="Arial" w:hAnsi="Arial" w:cs="Arial"/>
                <w:noProof/>
                <w:lang w:val="en-GB"/>
              </w:rPr>
              <w:t>Other costing techniques – absorption costing</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_Toc108092248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5</w:t>
            </w:r>
            <w:r w:rsidRPr="00093DDF">
              <w:rPr>
                <w:rFonts w:ascii="Arial" w:hAnsi="Arial" w:cs="Arial"/>
                <w:noProof/>
                <w:webHidden/>
              </w:rPr>
              <w:fldChar w:fldCharType="end"/>
            </w:r>
          </w:hyperlink>
        </w:p>
        <w:p w14:paraId="6D0A7A14" w14:textId="44FC5562" w:rsidR="00093DDF" w:rsidRPr="00093DDF" w:rsidRDefault="00093DDF" w:rsidP="00093DDF">
          <w:pPr>
            <w:pStyle w:val="TOC2"/>
            <w:tabs>
              <w:tab w:val="right" w:leader="dot" w:pos="9016"/>
            </w:tabs>
            <w:spacing w:line="360" w:lineRule="auto"/>
            <w:rPr>
              <w:rFonts w:ascii="Arial" w:eastAsiaTheme="minorEastAsia" w:hAnsi="Arial" w:cs="Arial"/>
              <w:noProof/>
              <w:lang w:val="en-US"/>
            </w:rPr>
          </w:pPr>
          <w:hyperlink w:anchor="_Toc108092249" w:history="1">
            <w:r w:rsidRPr="00093DDF">
              <w:rPr>
                <w:rStyle w:val="Hyperlink"/>
                <w:rFonts w:ascii="Arial" w:hAnsi="Arial" w:cs="Arial"/>
                <w:noProof/>
                <w:lang w:val="en-GB"/>
              </w:rPr>
              <w:t>Advantages of marginal costing over absorption costing</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_Toc108092249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6</w:t>
            </w:r>
            <w:r w:rsidRPr="00093DDF">
              <w:rPr>
                <w:rFonts w:ascii="Arial" w:hAnsi="Arial" w:cs="Arial"/>
                <w:noProof/>
                <w:webHidden/>
              </w:rPr>
              <w:fldChar w:fldCharType="end"/>
            </w:r>
          </w:hyperlink>
        </w:p>
        <w:p w14:paraId="45FA4ED8" w14:textId="63746A9C" w:rsidR="00093DDF" w:rsidRPr="00093DDF" w:rsidRDefault="00093DDF" w:rsidP="00093DDF">
          <w:pPr>
            <w:pStyle w:val="TOC1"/>
            <w:tabs>
              <w:tab w:val="right" w:leader="dot" w:pos="9016"/>
            </w:tabs>
            <w:spacing w:line="360" w:lineRule="auto"/>
            <w:rPr>
              <w:rFonts w:ascii="Arial" w:eastAsiaTheme="minorEastAsia" w:hAnsi="Arial" w:cs="Arial"/>
              <w:noProof/>
              <w:lang w:val="en-US"/>
            </w:rPr>
          </w:pPr>
          <w:hyperlink w:anchor="_Toc108092250" w:history="1">
            <w:r w:rsidRPr="00093DDF">
              <w:rPr>
                <w:rStyle w:val="Hyperlink"/>
                <w:rFonts w:ascii="Arial" w:hAnsi="Arial" w:cs="Arial"/>
                <w:noProof/>
                <w:lang w:val="en-GB"/>
              </w:rPr>
              <w:t>Conclusion</w:t>
            </w:r>
            <w:r w:rsidRPr="00093DDF">
              <w:rPr>
                <w:rFonts w:ascii="Arial" w:hAnsi="Arial" w:cs="Arial"/>
                <w:noProof/>
                <w:webHidden/>
              </w:rPr>
              <w:tab/>
            </w:r>
            <w:r w:rsidRPr="00093DDF">
              <w:rPr>
                <w:rFonts w:ascii="Arial" w:hAnsi="Arial" w:cs="Arial"/>
                <w:noProof/>
                <w:webHidden/>
              </w:rPr>
              <w:fldChar w:fldCharType="begin"/>
            </w:r>
            <w:r w:rsidRPr="00093DDF">
              <w:rPr>
                <w:rFonts w:ascii="Arial" w:hAnsi="Arial" w:cs="Arial"/>
                <w:noProof/>
                <w:webHidden/>
              </w:rPr>
              <w:instrText xml:space="preserve"> PAGEREF _Toc108092250 \h </w:instrText>
            </w:r>
            <w:r w:rsidRPr="00093DDF">
              <w:rPr>
                <w:rFonts w:ascii="Arial" w:hAnsi="Arial" w:cs="Arial"/>
                <w:noProof/>
                <w:webHidden/>
              </w:rPr>
            </w:r>
            <w:r w:rsidRPr="00093DDF">
              <w:rPr>
                <w:rFonts w:ascii="Arial" w:hAnsi="Arial" w:cs="Arial"/>
                <w:noProof/>
                <w:webHidden/>
              </w:rPr>
              <w:fldChar w:fldCharType="separate"/>
            </w:r>
            <w:r w:rsidRPr="00093DDF">
              <w:rPr>
                <w:rFonts w:ascii="Arial" w:hAnsi="Arial" w:cs="Arial"/>
                <w:noProof/>
                <w:webHidden/>
              </w:rPr>
              <w:t>6</w:t>
            </w:r>
            <w:r w:rsidRPr="00093DDF">
              <w:rPr>
                <w:rFonts w:ascii="Arial" w:hAnsi="Arial" w:cs="Arial"/>
                <w:noProof/>
                <w:webHidden/>
              </w:rPr>
              <w:fldChar w:fldCharType="end"/>
            </w:r>
          </w:hyperlink>
        </w:p>
        <w:p w14:paraId="0375ACC3" w14:textId="09CE456B" w:rsidR="00093DDF" w:rsidRPr="00093DDF" w:rsidRDefault="00093DDF" w:rsidP="00093DDF">
          <w:pPr>
            <w:spacing w:line="360" w:lineRule="auto"/>
            <w:rPr>
              <w:rFonts w:ascii="Arial" w:hAnsi="Arial" w:cs="Arial"/>
            </w:rPr>
          </w:pPr>
          <w:r w:rsidRPr="00093DDF">
            <w:rPr>
              <w:rFonts w:ascii="Arial" w:hAnsi="Arial" w:cs="Arial"/>
              <w:b/>
              <w:bCs/>
              <w:noProof/>
            </w:rPr>
            <w:fldChar w:fldCharType="end"/>
          </w:r>
        </w:p>
      </w:sdtContent>
    </w:sdt>
    <w:p w14:paraId="2A770927" w14:textId="77777777" w:rsidR="00613924" w:rsidRPr="00093DDF" w:rsidRDefault="00613924" w:rsidP="00093DDF">
      <w:pPr>
        <w:spacing w:line="360" w:lineRule="auto"/>
        <w:rPr>
          <w:rFonts w:ascii="Arial" w:hAnsi="Arial" w:cs="Arial"/>
          <w:lang w:val="en-US"/>
        </w:rPr>
      </w:pPr>
      <w:r w:rsidRPr="00093DDF">
        <w:rPr>
          <w:rFonts w:ascii="Arial" w:hAnsi="Arial" w:cs="Arial"/>
          <w:lang w:val="en-US"/>
        </w:rPr>
        <w:br w:type="page"/>
      </w:r>
    </w:p>
    <w:p w14:paraId="0E025B19" w14:textId="77777777" w:rsidR="001D173A" w:rsidRDefault="001D173A" w:rsidP="001D173A">
      <w:pPr>
        <w:pStyle w:val="Header"/>
        <w:rPr>
          <w:rFonts w:ascii="Arial" w:hAnsi="Arial" w:cs="Arial"/>
        </w:rPr>
      </w:pPr>
      <w:bookmarkStart w:id="0" w:name="_Toc108092238"/>
      <w:r w:rsidRPr="00153228">
        <w:rPr>
          <w:rFonts w:ascii="Arial" w:hAnsi="Arial" w:cs="Arial"/>
        </w:rPr>
        <w:t>To: MSG Managers</w:t>
      </w:r>
    </w:p>
    <w:p w14:paraId="0B6D9471" w14:textId="0429DCC2" w:rsidR="001D173A" w:rsidRDefault="001D173A" w:rsidP="001D173A">
      <w:pPr>
        <w:pStyle w:val="Header"/>
        <w:rPr>
          <w:rFonts w:ascii="Arial" w:hAnsi="Arial" w:cs="Arial"/>
        </w:rPr>
      </w:pPr>
      <w:r>
        <w:rPr>
          <w:rFonts w:ascii="Arial" w:hAnsi="Arial" w:cs="Arial"/>
        </w:rPr>
        <w:t xml:space="preserve">From: </w:t>
      </w:r>
      <w:r>
        <w:rPr>
          <w:rFonts w:ascii="Arial" w:hAnsi="Arial" w:cs="Arial"/>
        </w:rPr>
        <w:t>Nikola Chakrakchiev</w:t>
      </w:r>
    </w:p>
    <w:p w14:paraId="05E47C09" w14:textId="7E304070" w:rsidR="001D173A" w:rsidRPr="00153228" w:rsidRDefault="001D173A" w:rsidP="001D173A">
      <w:pPr>
        <w:pStyle w:val="Header"/>
        <w:rPr>
          <w:rFonts w:ascii="Arial" w:hAnsi="Arial" w:cs="Arial"/>
        </w:rPr>
      </w:pPr>
      <w:r>
        <w:rPr>
          <w:rFonts w:ascii="Arial" w:hAnsi="Arial" w:cs="Arial"/>
        </w:rPr>
        <w:t>Data:0</w:t>
      </w:r>
      <w:r>
        <w:rPr>
          <w:rFonts w:ascii="Arial" w:hAnsi="Arial" w:cs="Arial"/>
        </w:rPr>
        <w:t>7</w:t>
      </w:r>
      <w:r>
        <w:rPr>
          <w:rFonts w:ascii="Arial" w:hAnsi="Arial" w:cs="Arial"/>
        </w:rPr>
        <w:t>/07/2022</w:t>
      </w:r>
    </w:p>
    <w:p w14:paraId="76E34416" w14:textId="2977159A" w:rsidR="001D173A" w:rsidRPr="001D173A" w:rsidRDefault="001D173A" w:rsidP="001D173A">
      <w:pPr>
        <w:rPr>
          <w:rFonts w:ascii="Arial" w:hAnsi="Arial" w:cs="Arial"/>
        </w:rPr>
      </w:pPr>
      <w:r w:rsidRPr="001D173A">
        <w:rPr>
          <w:rFonts w:ascii="Arial" w:hAnsi="Arial" w:cs="Arial"/>
        </w:rPr>
        <w:t>Subject: Proposal to cease Hoists and Mobile Beds Production</w:t>
      </w:r>
    </w:p>
    <w:p w14:paraId="7E1E0B07" w14:textId="39651BAB" w:rsidR="00A4587B" w:rsidRPr="00093DDF" w:rsidRDefault="00E639C1" w:rsidP="00093DDF">
      <w:pPr>
        <w:pStyle w:val="Heading1"/>
        <w:spacing w:line="360" w:lineRule="auto"/>
        <w:rPr>
          <w:rFonts w:ascii="Arial" w:hAnsi="Arial" w:cs="Arial"/>
          <w:sz w:val="22"/>
          <w:szCs w:val="22"/>
          <w:lang w:val="en-GB"/>
        </w:rPr>
      </w:pPr>
      <w:r w:rsidRPr="00093DDF">
        <w:rPr>
          <w:rFonts w:ascii="Arial" w:hAnsi="Arial" w:cs="Arial"/>
          <w:sz w:val="22"/>
          <w:szCs w:val="22"/>
          <w:lang w:val="en-GB"/>
        </w:rPr>
        <w:t>Introduction</w:t>
      </w:r>
      <w:bookmarkEnd w:id="0"/>
    </w:p>
    <w:p w14:paraId="52B9FB40" w14:textId="319CEA91" w:rsidR="00127389" w:rsidRPr="00093DDF" w:rsidRDefault="00065DDF" w:rsidP="00093DDF">
      <w:pPr>
        <w:spacing w:after="0" w:line="360" w:lineRule="auto"/>
        <w:rPr>
          <w:rFonts w:ascii="Arial" w:hAnsi="Arial" w:cs="Arial"/>
          <w:lang w:val="en-GB"/>
        </w:rPr>
      </w:pPr>
      <w:r w:rsidRPr="00093DDF">
        <w:rPr>
          <w:rFonts w:ascii="Arial" w:hAnsi="Arial" w:cs="Arial"/>
          <w:lang w:val="en-GB"/>
        </w:rPr>
        <w:t xml:space="preserve">This report </w:t>
      </w:r>
      <w:r w:rsidR="00692846" w:rsidRPr="00093DDF">
        <w:rPr>
          <w:rFonts w:ascii="Arial" w:hAnsi="Arial" w:cs="Arial"/>
          <w:lang w:val="en-GB"/>
        </w:rPr>
        <w:t>is produced in respon</w:t>
      </w:r>
      <w:r w:rsidR="003F4178" w:rsidRPr="00093DDF">
        <w:rPr>
          <w:rFonts w:ascii="Arial" w:hAnsi="Arial" w:cs="Arial"/>
          <w:lang w:val="en-GB"/>
        </w:rPr>
        <w:t xml:space="preserve">se to </w:t>
      </w:r>
      <w:r w:rsidR="00692846" w:rsidRPr="00093DDF">
        <w:rPr>
          <w:rFonts w:ascii="Arial" w:hAnsi="Arial" w:cs="Arial"/>
          <w:lang w:val="en-GB"/>
        </w:rPr>
        <w:t xml:space="preserve">the proposal </w:t>
      </w:r>
      <w:r w:rsidR="003F4178" w:rsidRPr="00093DDF">
        <w:rPr>
          <w:rFonts w:ascii="Arial" w:hAnsi="Arial" w:cs="Arial"/>
          <w:lang w:val="en-GB"/>
        </w:rPr>
        <w:t xml:space="preserve">to discontinue the production of </w:t>
      </w:r>
      <w:r w:rsidR="00FE7F3E" w:rsidRPr="00093DDF">
        <w:rPr>
          <w:rFonts w:ascii="Arial" w:hAnsi="Arial" w:cs="Arial"/>
          <w:lang w:val="en-GB"/>
        </w:rPr>
        <w:t xml:space="preserve">hoists and mobile beds. It tends to apply marginal costing and account the direct costs and margins for the production of the various products made by MSG. It will show that the MSG management can consider discontinuing the production of Hoists due to negative contribution value, but should keep producing Wheelchairs and Mobile beds. However the MSG management has to make their research on the effect of discontinuing the production of Hoists. </w:t>
      </w:r>
    </w:p>
    <w:p w14:paraId="491CA730" w14:textId="4450B954" w:rsidR="00636063" w:rsidRPr="00093DDF" w:rsidRDefault="00FE7F3E" w:rsidP="00093DDF">
      <w:pPr>
        <w:spacing w:line="360" w:lineRule="auto"/>
        <w:rPr>
          <w:rFonts w:ascii="Arial" w:hAnsi="Arial" w:cs="Arial"/>
          <w:lang w:val="en-GB"/>
        </w:rPr>
      </w:pPr>
      <w:r w:rsidRPr="00093DDF">
        <w:rPr>
          <w:rFonts w:ascii="Arial" w:hAnsi="Arial" w:cs="Arial"/>
          <w:lang w:val="en-GB"/>
        </w:rPr>
        <w:t>The report will defend the use of marginal costing over other cost accounting methods like absorption costing</w:t>
      </w:r>
      <w:r w:rsidR="0068784E" w:rsidRPr="00093DDF">
        <w:rPr>
          <w:rFonts w:ascii="Arial" w:hAnsi="Arial" w:cs="Arial"/>
          <w:lang w:val="en-GB"/>
        </w:rPr>
        <w:t xml:space="preserve"> and will highlight its advantages when used by the management for short-term management decisions. </w:t>
      </w:r>
    </w:p>
    <w:p w14:paraId="72D73AFA" w14:textId="0BAA23E5" w:rsidR="00E639C1" w:rsidRPr="00093DDF" w:rsidRDefault="00E639C1" w:rsidP="00093DDF">
      <w:pPr>
        <w:pStyle w:val="Heading1"/>
        <w:spacing w:line="360" w:lineRule="auto"/>
        <w:rPr>
          <w:rFonts w:ascii="Arial" w:hAnsi="Arial" w:cs="Arial"/>
          <w:sz w:val="22"/>
          <w:szCs w:val="22"/>
          <w:lang w:val="en-GB"/>
        </w:rPr>
      </w:pPr>
      <w:bookmarkStart w:id="1" w:name="_Toc108092239"/>
      <w:r w:rsidRPr="00093DDF">
        <w:rPr>
          <w:rFonts w:ascii="Arial" w:hAnsi="Arial" w:cs="Arial"/>
          <w:sz w:val="22"/>
          <w:szCs w:val="22"/>
          <w:lang w:val="en-GB"/>
        </w:rPr>
        <w:t>Marginal Costing Statement</w:t>
      </w:r>
      <w:bookmarkEnd w:id="1"/>
    </w:p>
    <w:p w14:paraId="40B68EB0" w14:textId="560FF595" w:rsidR="6DC010B6" w:rsidRPr="00093DDF" w:rsidRDefault="007C2DD5" w:rsidP="00093DDF">
      <w:pPr>
        <w:spacing w:line="360" w:lineRule="auto"/>
        <w:rPr>
          <w:rFonts w:ascii="Arial" w:hAnsi="Arial" w:cs="Arial"/>
          <w:lang w:val="en-GB"/>
        </w:rPr>
      </w:pPr>
      <w:r w:rsidRPr="00093DDF">
        <w:rPr>
          <w:rFonts w:ascii="Arial" w:hAnsi="Arial" w:cs="Arial"/>
          <w:lang w:val="en-GB"/>
        </w:rPr>
        <w:t xml:space="preserve">The </w:t>
      </w:r>
      <w:r w:rsidR="00696F65" w:rsidRPr="00093DDF">
        <w:rPr>
          <w:rFonts w:ascii="Arial" w:hAnsi="Arial" w:cs="Arial"/>
          <w:lang w:val="en-GB"/>
        </w:rPr>
        <w:t xml:space="preserve">accounted period </w:t>
      </w:r>
      <w:r w:rsidRPr="00093DDF">
        <w:rPr>
          <w:rFonts w:ascii="Arial" w:hAnsi="Arial" w:cs="Arial"/>
          <w:lang w:val="en-GB"/>
        </w:rPr>
        <w:t>profit</w:t>
      </w:r>
      <w:r w:rsidR="005E0ECF" w:rsidRPr="00093DDF">
        <w:rPr>
          <w:rFonts w:ascii="Arial" w:hAnsi="Arial" w:cs="Arial"/>
          <w:lang w:val="en-GB"/>
        </w:rPr>
        <w:t xml:space="preserve">/Loss </w:t>
      </w:r>
      <w:r w:rsidR="00147269" w:rsidRPr="00093DDF">
        <w:rPr>
          <w:rFonts w:ascii="Arial" w:hAnsi="Arial" w:cs="Arial"/>
          <w:lang w:val="en-GB"/>
        </w:rPr>
        <w:t xml:space="preserve">report shows a </w:t>
      </w:r>
      <w:r w:rsidR="001F123A" w:rsidRPr="00093DDF">
        <w:rPr>
          <w:rFonts w:ascii="Arial" w:hAnsi="Arial" w:cs="Arial"/>
          <w:lang w:val="en-GB"/>
        </w:rPr>
        <w:t xml:space="preserve">total </w:t>
      </w:r>
      <w:r w:rsidR="00147269" w:rsidRPr="00093DDF">
        <w:rPr>
          <w:rFonts w:ascii="Arial" w:hAnsi="Arial" w:cs="Arial"/>
          <w:lang w:val="en-GB"/>
        </w:rPr>
        <w:t xml:space="preserve">loss of </w:t>
      </w:r>
      <w:r w:rsidR="001F123A" w:rsidRPr="00093DDF">
        <w:rPr>
          <w:rFonts w:ascii="Arial" w:hAnsi="Arial" w:cs="Arial"/>
          <w:lang w:val="en-GB"/>
        </w:rPr>
        <w:t>£</w:t>
      </w:r>
      <w:r w:rsidR="00984ECE" w:rsidRPr="00093DDF">
        <w:rPr>
          <w:rFonts w:ascii="Arial" w:hAnsi="Arial" w:cs="Arial"/>
          <w:lang w:val="en-GB"/>
        </w:rPr>
        <w:t>(</w:t>
      </w:r>
      <w:r w:rsidR="001F123A" w:rsidRPr="00093DDF">
        <w:rPr>
          <w:rFonts w:ascii="Arial" w:hAnsi="Arial" w:cs="Arial"/>
          <w:lang w:val="en-GB"/>
        </w:rPr>
        <w:t>1,</w:t>
      </w:r>
      <w:r w:rsidR="002268BD" w:rsidRPr="00093DDF">
        <w:rPr>
          <w:rFonts w:ascii="Arial" w:hAnsi="Arial" w:cs="Arial"/>
          <w:lang w:val="en-GB"/>
        </w:rPr>
        <w:t>75</w:t>
      </w:r>
      <w:r w:rsidR="001F123A" w:rsidRPr="00093DDF">
        <w:rPr>
          <w:rFonts w:ascii="Arial" w:hAnsi="Arial" w:cs="Arial"/>
          <w:lang w:val="en-GB"/>
        </w:rPr>
        <w:t>1.</w:t>
      </w:r>
      <w:r w:rsidR="002268BD" w:rsidRPr="00093DDF">
        <w:rPr>
          <w:rFonts w:ascii="Arial" w:hAnsi="Arial" w:cs="Arial"/>
          <w:lang w:val="en-GB"/>
        </w:rPr>
        <w:t>21)</w:t>
      </w:r>
      <w:r w:rsidR="001F123A" w:rsidRPr="00093DDF">
        <w:rPr>
          <w:rFonts w:ascii="Arial" w:hAnsi="Arial" w:cs="Arial"/>
          <w:lang w:val="en-GB"/>
        </w:rPr>
        <w:t xml:space="preserve"> for the production of the </w:t>
      </w:r>
      <w:r w:rsidR="00187F57" w:rsidRPr="00093DDF">
        <w:rPr>
          <w:rFonts w:ascii="Arial" w:hAnsi="Arial" w:cs="Arial"/>
          <w:lang w:val="en-GB"/>
        </w:rPr>
        <w:t>company products.</w:t>
      </w:r>
      <w:r w:rsidR="00AF59CF" w:rsidRPr="00093DDF">
        <w:rPr>
          <w:rFonts w:ascii="Arial" w:hAnsi="Arial" w:cs="Arial"/>
          <w:lang w:val="en-GB"/>
        </w:rPr>
        <w:t xml:space="preserve"> In order to </w:t>
      </w:r>
      <w:r w:rsidR="00C206AE" w:rsidRPr="00093DDF">
        <w:rPr>
          <w:rFonts w:ascii="Arial" w:hAnsi="Arial" w:cs="Arial"/>
          <w:lang w:val="en-GB"/>
        </w:rPr>
        <w:t>define the products</w:t>
      </w:r>
      <w:r w:rsidR="005A0393" w:rsidRPr="00093DDF">
        <w:rPr>
          <w:rFonts w:ascii="Arial" w:hAnsi="Arial" w:cs="Arial"/>
          <w:lang w:val="en-GB"/>
        </w:rPr>
        <w:t>’ viability</w:t>
      </w:r>
      <w:r w:rsidR="0039643C" w:rsidRPr="00093DDF">
        <w:rPr>
          <w:rFonts w:ascii="Arial" w:hAnsi="Arial" w:cs="Arial"/>
          <w:lang w:val="en-GB"/>
        </w:rPr>
        <w:t xml:space="preserve"> </w:t>
      </w:r>
      <w:r w:rsidR="004236B6" w:rsidRPr="00093DDF">
        <w:rPr>
          <w:rFonts w:ascii="Arial" w:hAnsi="Arial" w:cs="Arial"/>
          <w:lang w:val="en-GB"/>
        </w:rPr>
        <w:t xml:space="preserve">the </w:t>
      </w:r>
      <w:r w:rsidR="008C22DC" w:rsidRPr="00093DDF">
        <w:rPr>
          <w:rFonts w:ascii="Arial" w:hAnsi="Arial" w:cs="Arial"/>
          <w:lang w:val="en-GB"/>
        </w:rPr>
        <w:t>contribution of each product should be known.</w:t>
      </w:r>
      <w:bookmarkStart w:id="2" w:name="_MON_1717846133"/>
      <w:bookmarkEnd w:id="2"/>
      <w:r w:rsidR="008C22DC" w:rsidRPr="00093DDF">
        <w:rPr>
          <w:rFonts w:ascii="Arial" w:hAnsi="Arial" w:cs="Arial"/>
          <w:lang w:val="en-GB"/>
        </w:rPr>
        <w:t xml:space="preserve"> </w:t>
      </w:r>
      <w:r w:rsidR="009D2712" w:rsidRPr="00093DDF">
        <w:rPr>
          <w:rFonts w:ascii="Arial" w:hAnsi="Arial" w:cs="Arial"/>
          <w:lang w:val="en-GB"/>
        </w:rPr>
        <w:t>Table 1</w:t>
      </w:r>
      <w:r w:rsidR="004C4CB7" w:rsidRPr="00093DDF">
        <w:rPr>
          <w:rFonts w:ascii="Arial" w:hAnsi="Arial" w:cs="Arial"/>
          <w:lang w:val="en-GB"/>
        </w:rPr>
        <w:t xml:space="preserve"> shows the </w:t>
      </w:r>
      <w:r w:rsidR="000D76CC" w:rsidRPr="00093DDF">
        <w:rPr>
          <w:rFonts w:ascii="Arial" w:hAnsi="Arial" w:cs="Arial"/>
          <w:lang w:val="en-GB"/>
        </w:rPr>
        <w:t>report with contribution included in the calculations:</w:t>
      </w:r>
    </w:p>
    <w:p w14:paraId="3D4D2B5F" w14:textId="06BD6F75" w:rsidR="00756B14" w:rsidRPr="00093DDF" w:rsidRDefault="00756B14" w:rsidP="00093DDF">
      <w:pPr>
        <w:pStyle w:val="Heading3"/>
        <w:spacing w:line="360" w:lineRule="auto"/>
        <w:rPr>
          <w:rFonts w:ascii="Arial" w:hAnsi="Arial" w:cs="Arial"/>
          <w:sz w:val="22"/>
          <w:szCs w:val="22"/>
          <w:lang w:val="en-GB"/>
        </w:rPr>
      </w:pPr>
      <w:bookmarkStart w:id="3" w:name="_Toc108092240"/>
      <w:r w:rsidRPr="00093DDF">
        <w:rPr>
          <w:rFonts w:ascii="Arial" w:hAnsi="Arial" w:cs="Arial"/>
          <w:sz w:val="22"/>
          <w:szCs w:val="22"/>
          <w:lang w:val="en-GB"/>
        </w:rPr>
        <w:t>Table 1. Accounting report for the production of Wheelchairs, Hoists and Mobile Beds</w:t>
      </w:r>
      <w:bookmarkEnd w:id="3"/>
    </w:p>
    <w:bookmarkStart w:id="4" w:name="_1718626123"/>
    <w:bookmarkEnd w:id="4"/>
    <w:p w14:paraId="5991A3AD" w14:textId="4272F52E" w:rsidR="009B2136" w:rsidRPr="00093DDF" w:rsidRDefault="001A697A" w:rsidP="00093DDF">
      <w:pPr>
        <w:spacing w:line="360" w:lineRule="auto"/>
        <w:rPr>
          <w:rFonts w:ascii="Arial" w:hAnsi="Arial" w:cs="Arial"/>
        </w:rPr>
      </w:pPr>
      <w:r w:rsidRPr="00093DDF">
        <w:rPr>
          <w:rFonts w:ascii="Arial" w:hAnsi="Arial" w:cs="Arial"/>
        </w:rPr>
        <w:object w:dxaOrig="8524" w:dyaOrig="3518" w14:anchorId="53BCA0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8" type="#_x0000_t75" style="width:426.35pt;height:175.95pt" o:ole="">
            <v:imagedata r:id="rId12" o:title=""/>
          </v:shape>
          <o:OLEObject Type="Embed" ProgID="Excel.Sheet.12" ShapeID="_x0000_i1088" DrawAspect="Content" ObjectID="_1718709043" r:id="rId13"/>
        </w:object>
      </w:r>
    </w:p>
    <w:p w14:paraId="6F1C7914" w14:textId="77777777" w:rsidR="00216AFA" w:rsidRPr="00093DDF" w:rsidRDefault="003E5117" w:rsidP="00093DDF">
      <w:pPr>
        <w:spacing w:after="0" w:line="360" w:lineRule="auto"/>
        <w:rPr>
          <w:rFonts w:ascii="Arial" w:hAnsi="Arial" w:cs="Arial"/>
          <w:lang w:val="en-GB"/>
        </w:rPr>
      </w:pPr>
      <w:r w:rsidRPr="00093DDF">
        <w:rPr>
          <w:rFonts w:ascii="Arial" w:hAnsi="Arial" w:cs="Arial"/>
          <w:lang w:val="en-GB"/>
        </w:rPr>
        <w:t>The calcu</w:t>
      </w:r>
      <w:r w:rsidR="002B0925" w:rsidRPr="00093DDF">
        <w:rPr>
          <w:rFonts w:ascii="Arial" w:hAnsi="Arial" w:cs="Arial"/>
          <w:lang w:val="en-GB"/>
        </w:rPr>
        <w:t xml:space="preserve">lations show that the contribution of the </w:t>
      </w:r>
      <w:r w:rsidR="00216AFA" w:rsidRPr="00093DDF">
        <w:rPr>
          <w:rFonts w:ascii="Arial" w:hAnsi="Arial" w:cs="Arial"/>
          <w:lang w:val="en-GB"/>
        </w:rPr>
        <w:t>W</w:t>
      </w:r>
      <w:r w:rsidR="002B0925" w:rsidRPr="00093DDF">
        <w:rPr>
          <w:rFonts w:ascii="Arial" w:hAnsi="Arial" w:cs="Arial"/>
          <w:lang w:val="en-GB"/>
        </w:rPr>
        <w:t>heelchairs</w:t>
      </w:r>
      <w:r w:rsidR="003C6AC4" w:rsidRPr="00093DDF">
        <w:rPr>
          <w:rFonts w:ascii="Arial" w:hAnsi="Arial" w:cs="Arial"/>
          <w:lang w:val="en-GB"/>
        </w:rPr>
        <w:t xml:space="preserve"> </w:t>
      </w:r>
      <w:r w:rsidR="002B0925" w:rsidRPr="00093DDF">
        <w:rPr>
          <w:rFonts w:ascii="Arial" w:hAnsi="Arial" w:cs="Arial"/>
          <w:lang w:val="en-GB"/>
        </w:rPr>
        <w:t xml:space="preserve">and </w:t>
      </w:r>
      <w:r w:rsidR="007579D4" w:rsidRPr="00093DDF">
        <w:rPr>
          <w:rFonts w:ascii="Arial" w:hAnsi="Arial" w:cs="Arial"/>
          <w:lang w:val="en-GB"/>
        </w:rPr>
        <w:t xml:space="preserve">the </w:t>
      </w:r>
      <w:r w:rsidR="00216AFA" w:rsidRPr="00093DDF">
        <w:rPr>
          <w:rFonts w:ascii="Arial" w:hAnsi="Arial" w:cs="Arial"/>
          <w:lang w:val="en-GB"/>
        </w:rPr>
        <w:t>M</w:t>
      </w:r>
      <w:r w:rsidR="007579D4" w:rsidRPr="00093DDF">
        <w:rPr>
          <w:rFonts w:ascii="Arial" w:hAnsi="Arial" w:cs="Arial"/>
          <w:lang w:val="en-GB"/>
        </w:rPr>
        <w:t xml:space="preserve">obile beds are </w:t>
      </w:r>
      <w:r w:rsidR="003C6AC4" w:rsidRPr="00093DDF">
        <w:rPr>
          <w:rFonts w:ascii="Arial" w:hAnsi="Arial" w:cs="Arial"/>
          <w:lang w:val="en-GB"/>
        </w:rPr>
        <w:t>both</w:t>
      </w:r>
      <w:r w:rsidR="007579D4" w:rsidRPr="00093DDF">
        <w:rPr>
          <w:rFonts w:ascii="Arial" w:hAnsi="Arial" w:cs="Arial"/>
          <w:lang w:val="en-GB"/>
        </w:rPr>
        <w:t xml:space="preserve"> of positive values</w:t>
      </w:r>
      <w:r w:rsidR="00756B14" w:rsidRPr="00093DDF">
        <w:rPr>
          <w:rFonts w:ascii="Arial" w:hAnsi="Arial" w:cs="Arial"/>
          <w:lang w:val="en-GB"/>
        </w:rPr>
        <w:t xml:space="preserve">, respectively </w:t>
      </w:r>
      <w:r w:rsidR="00216AFA" w:rsidRPr="00093DDF">
        <w:rPr>
          <w:rFonts w:ascii="Arial" w:hAnsi="Arial" w:cs="Arial"/>
          <w:lang w:val="en-GB"/>
        </w:rPr>
        <w:t>£</w:t>
      </w:r>
      <w:r w:rsidR="00216AFA" w:rsidRPr="00093DDF">
        <w:rPr>
          <w:rFonts w:ascii="Arial" w:hAnsi="Arial" w:cs="Arial"/>
          <w:color w:val="000000"/>
        </w:rPr>
        <w:t xml:space="preserve"> </w:t>
      </w:r>
      <w:r w:rsidR="00216AFA" w:rsidRPr="00093DDF">
        <w:rPr>
          <w:rFonts w:ascii="Arial" w:eastAsia="Times New Roman" w:hAnsi="Arial" w:cs="Arial"/>
          <w:color w:val="000000"/>
          <w:lang w:val="en-US"/>
        </w:rPr>
        <w:t>2,829.32 and £2,129.32</w:t>
      </w:r>
      <w:r w:rsidR="007579D4" w:rsidRPr="00093DDF">
        <w:rPr>
          <w:rFonts w:ascii="Arial" w:hAnsi="Arial" w:cs="Arial"/>
          <w:lang w:val="en-GB"/>
        </w:rPr>
        <w:t>.</w:t>
      </w:r>
      <w:r w:rsidR="00216AFA" w:rsidRPr="00093DDF">
        <w:rPr>
          <w:rFonts w:ascii="Arial" w:hAnsi="Arial" w:cs="Arial"/>
          <w:lang w:val="en-GB"/>
        </w:rPr>
        <w:t xml:space="preserve"> Only the production of H</w:t>
      </w:r>
      <w:r w:rsidR="000B4D76" w:rsidRPr="00093DDF">
        <w:rPr>
          <w:rFonts w:ascii="Arial" w:hAnsi="Arial" w:cs="Arial"/>
          <w:lang w:val="en-GB"/>
        </w:rPr>
        <w:t>oists has a negative contribution</w:t>
      </w:r>
      <w:r w:rsidR="00216AFA" w:rsidRPr="00093DDF">
        <w:rPr>
          <w:rFonts w:ascii="Arial" w:hAnsi="Arial" w:cs="Arial"/>
          <w:lang w:val="en-GB"/>
        </w:rPr>
        <w:t xml:space="preserve"> of £(209.85)</w:t>
      </w:r>
      <w:r w:rsidR="000B4D76" w:rsidRPr="00093DDF">
        <w:rPr>
          <w:rFonts w:ascii="Arial" w:hAnsi="Arial" w:cs="Arial"/>
          <w:lang w:val="en-GB"/>
        </w:rPr>
        <w:t>.</w:t>
      </w:r>
      <w:r w:rsidR="00216AFA" w:rsidRPr="00093DDF">
        <w:rPr>
          <w:rFonts w:ascii="Arial" w:hAnsi="Arial" w:cs="Arial"/>
          <w:lang w:val="en-GB"/>
        </w:rPr>
        <w:t xml:space="preserve"> This makes a total of £4,748.79 contribution for the entire production. </w:t>
      </w:r>
    </w:p>
    <w:p w14:paraId="5592FE24" w14:textId="77777777" w:rsidR="00216AFA" w:rsidRPr="00093DDF" w:rsidRDefault="00216AFA" w:rsidP="00093DDF">
      <w:pPr>
        <w:spacing w:after="160" w:line="360" w:lineRule="auto"/>
        <w:rPr>
          <w:rFonts w:ascii="Arial" w:hAnsi="Arial" w:cs="Arial"/>
          <w:lang w:val="en-GB"/>
        </w:rPr>
      </w:pPr>
      <w:r w:rsidRPr="00093DDF">
        <w:rPr>
          <w:rFonts w:ascii="Arial" w:hAnsi="Arial" w:cs="Arial"/>
          <w:lang w:val="en-GB"/>
        </w:rPr>
        <w:br w:type="page"/>
      </w:r>
    </w:p>
    <w:p w14:paraId="3945516A" w14:textId="0B343860" w:rsidR="00E639C1" w:rsidRPr="00093DDF" w:rsidRDefault="00A362C3" w:rsidP="00093DDF">
      <w:pPr>
        <w:pStyle w:val="Heading2"/>
        <w:spacing w:line="360" w:lineRule="auto"/>
        <w:rPr>
          <w:rFonts w:ascii="Arial" w:hAnsi="Arial" w:cs="Arial"/>
          <w:sz w:val="22"/>
          <w:szCs w:val="22"/>
          <w:lang w:val="en-GB"/>
        </w:rPr>
      </w:pPr>
      <w:bookmarkStart w:id="5" w:name="_Toc108092241"/>
      <w:r w:rsidRPr="00093DDF">
        <w:rPr>
          <w:rFonts w:ascii="Arial" w:hAnsi="Arial" w:cs="Arial"/>
          <w:sz w:val="22"/>
          <w:szCs w:val="22"/>
          <w:lang w:val="en-GB"/>
        </w:rPr>
        <w:t xml:space="preserve">Discontinuing the production of </w:t>
      </w:r>
      <w:r w:rsidR="00E639C1" w:rsidRPr="00093DDF">
        <w:rPr>
          <w:rFonts w:ascii="Arial" w:hAnsi="Arial" w:cs="Arial"/>
          <w:sz w:val="22"/>
          <w:szCs w:val="22"/>
          <w:lang w:val="en-GB"/>
        </w:rPr>
        <w:t>Hoists</w:t>
      </w:r>
      <w:bookmarkEnd w:id="5"/>
    </w:p>
    <w:p w14:paraId="6D6371B8" w14:textId="5B6A86A5" w:rsidR="003C6AC4" w:rsidRPr="00093DDF" w:rsidRDefault="0038014A" w:rsidP="00093DDF">
      <w:pPr>
        <w:spacing w:line="360" w:lineRule="auto"/>
        <w:rPr>
          <w:rFonts w:ascii="Arial" w:hAnsi="Arial" w:cs="Arial"/>
          <w:lang w:val="en-GB"/>
        </w:rPr>
      </w:pPr>
      <w:r w:rsidRPr="00093DDF">
        <w:rPr>
          <w:rFonts w:ascii="Arial" w:hAnsi="Arial" w:cs="Arial"/>
          <w:lang w:val="en-GB"/>
        </w:rPr>
        <w:t>The</w:t>
      </w:r>
      <w:r w:rsidR="00EE70B3" w:rsidRPr="00093DDF">
        <w:rPr>
          <w:rFonts w:ascii="Arial" w:hAnsi="Arial" w:cs="Arial"/>
          <w:lang w:val="en-GB"/>
        </w:rPr>
        <w:t xml:space="preserve"> decision to </w:t>
      </w:r>
      <w:r w:rsidRPr="00093DDF">
        <w:rPr>
          <w:rFonts w:ascii="Arial" w:hAnsi="Arial" w:cs="Arial"/>
          <w:lang w:val="en-GB"/>
        </w:rPr>
        <w:t xml:space="preserve">discontinue the production of </w:t>
      </w:r>
      <w:r w:rsidR="00B7644C" w:rsidRPr="00093DDF">
        <w:rPr>
          <w:rFonts w:ascii="Arial" w:hAnsi="Arial" w:cs="Arial"/>
          <w:lang w:val="en-GB"/>
        </w:rPr>
        <w:t>H</w:t>
      </w:r>
      <w:r w:rsidRPr="00093DDF">
        <w:rPr>
          <w:rFonts w:ascii="Arial" w:hAnsi="Arial" w:cs="Arial"/>
          <w:lang w:val="en-GB"/>
        </w:rPr>
        <w:t xml:space="preserve">oists </w:t>
      </w:r>
      <w:r w:rsidR="00F70BB0" w:rsidRPr="00093DDF">
        <w:rPr>
          <w:rFonts w:ascii="Arial" w:hAnsi="Arial" w:cs="Arial"/>
          <w:lang w:val="en-GB"/>
        </w:rPr>
        <w:t>will bring the following results:</w:t>
      </w:r>
    </w:p>
    <w:p w14:paraId="7F13B8AF" w14:textId="61641840" w:rsidR="00756B14" w:rsidRPr="00093DDF" w:rsidRDefault="00756B14" w:rsidP="00093DDF">
      <w:pPr>
        <w:pStyle w:val="Heading3"/>
        <w:spacing w:line="360" w:lineRule="auto"/>
        <w:rPr>
          <w:rFonts w:ascii="Arial" w:hAnsi="Arial" w:cs="Arial"/>
          <w:sz w:val="22"/>
          <w:szCs w:val="22"/>
          <w:lang w:val="en-GB"/>
        </w:rPr>
      </w:pPr>
      <w:bookmarkStart w:id="6" w:name="_Toc108092242"/>
      <w:r w:rsidRPr="00093DDF">
        <w:rPr>
          <w:rFonts w:ascii="Arial" w:hAnsi="Arial" w:cs="Arial"/>
          <w:sz w:val="22"/>
          <w:szCs w:val="22"/>
          <w:lang w:val="en-GB"/>
        </w:rPr>
        <w:t>Table 2. Accounting report for the production of Wheelchairs, and Mobile Beds after discontinuing Hoists</w:t>
      </w:r>
      <w:bookmarkEnd w:id="6"/>
    </w:p>
    <w:bookmarkStart w:id="7" w:name="_MON_1718626160"/>
    <w:bookmarkEnd w:id="7"/>
    <w:p w14:paraId="49442701" w14:textId="6EDAF0CE" w:rsidR="00A362C3" w:rsidRPr="00093DDF" w:rsidRDefault="00BE7A9D" w:rsidP="00093DDF">
      <w:pPr>
        <w:spacing w:line="360" w:lineRule="auto"/>
        <w:rPr>
          <w:rFonts w:ascii="Arial" w:hAnsi="Arial" w:cs="Arial"/>
          <w:lang w:val="en-GB"/>
        </w:rPr>
      </w:pPr>
      <w:r w:rsidRPr="00093DDF">
        <w:rPr>
          <w:rFonts w:ascii="Arial" w:hAnsi="Arial" w:cs="Arial"/>
          <w:lang w:val="en-GB"/>
        </w:rPr>
        <w:object w:dxaOrig="7377" w:dyaOrig="3521" w14:anchorId="2CEFC126">
          <v:shape id="_x0000_i1086" type="#_x0000_t75" style="width:368.75pt;height:175.95pt" o:ole="">
            <v:imagedata r:id="rId14" o:title=""/>
          </v:shape>
          <o:OLEObject Type="Embed" ProgID="Excel.Sheet.8" ShapeID="_x0000_i1086" DrawAspect="Content" ObjectID="_1718709044" r:id="rId15"/>
        </w:object>
      </w:r>
    </w:p>
    <w:p w14:paraId="737F472B" w14:textId="3F314EB0" w:rsidR="0053156C" w:rsidRPr="00093DDF" w:rsidRDefault="00F70BB0" w:rsidP="00093DDF">
      <w:pPr>
        <w:spacing w:line="360" w:lineRule="auto"/>
        <w:rPr>
          <w:rFonts w:ascii="Arial" w:hAnsi="Arial" w:cs="Arial"/>
          <w:lang w:val="en-GB"/>
        </w:rPr>
      </w:pPr>
      <w:r w:rsidRPr="00093DDF">
        <w:rPr>
          <w:rFonts w:ascii="Arial" w:hAnsi="Arial" w:cs="Arial"/>
          <w:lang w:val="en-GB"/>
        </w:rPr>
        <w:t xml:space="preserve">As the table above indicates, </w:t>
      </w:r>
      <w:r w:rsidR="00F6095B" w:rsidRPr="00093DDF">
        <w:rPr>
          <w:rFonts w:ascii="Arial" w:hAnsi="Arial" w:cs="Arial"/>
          <w:lang w:val="en-GB"/>
        </w:rPr>
        <w:t xml:space="preserve">discontinuing hoists will </w:t>
      </w:r>
      <w:r w:rsidR="0075606F" w:rsidRPr="00093DDF">
        <w:rPr>
          <w:rFonts w:ascii="Arial" w:hAnsi="Arial" w:cs="Arial"/>
          <w:lang w:val="en-GB"/>
        </w:rPr>
        <w:t xml:space="preserve">reduce the cost for direct material, direct labour, and other variable costs with, respectively, £(4,905.00), £(2,535.00), and  £(69.85). This will lead to reduction in the total expenses but it will </w:t>
      </w:r>
      <w:r w:rsidR="00F6095B" w:rsidRPr="00093DDF">
        <w:rPr>
          <w:rFonts w:ascii="Arial" w:hAnsi="Arial" w:cs="Arial"/>
          <w:lang w:val="en-GB"/>
        </w:rPr>
        <w:t xml:space="preserve">not </w:t>
      </w:r>
      <w:r w:rsidR="006C1B0F" w:rsidRPr="00093DDF">
        <w:rPr>
          <w:rFonts w:ascii="Arial" w:hAnsi="Arial" w:cs="Arial"/>
          <w:lang w:val="en-GB"/>
        </w:rPr>
        <w:t xml:space="preserve">change the loss to a profit </w:t>
      </w:r>
      <w:r w:rsidR="00F315DA" w:rsidRPr="00093DDF">
        <w:rPr>
          <w:rFonts w:ascii="Arial" w:hAnsi="Arial" w:cs="Arial"/>
          <w:lang w:val="en-GB"/>
        </w:rPr>
        <w:t xml:space="preserve">although </w:t>
      </w:r>
      <w:r w:rsidR="00C17827" w:rsidRPr="00093DDF">
        <w:rPr>
          <w:rFonts w:ascii="Arial" w:hAnsi="Arial" w:cs="Arial"/>
          <w:lang w:val="en-GB"/>
        </w:rPr>
        <w:t>it</w:t>
      </w:r>
      <w:r w:rsidR="00F315DA" w:rsidRPr="00093DDF">
        <w:rPr>
          <w:rFonts w:ascii="Arial" w:hAnsi="Arial" w:cs="Arial"/>
          <w:lang w:val="en-GB"/>
        </w:rPr>
        <w:t xml:space="preserve"> will slightly mitigate the </w:t>
      </w:r>
      <w:r w:rsidR="0053156C" w:rsidRPr="00093DDF">
        <w:rPr>
          <w:rFonts w:ascii="Arial" w:hAnsi="Arial" w:cs="Arial"/>
          <w:lang w:val="en-GB"/>
        </w:rPr>
        <w:t>negative result</w:t>
      </w:r>
      <w:r w:rsidR="00756B14" w:rsidRPr="00093DDF">
        <w:rPr>
          <w:rFonts w:ascii="Arial" w:hAnsi="Arial" w:cs="Arial"/>
          <w:lang w:val="en-GB"/>
        </w:rPr>
        <w:t xml:space="preserve"> from £(1,751.21) to £(1,541.36)</w:t>
      </w:r>
      <w:r w:rsidR="0053156C" w:rsidRPr="00093DDF">
        <w:rPr>
          <w:rFonts w:ascii="Arial" w:hAnsi="Arial" w:cs="Arial"/>
          <w:lang w:val="en-GB"/>
        </w:rPr>
        <w:t>.</w:t>
      </w:r>
    </w:p>
    <w:p w14:paraId="450160F1" w14:textId="5032D10A" w:rsidR="00E639C1" w:rsidRPr="00093DDF" w:rsidRDefault="000E2AD9" w:rsidP="00093DDF">
      <w:pPr>
        <w:pStyle w:val="Heading2"/>
        <w:spacing w:line="360" w:lineRule="auto"/>
        <w:rPr>
          <w:rFonts w:ascii="Arial" w:hAnsi="Arial" w:cs="Arial"/>
          <w:sz w:val="22"/>
          <w:szCs w:val="22"/>
          <w:lang w:val="en-GB"/>
        </w:rPr>
      </w:pPr>
      <w:bookmarkStart w:id="8" w:name="_Toc108092243"/>
      <w:r w:rsidRPr="00093DDF">
        <w:rPr>
          <w:rFonts w:ascii="Arial" w:hAnsi="Arial" w:cs="Arial"/>
          <w:sz w:val="22"/>
          <w:szCs w:val="22"/>
          <w:lang w:val="en-GB"/>
        </w:rPr>
        <w:t>Discontinuing the production of</w:t>
      </w:r>
      <w:r w:rsidR="00E639C1" w:rsidRPr="00093DDF">
        <w:rPr>
          <w:rFonts w:ascii="Arial" w:hAnsi="Arial" w:cs="Arial"/>
          <w:sz w:val="22"/>
          <w:szCs w:val="22"/>
          <w:lang w:val="en-GB"/>
        </w:rPr>
        <w:t xml:space="preserve"> </w:t>
      </w:r>
      <w:r w:rsidR="00636063" w:rsidRPr="00093DDF">
        <w:rPr>
          <w:rFonts w:ascii="Arial" w:hAnsi="Arial" w:cs="Arial"/>
          <w:sz w:val="22"/>
          <w:szCs w:val="22"/>
          <w:lang w:val="en-GB"/>
        </w:rPr>
        <w:t>Mobile beds</w:t>
      </w:r>
      <w:bookmarkEnd w:id="8"/>
      <w:r w:rsidR="00636063" w:rsidRPr="00093DDF">
        <w:rPr>
          <w:rFonts w:ascii="Arial" w:hAnsi="Arial" w:cs="Arial"/>
          <w:sz w:val="22"/>
          <w:szCs w:val="22"/>
          <w:lang w:val="en-GB"/>
        </w:rPr>
        <w:t xml:space="preserve"> </w:t>
      </w:r>
    </w:p>
    <w:p w14:paraId="488A49B2" w14:textId="15D45BDD" w:rsidR="00A75176" w:rsidRPr="00093DDF" w:rsidRDefault="00A75176" w:rsidP="00093DDF">
      <w:pPr>
        <w:spacing w:line="360" w:lineRule="auto"/>
        <w:rPr>
          <w:rFonts w:ascii="Arial" w:hAnsi="Arial" w:cs="Arial"/>
          <w:lang w:val="en-GB"/>
        </w:rPr>
      </w:pPr>
      <w:r w:rsidRPr="00093DDF">
        <w:rPr>
          <w:rFonts w:ascii="Arial" w:hAnsi="Arial" w:cs="Arial"/>
          <w:lang w:val="en-GB"/>
        </w:rPr>
        <w:t xml:space="preserve">On the other </w:t>
      </w:r>
      <w:r w:rsidR="00BB1339" w:rsidRPr="00093DDF">
        <w:rPr>
          <w:rFonts w:ascii="Arial" w:hAnsi="Arial" w:cs="Arial"/>
          <w:lang w:val="en-GB"/>
        </w:rPr>
        <w:t>hand,</w:t>
      </w:r>
      <w:r w:rsidRPr="00093DDF">
        <w:rPr>
          <w:rFonts w:ascii="Arial" w:hAnsi="Arial" w:cs="Arial"/>
          <w:lang w:val="en-GB"/>
        </w:rPr>
        <w:t xml:space="preserve"> </w:t>
      </w:r>
      <w:r w:rsidR="00045143" w:rsidRPr="00093DDF">
        <w:rPr>
          <w:rFonts w:ascii="Arial" w:hAnsi="Arial" w:cs="Arial"/>
          <w:lang w:val="en-GB"/>
        </w:rPr>
        <w:t>the decision to discontinue the production of mobile beds will reflect on the company profits in the following way</w:t>
      </w:r>
      <w:r w:rsidR="005578AE" w:rsidRPr="00093DDF">
        <w:rPr>
          <w:rFonts w:ascii="Arial" w:hAnsi="Arial" w:cs="Arial"/>
          <w:lang w:val="en-GB"/>
        </w:rPr>
        <w:t>:</w:t>
      </w:r>
    </w:p>
    <w:p w14:paraId="0413CA11" w14:textId="307BCCEE" w:rsidR="00756B14" w:rsidRPr="00093DDF" w:rsidRDefault="00756B14" w:rsidP="00093DDF">
      <w:pPr>
        <w:pStyle w:val="Heading3"/>
        <w:spacing w:line="360" w:lineRule="auto"/>
        <w:rPr>
          <w:rFonts w:ascii="Arial" w:hAnsi="Arial" w:cs="Arial"/>
          <w:sz w:val="22"/>
          <w:szCs w:val="22"/>
          <w:lang w:val="en-GB"/>
        </w:rPr>
      </w:pPr>
      <w:bookmarkStart w:id="9" w:name="_Toc108092244"/>
      <w:r w:rsidRPr="00093DDF">
        <w:rPr>
          <w:rFonts w:ascii="Arial" w:hAnsi="Arial" w:cs="Arial"/>
          <w:sz w:val="22"/>
          <w:szCs w:val="22"/>
          <w:lang w:val="en-GB"/>
        </w:rPr>
        <w:t xml:space="preserve">Table </w:t>
      </w:r>
      <w:r w:rsidR="00B7644C" w:rsidRPr="00093DDF">
        <w:rPr>
          <w:rFonts w:ascii="Arial" w:hAnsi="Arial" w:cs="Arial"/>
          <w:sz w:val="22"/>
          <w:szCs w:val="22"/>
          <w:lang w:val="en-GB"/>
        </w:rPr>
        <w:t>3</w:t>
      </w:r>
      <w:r w:rsidRPr="00093DDF">
        <w:rPr>
          <w:rFonts w:ascii="Arial" w:hAnsi="Arial" w:cs="Arial"/>
          <w:sz w:val="22"/>
          <w:szCs w:val="22"/>
          <w:lang w:val="en-GB"/>
        </w:rPr>
        <w:t>. Accounting report for the production of Wheelchairs, and Hoists after discontinuing Mobile Beds</w:t>
      </w:r>
      <w:bookmarkEnd w:id="9"/>
    </w:p>
    <w:bookmarkStart w:id="10" w:name="_MON_1718629411"/>
    <w:bookmarkEnd w:id="10"/>
    <w:p w14:paraId="3B7339E7" w14:textId="0F215BD3" w:rsidR="0089424E" w:rsidRPr="00093DDF" w:rsidRDefault="008109E6" w:rsidP="00093DDF">
      <w:pPr>
        <w:spacing w:line="360" w:lineRule="auto"/>
        <w:rPr>
          <w:rFonts w:ascii="Arial" w:hAnsi="Arial" w:cs="Arial"/>
          <w:lang w:val="en-GB"/>
        </w:rPr>
      </w:pPr>
      <w:r w:rsidRPr="00093DDF">
        <w:rPr>
          <w:rFonts w:ascii="Arial" w:hAnsi="Arial" w:cs="Arial"/>
          <w:lang w:val="en-GB"/>
        </w:rPr>
        <w:object w:dxaOrig="7075" w:dyaOrig="3521" w14:anchorId="4F1B839B">
          <v:shape id="_x0000_i1087" type="#_x0000_t75" style="width:354.35pt;height:175.95pt" o:ole="">
            <v:imagedata r:id="rId16" o:title=""/>
          </v:shape>
          <o:OLEObject Type="Embed" ProgID="Excel.Sheet.8" ShapeID="_x0000_i1087" DrawAspect="Content" ObjectID="_1718709045" r:id="rId17"/>
        </w:object>
      </w:r>
    </w:p>
    <w:p w14:paraId="0DCC6AF2" w14:textId="69CA9875" w:rsidR="008C61C2" w:rsidRPr="00093DDF" w:rsidRDefault="00EB4CC6" w:rsidP="00093DDF">
      <w:pPr>
        <w:spacing w:line="360" w:lineRule="auto"/>
        <w:rPr>
          <w:rFonts w:ascii="Arial" w:hAnsi="Arial" w:cs="Arial"/>
          <w:lang w:val="en-GB"/>
        </w:rPr>
      </w:pPr>
      <w:r w:rsidRPr="00093DDF">
        <w:rPr>
          <w:rFonts w:ascii="Arial" w:hAnsi="Arial" w:cs="Arial"/>
          <w:lang w:val="en-GB"/>
        </w:rPr>
        <w:t xml:space="preserve">Visible from </w:t>
      </w:r>
      <w:r w:rsidR="00B7644C" w:rsidRPr="00093DDF">
        <w:rPr>
          <w:rFonts w:ascii="Arial" w:hAnsi="Arial" w:cs="Arial"/>
          <w:lang w:val="en-GB"/>
        </w:rPr>
        <w:t>Table 3</w:t>
      </w:r>
      <w:r w:rsidRPr="00093DDF">
        <w:rPr>
          <w:rFonts w:ascii="Arial" w:hAnsi="Arial" w:cs="Arial"/>
          <w:lang w:val="en-GB"/>
        </w:rPr>
        <w:t xml:space="preserve"> above is that discontinuing the production of mobile beds will only </w:t>
      </w:r>
      <w:r w:rsidR="002409CC" w:rsidRPr="00093DDF">
        <w:rPr>
          <w:rFonts w:ascii="Arial" w:hAnsi="Arial" w:cs="Arial"/>
          <w:lang w:val="en-GB"/>
        </w:rPr>
        <w:t>escalate</w:t>
      </w:r>
      <w:r w:rsidRPr="00093DDF">
        <w:rPr>
          <w:rFonts w:ascii="Arial" w:hAnsi="Arial" w:cs="Arial"/>
          <w:lang w:val="en-GB"/>
        </w:rPr>
        <w:t xml:space="preserve"> the </w:t>
      </w:r>
      <w:r w:rsidR="002409CC" w:rsidRPr="00093DDF">
        <w:rPr>
          <w:rFonts w:ascii="Arial" w:hAnsi="Arial" w:cs="Arial"/>
          <w:lang w:val="en-GB"/>
        </w:rPr>
        <w:t>company losses</w:t>
      </w:r>
      <w:r w:rsidR="00622E3D" w:rsidRPr="00093DDF">
        <w:rPr>
          <w:rFonts w:ascii="Arial" w:hAnsi="Arial" w:cs="Arial"/>
          <w:lang w:val="en-GB"/>
        </w:rPr>
        <w:t xml:space="preserve"> to more than double the current </w:t>
      </w:r>
      <w:r w:rsidR="00B84919" w:rsidRPr="00093DDF">
        <w:rPr>
          <w:rFonts w:ascii="Arial" w:hAnsi="Arial" w:cs="Arial"/>
          <w:lang w:val="en-GB"/>
        </w:rPr>
        <w:t>positions.</w:t>
      </w:r>
      <w:r w:rsidR="00756B14" w:rsidRPr="00093DDF">
        <w:rPr>
          <w:rFonts w:ascii="Arial" w:hAnsi="Arial" w:cs="Arial"/>
          <w:lang w:val="en-GB"/>
        </w:rPr>
        <w:t xml:space="preserve"> From £(1,751.21) to £(3,880.53).</w:t>
      </w:r>
      <w:r w:rsidR="00B7644C" w:rsidRPr="00093DDF">
        <w:rPr>
          <w:rFonts w:ascii="Arial" w:hAnsi="Arial" w:cs="Arial"/>
          <w:lang w:val="en-GB"/>
        </w:rPr>
        <w:t xml:space="preserve"> Mobile beds is a well-selling product of positive contribution and discontinuing its production can lead to a number of negative consequences like lay-offs of personnel and loss of profit.</w:t>
      </w:r>
    </w:p>
    <w:p w14:paraId="34024121" w14:textId="3FFDF745" w:rsidR="0091560D" w:rsidRPr="00093DDF" w:rsidRDefault="00B7644C" w:rsidP="00093DDF">
      <w:pPr>
        <w:spacing w:line="360" w:lineRule="auto"/>
        <w:rPr>
          <w:rFonts w:ascii="Arial" w:hAnsi="Arial" w:cs="Arial"/>
          <w:lang w:val="en-GB"/>
        </w:rPr>
      </w:pPr>
      <w:r w:rsidRPr="00093DDF">
        <w:rPr>
          <w:rFonts w:ascii="Arial" w:hAnsi="Arial" w:cs="Arial"/>
          <w:lang w:val="en-GB"/>
        </w:rPr>
        <w:t xml:space="preserve">The calculations in Table 1 show that even as the contribution from the production of Mobile beds is not </w:t>
      </w:r>
      <w:r w:rsidR="0091560D" w:rsidRPr="00093DDF">
        <w:rPr>
          <w:rFonts w:ascii="Arial" w:hAnsi="Arial" w:cs="Arial"/>
          <w:lang w:val="en-GB"/>
        </w:rPr>
        <w:t>greater than the contribution form the production of Wheelchairs, discontinuing the Mobile beds will deprive the firm of the income of £10,600.00.</w:t>
      </w:r>
    </w:p>
    <w:p w14:paraId="0D03EC35" w14:textId="7E290D00" w:rsidR="0091560D" w:rsidRPr="00093DDF" w:rsidRDefault="0091560D" w:rsidP="00093DDF">
      <w:pPr>
        <w:pStyle w:val="Heading2"/>
        <w:spacing w:line="360" w:lineRule="auto"/>
        <w:rPr>
          <w:rFonts w:ascii="Arial" w:hAnsi="Arial" w:cs="Arial"/>
          <w:sz w:val="22"/>
          <w:szCs w:val="22"/>
          <w:lang w:val="en-GB"/>
        </w:rPr>
      </w:pPr>
      <w:bookmarkStart w:id="11" w:name="_Toc108092245"/>
      <w:r w:rsidRPr="00093DDF">
        <w:rPr>
          <w:rFonts w:ascii="Arial" w:hAnsi="Arial" w:cs="Arial"/>
          <w:sz w:val="22"/>
          <w:szCs w:val="22"/>
          <w:lang w:val="en-GB"/>
        </w:rPr>
        <w:t>Recommendations</w:t>
      </w:r>
      <w:bookmarkEnd w:id="11"/>
    </w:p>
    <w:p w14:paraId="16349163" w14:textId="15047F73" w:rsidR="0091560D" w:rsidRPr="00093DDF" w:rsidRDefault="0091560D" w:rsidP="00093DDF">
      <w:pPr>
        <w:spacing w:line="360" w:lineRule="auto"/>
        <w:rPr>
          <w:rFonts w:ascii="Arial" w:hAnsi="Arial" w:cs="Arial"/>
          <w:lang w:val="en-GB"/>
        </w:rPr>
      </w:pPr>
      <w:r w:rsidRPr="00093DDF">
        <w:rPr>
          <w:rFonts w:ascii="Arial" w:hAnsi="Arial" w:cs="Arial"/>
          <w:lang w:val="en-GB"/>
        </w:rPr>
        <w:t>Drudy (2021) advises that products with negative contribution should be discontinued from production and alternatively can be outsourced. However, this has to be well-thought through since the decision may lead to mass lay-offs and loss of future profit. For example, if the sales of Hoists draws the customers to buy Wheelchairs. In these cases MSG management should consider changing the production equipment. With the current rapid advancement of technologies, modern production equipment can lead to reduction in variable costs like direct labour, for example, and this can take the production of Hoist to positive contribution rates. Direct materials used in the production of Hoists can also be put in consideration. Often the latest developments in the science of materials lead to findings of cheaper materials of the same quality as the ones they intend to replace (</w:t>
      </w:r>
      <w:r w:rsidR="00EE2678">
        <w:rPr>
          <w:rFonts w:ascii="Arial" w:hAnsi="Arial" w:cs="Arial"/>
          <w:lang w:val="en-GB"/>
        </w:rPr>
        <w:t>Drury and Tyles</w:t>
      </w:r>
      <w:r w:rsidRPr="00093DDF">
        <w:rPr>
          <w:rFonts w:ascii="Arial" w:hAnsi="Arial" w:cs="Arial"/>
          <w:lang w:val="en-GB"/>
        </w:rPr>
        <w:t>, 2021, pp. 204-221).</w:t>
      </w:r>
    </w:p>
    <w:p w14:paraId="3ED0C1A6" w14:textId="7C0B3EA4" w:rsidR="004475E8" w:rsidRPr="00093DDF" w:rsidRDefault="004475E8" w:rsidP="00093DDF">
      <w:pPr>
        <w:spacing w:line="360" w:lineRule="auto"/>
        <w:rPr>
          <w:rFonts w:ascii="Arial" w:hAnsi="Arial" w:cs="Arial"/>
          <w:lang w:val="en-GB"/>
        </w:rPr>
      </w:pPr>
      <w:r w:rsidRPr="00093DDF">
        <w:rPr>
          <w:rFonts w:ascii="Arial" w:hAnsi="Arial" w:cs="Arial"/>
          <w:lang w:val="en-GB"/>
        </w:rPr>
        <w:t>Current legislation allows short-term hiring labour force for the production of Hoists. It gives the opportunity to reduce the overall salaries expeses. (</w:t>
      </w:r>
      <w:r w:rsidR="00EE2678">
        <w:rPr>
          <w:rFonts w:ascii="Arial" w:hAnsi="Arial" w:cs="Arial"/>
          <w:lang w:val="en-GB"/>
        </w:rPr>
        <w:t>Drury and Tyles</w:t>
      </w:r>
      <w:r w:rsidRPr="00093DDF">
        <w:rPr>
          <w:rFonts w:ascii="Arial" w:hAnsi="Arial" w:cs="Arial"/>
          <w:lang w:val="en-GB"/>
        </w:rPr>
        <w:t>, 2021)</w:t>
      </w:r>
    </w:p>
    <w:p w14:paraId="07E4C665" w14:textId="6A190A53" w:rsidR="0091560D" w:rsidRPr="00093DDF" w:rsidRDefault="0091560D" w:rsidP="00093DDF">
      <w:pPr>
        <w:spacing w:line="360" w:lineRule="auto"/>
        <w:rPr>
          <w:rFonts w:ascii="Arial" w:hAnsi="Arial" w:cs="Arial"/>
          <w:lang w:val="en-GB"/>
        </w:rPr>
      </w:pPr>
      <w:r w:rsidRPr="00093DDF">
        <w:rPr>
          <w:rFonts w:ascii="Arial" w:hAnsi="Arial" w:cs="Arial"/>
          <w:lang w:val="en-GB"/>
        </w:rPr>
        <w:t>Other options for turning the loss into profit are to consider reducing the fixed costs by changing the facilities with ones of lower costs (smaller warehouses or production facilities), renting some unu</w:t>
      </w:r>
      <w:r w:rsidR="00EE2678">
        <w:rPr>
          <w:rFonts w:ascii="Arial" w:hAnsi="Arial" w:cs="Arial"/>
          <w:lang w:val="en-GB"/>
        </w:rPr>
        <w:t xml:space="preserve">sed areas (if any) </w:t>
      </w:r>
      <w:r w:rsidRPr="00093DDF">
        <w:rPr>
          <w:rFonts w:ascii="Arial" w:hAnsi="Arial" w:cs="Arial"/>
          <w:lang w:val="en-GB"/>
        </w:rPr>
        <w:t>(</w:t>
      </w:r>
      <w:r w:rsidR="00EE2678">
        <w:rPr>
          <w:rFonts w:ascii="Arial" w:hAnsi="Arial" w:cs="Arial"/>
          <w:lang w:val="en-GB"/>
        </w:rPr>
        <w:t>Drury and Tyles</w:t>
      </w:r>
      <w:r w:rsidRPr="00093DDF">
        <w:rPr>
          <w:rFonts w:ascii="Arial" w:hAnsi="Arial" w:cs="Arial"/>
          <w:lang w:val="en-GB"/>
        </w:rPr>
        <w:t>, 2021, pp. 204-221)</w:t>
      </w:r>
      <w:r w:rsidR="00EE2678">
        <w:rPr>
          <w:rFonts w:ascii="Arial" w:hAnsi="Arial" w:cs="Arial"/>
          <w:lang w:val="en-GB"/>
        </w:rPr>
        <w:t>.</w:t>
      </w:r>
    </w:p>
    <w:p w14:paraId="5C6A87DE" w14:textId="19F04F61" w:rsidR="0091560D" w:rsidRPr="00093DDF" w:rsidRDefault="0091560D" w:rsidP="00093DDF">
      <w:pPr>
        <w:spacing w:line="360" w:lineRule="auto"/>
        <w:rPr>
          <w:rFonts w:ascii="Arial" w:hAnsi="Arial" w:cs="Arial"/>
          <w:lang w:val="en-GB"/>
        </w:rPr>
      </w:pPr>
      <w:r w:rsidRPr="00093DDF">
        <w:rPr>
          <w:rFonts w:ascii="Arial" w:hAnsi="Arial" w:cs="Arial"/>
          <w:lang w:val="en-GB"/>
        </w:rPr>
        <w:t>MSG should also consider new strategies in their marketing plans in order to facilitate more sales of the company production</w:t>
      </w:r>
      <w:r w:rsidR="00411F3A" w:rsidRPr="00093DDF">
        <w:rPr>
          <w:rFonts w:ascii="Arial" w:hAnsi="Arial" w:cs="Arial"/>
          <w:lang w:val="en-GB"/>
        </w:rPr>
        <w:t>.</w:t>
      </w:r>
    </w:p>
    <w:p w14:paraId="16030DE9" w14:textId="5B2121F8" w:rsidR="00636063" w:rsidRPr="00093DDF" w:rsidRDefault="00091FE7" w:rsidP="00093DDF">
      <w:pPr>
        <w:pStyle w:val="Heading1"/>
        <w:spacing w:line="360" w:lineRule="auto"/>
        <w:rPr>
          <w:rFonts w:ascii="Arial" w:hAnsi="Arial" w:cs="Arial"/>
          <w:sz w:val="22"/>
          <w:szCs w:val="22"/>
          <w:lang w:val="en-GB"/>
        </w:rPr>
      </w:pPr>
      <w:bookmarkStart w:id="12" w:name="_Toc108092246"/>
      <w:r w:rsidRPr="00093DDF">
        <w:rPr>
          <w:rFonts w:ascii="Arial" w:hAnsi="Arial" w:cs="Arial"/>
          <w:sz w:val="22"/>
          <w:szCs w:val="22"/>
          <w:lang w:val="en-GB"/>
        </w:rPr>
        <w:t>Marginal costing importance</w:t>
      </w:r>
      <w:bookmarkEnd w:id="12"/>
    </w:p>
    <w:p w14:paraId="262238C8" w14:textId="77777777" w:rsidR="00091FE7" w:rsidRPr="00093DDF" w:rsidRDefault="00091FE7" w:rsidP="00093DDF">
      <w:pPr>
        <w:pStyle w:val="Heading2"/>
        <w:spacing w:line="360" w:lineRule="auto"/>
        <w:rPr>
          <w:rFonts w:ascii="Arial" w:hAnsi="Arial" w:cs="Arial"/>
          <w:sz w:val="22"/>
          <w:szCs w:val="22"/>
          <w:lang w:val="en-GB"/>
        </w:rPr>
      </w:pPr>
      <w:bookmarkStart w:id="13" w:name="_Toc108092247"/>
      <w:r w:rsidRPr="00093DDF">
        <w:rPr>
          <w:rFonts w:ascii="Arial" w:hAnsi="Arial" w:cs="Arial"/>
          <w:sz w:val="22"/>
          <w:szCs w:val="22"/>
          <w:lang w:val="en-GB"/>
        </w:rPr>
        <w:t>Marginal costing definition and use</w:t>
      </w:r>
      <w:bookmarkEnd w:id="13"/>
    </w:p>
    <w:p w14:paraId="5CB7FA92" w14:textId="7324D7F2" w:rsidR="00953A3F" w:rsidRPr="00093DDF" w:rsidRDefault="00953A3F" w:rsidP="00093DDF">
      <w:pPr>
        <w:spacing w:line="360" w:lineRule="auto"/>
        <w:rPr>
          <w:rFonts w:ascii="Arial" w:hAnsi="Arial" w:cs="Arial"/>
          <w:lang w:val="en-GB"/>
        </w:rPr>
      </w:pPr>
      <w:r w:rsidRPr="00093DDF">
        <w:rPr>
          <w:rFonts w:ascii="Arial" w:hAnsi="Arial" w:cs="Arial"/>
          <w:lang w:val="en-GB"/>
        </w:rPr>
        <w:t>Marginal or variable costing is an internally used management accounting technique supporting short-term management decisions. It is used by more than 40% of the firms in a wide range of industries for internal reporting (</w:t>
      </w:r>
      <w:r w:rsidR="00EE2678">
        <w:rPr>
          <w:rFonts w:ascii="Arial" w:hAnsi="Arial" w:cs="Arial"/>
          <w:lang w:val="en-GB"/>
        </w:rPr>
        <w:t>Drury and Tyles</w:t>
      </w:r>
      <w:r w:rsidRPr="00093DDF">
        <w:rPr>
          <w:rFonts w:ascii="Arial" w:hAnsi="Arial" w:cs="Arial"/>
          <w:lang w:val="en-GB"/>
        </w:rPr>
        <w:t>, 2022</w:t>
      </w:r>
      <w:r w:rsidR="00091FE7" w:rsidRPr="00093DDF">
        <w:rPr>
          <w:rFonts w:ascii="Arial" w:hAnsi="Arial" w:cs="Arial"/>
          <w:lang w:val="en-GB"/>
        </w:rPr>
        <w:t>, p. 158</w:t>
      </w:r>
      <w:r w:rsidRPr="00093DDF">
        <w:rPr>
          <w:rFonts w:ascii="Arial" w:hAnsi="Arial" w:cs="Arial"/>
          <w:lang w:val="en-GB"/>
        </w:rPr>
        <w:t>).</w:t>
      </w:r>
    </w:p>
    <w:p w14:paraId="0E5FAB56" w14:textId="4D808D32" w:rsidR="00687899" w:rsidRPr="00093DDF" w:rsidRDefault="00091FE7" w:rsidP="00093DDF">
      <w:pPr>
        <w:spacing w:line="360" w:lineRule="auto"/>
        <w:rPr>
          <w:rFonts w:ascii="Arial" w:hAnsi="Arial" w:cs="Arial"/>
          <w:lang w:val="en-GB"/>
        </w:rPr>
      </w:pPr>
      <w:r w:rsidRPr="00093DDF">
        <w:rPr>
          <w:rFonts w:ascii="Arial" w:hAnsi="Arial" w:cs="Arial"/>
          <w:lang w:val="en-GB"/>
        </w:rPr>
        <w:t xml:space="preserve">The ones who foster the concept of variable costing provide the argument that </w:t>
      </w:r>
      <w:r w:rsidR="00687899" w:rsidRPr="00093DDF">
        <w:rPr>
          <w:rFonts w:ascii="Arial" w:hAnsi="Arial" w:cs="Arial"/>
          <w:lang w:val="en-GB"/>
        </w:rPr>
        <w:t xml:space="preserve"> </w:t>
      </w:r>
      <w:r w:rsidRPr="00093DDF">
        <w:rPr>
          <w:rFonts w:ascii="Arial" w:hAnsi="Arial" w:cs="Arial"/>
          <w:lang w:val="en-GB"/>
        </w:rPr>
        <w:t>“</w:t>
      </w:r>
      <w:r w:rsidR="00687899" w:rsidRPr="00093DDF">
        <w:rPr>
          <w:rFonts w:ascii="Arial" w:hAnsi="Arial" w:cs="Arial"/>
          <w:lang w:val="en-GB"/>
        </w:rPr>
        <w:t>the projection of future costs and revenues for different activity levels and the use of relevant cost decision-making techniques are possible only if a variable costing system is adopted</w:t>
      </w:r>
      <w:r w:rsidRPr="00093DDF">
        <w:rPr>
          <w:rFonts w:ascii="Arial" w:hAnsi="Arial" w:cs="Arial"/>
          <w:lang w:val="en-GB"/>
        </w:rPr>
        <w:t>” (</w:t>
      </w:r>
      <w:r w:rsidR="00EE2678">
        <w:rPr>
          <w:rFonts w:ascii="Arial" w:hAnsi="Arial" w:cs="Arial"/>
          <w:lang w:val="en-GB"/>
        </w:rPr>
        <w:t>Drury and Tyles</w:t>
      </w:r>
      <w:r w:rsidRPr="00093DDF">
        <w:rPr>
          <w:rFonts w:ascii="Arial" w:hAnsi="Arial" w:cs="Arial"/>
          <w:lang w:val="en-GB"/>
        </w:rPr>
        <w:t>, 2021, p. 162)</w:t>
      </w:r>
      <w:r w:rsidR="00687899" w:rsidRPr="00093DDF">
        <w:rPr>
          <w:rFonts w:ascii="Arial" w:hAnsi="Arial" w:cs="Arial"/>
          <w:lang w:val="en-GB"/>
        </w:rPr>
        <w:t>.</w:t>
      </w:r>
    </w:p>
    <w:p w14:paraId="6C9AEF3E" w14:textId="6E7CA305" w:rsidR="0080476E" w:rsidRPr="00093DDF" w:rsidRDefault="0080476E" w:rsidP="00093DDF">
      <w:pPr>
        <w:spacing w:line="360" w:lineRule="auto"/>
        <w:rPr>
          <w:rFonts w:ascii="Arial" w:hAnsi="Arial" w:cs="Arial"/>
          <w:lang w:val="en-GB"/>
        </w:rPr>
      </w:pPr>
      <w:r w:rsidRPr="00093DDF">
        <w:rPr>
          <w:rFonts w:ascii="Arial" w:hAnsi="Arial" w:cs="Arial"/>
          <w:lang w:val="en-GB"/>
        </w:rPr>
        <w:t>Marginal (variable) costing is a method of finding the margin between the sales profit and the variable costs for the production of one unit of product. The calculations do not include the fixed costs for the production. The result of this calculation is called contribution. (</w:t>
      </w:r>
      <w:r w:rsidR="00EE2678">
        <w:rPr>
          <w:rFonts w:ascii="Arial" w:hAnsi="Arial" w:cs="Arial"/>
          <w:lang w:val="en-GB"/>
        </w:rPr>
        <w:t>Drury and Tyles</w:t>
      </w:r>
      <w:r w:rsidRPr="00093DDF">
        <w:rPr>
          <w:rFonts w:ascii="Arial" w:hAnsi="Arial" w:cs="Arial"/>
          <w:lang w:val="en-GB"/>
        </w:rPr>
        <w:t>, 2021)</w:t>
      </w:r>
    </w:p>
    <w:p w14:paraId="623BAC00" w14:textId="36FDF840" w:rsidR="00091FE7" w:rsidRPr="00093DDF" w:rsidRDefault="00091FE7" w:rsidP="00093DDF">
      <w:pPr>
        <w:pStyle w:val="Heading2"/>
        <w:spacing w:line="360" w:lineRule="auto"/>
        <w:rPr>
          <w:rFonts w:ascii="Arial" w:hAnsi="Arial" w:cs="Arial"/>
          <w:sz w:val="22"/>
          <w:szCs w:val="22"/>
          <w:lang w:val="en-GB"/>
        </w:rPr>
      </w:pPr>
      <w:bookmarkStart w:id="14" w:name="_Toc108092248"/>
      <w:r w:rsidRPr="00093DDF">
        <w:rPr>
          <w:rFonts w:ascii="Arial" w:hAnsi="Arial" w:cs="Arial"/>
          <w:sz w:val="22"/>
          <w:szCs w:val="22"/>
          <w:lang w:val="en-GB"/>
        </w:rPr>
        <w:t>Other costing techniques – absorption costing</w:t>
      </w:r>
      <w:bookmarkEnd w:id="14"/>
    </w:p>
    <w:p w14:paraId="48298DCF" w14:textId="593B3DF2" w:rsidR="00091FE7" w:rsidRPr="00093DDF" w:rsidRDefault="0071613F" w:rsidP="00093DDF">
      <w:pPr>
        <w:spacing w:line="360" w:lineRule="auto"/>
        <w:rPr>
          <w:rFonts w:ascii="Arial" w:hAnsi="Arial" w:cs="Arial"/>
          <w:lang w:val="en-GB"/>
        </w:rPr>
      </w:pPr>
      <w:r w:rsidRPr="00093DDF">
        <w:rPr>
          <w:rFonts w:ascii="Arial" w:hAnsi="Arial" w:cs="Arial"/>
          <w:lang w:val="en-GB"/>
        </w:rPr>
        <w:t>The accounting technique of absorption costing allocates portions of the fixed overheads to the various products of the firm, based on a given criteria. Criteria may be various in kind, for example used production area, time for production, labour hours. This allows the management to give a full account of the cost incurred by the firm</w:t>
      </w:r>
      <w:r w:rsidR="00A57D5F" w:rsidRPr="00093DDF">
        <w:rPr>
          <w:rFonts w:ascii="Arial" w:hAnsi="Arial" w:cs="Arial"/>
          <w:lang w:val="en-GB"/>
        </w:rPr>
        <w:t xml:space="preserve"> and the profit/loss gained from the production. This method has allowed, for example, the big three in America (Ford, GM and </w:t>
      </w:r>
      <w:r w:rsidR="00E975B9" w:rsidRPr="00093DDF">
        <w:rPr>
          <w:rFonts w:ascii="Arial" w:hAnsi="Arial" w:cs="Arial"/>
          <w:lang w:val="en-GB"/>
        </w:rPr>
        <w:t xml:space="preserve">Chevrolet) to increase production and increase stock and in the meantime to reduce the price per unit of production. It is a strong method </w:t>
      </w:r>
      <w:r w:rsidR="00BC3F01" w:rsidRPr="00093DDF">
        <w:rPr>
          <w:rFonts w:ascii="Arial" w:hAnsi="Arial" w:cs="Arial"/>
          <w:lang w:val="en-GB"/>
        </w:rPr>
        <w:t>of valuating and reporting inventor</w:t>
      </w:r>
      <w:r w:rsidR="00AB4BD2" w:rsidRPr="00093DDF">
        <w:rPr>
          <w:rFonts w:ascii="Arial" w:hAnsi="Arial" w:cs="Arial"/>
          <w:lang w:val="en-GB"/>
        </w:rPr>
        <w:t xml:space="preserve">y </w:t>
      </w:r>
      <w:r w:rsidR="00DD1F2E" w:rsidRPr="00093DDF">
        <w:rPr>
          <w:rFonts w:ascii="Arial" w:hAnsi="Arial" w:cs="Arial"/>
          <w:lang w:val="en-GB"/>
        </w:rPr>
        <w:t>to external stakeholders (</w:t>
      </w:r>
      <w:r w:rsidR="00EE2678">
        <w:rPr>
          <w:rFonts w:ascii="Arial" w:hAnsi="Arial" w:cs="Arial"/>
          <w:lang w:val="en-GB"/>
        </w:rPr>
        <w:t>Drury and Tyles</w:t>
      </w:r>
      <w:r w:rsidR="00DD1F2E" w:rsidRPr="00093DDF">
        <w:rPr>
          <w:rFonts w:ascii="Arial" w:hAnsi="Arial" w:cs="Arial"/>
          <w:lang w:val="en-GB"/>
        </w:rPr>
        <w:t>, 2021, p. 158).</w:t>
      </w:r>
    </w:p>
    <w:p w14:paraId="1A0822C5" w14:textId="6EDC96EA" w:rsidR="00091FE7" w:rsidRPr="00093DDF" w:rsidRDefault="00091FE7" w:rsidP="00093DDF">
      <w:pPr>
        <w:pStyle w:val="Heading2"/>
        <w:spacing w:line="360" w:lineRule="auto"/>
        <w:rPr>
          <w:rFonts w:ascii="Arial" w:hAnsi="Arial" w:cs="Arial"/>
          <w:sz w:val="22"/>
          <w:szCs w:val="22"/>
          <w:lang w:val="en-GB"/>
        </w:rPr>
      </w:pPr>
      <w:bookmarkStart w:id="15" w:name="_Toc108092249"/>
      <w:r w:rsidRPr="00093DDF">
        <w:rPr>
          <w:rFonts w:ascii="Arial" w:hAnsi="Arial" w:cs="Arial"/>
          <w:sz w:val="22"/>
          <w:szCs w:val="22"/>
          <w:lang w:val="en-GB"/>
        </w:rPr>
        <w:t xml:space="preserve">Advantages of marginal costing </w:t>
      </w:r>
      <w:r w:rsidR="00FE7F3E" w:rsidRPr="00093DDF">
        <w:rPr>
          <w:rFonts w:ascii="Arial" w:hAnsi="Arial" w:cs="Arial"/>
          <w:sz w:val="22"/>
          <w:szCs w:val="22"/>
          <w:lang w:val="en-GB"/>
        </w:rPr>
        <w:t>over</w:t>
      </w:r>
      <w:r w:rsidRPr="00093DDF">
        <w:rPr>
          <w:rFonts w:ascii="Arial" w:hAnsi="Arial" w:cs="Arial"/>
          <w:sz w:val="22"/>
          <w:szCs w:val="22"/>
          <w:lang w:val="en-GB"/>
        </w:rPr>
        <w:t xml:space="preserve"> absorption costing</w:t>
      </w:r>
      <w:bookmarkEnd w:id="15"/>
    </w:p>
    <w:p w14:paraId="5CD430B4" w14:textId="77777777" w:rsidR="002C1037" w:rsidRPr="00093DDF" w:rsidRDefault="001226A1" w:rsidP="00093DDF">
      <w:pPr>
        <w:spacing w:line="360" w:lineRule="auto"/>
        <w:rPr>
          <w:rFonts w:ascii="Arial" w:hAnsi="Arial" w:cs="Arial"/>
          <w:lang w:val="en-GB"/>
        </w:rPr>
      </w:pPr>
      <w:r w:rsidRPr="00093DDF">
        <w:rPr>
          <w:rFonts w:ascii="Arial" w:hAnsi="Arial" w:cs="Arial"/>
          <w:lang w:val="en-GB"/>
        </w:rPr>
        <w:t>In the UK, Financial Reporting Standard 102 (FRS 102) states:</w:t>
      </w:r>
      <w:r w:rsidR="00951612" w:rsidRPr="00093DDF">
        <w:rPr>
          <w:rFonts w:ascii="Arial" w:hAnsi="Arial" w:cs="Arial"/>
          <w:lang w:val="en-GB"/>
        </w:rPr>
        <w:t xml:space="preserve"> </w:t>
      </w:r>
      <w:r w:rsidRPr="00093DDF">
        <w:rPr>
          <w:rFonts w:ascii="Arial" w:hAnsi="Arial" w:cs="Arial"/>
          <w:lang w:val="en-GB"/>
        </w:rPr>
        <w:t>In order to match costs and revenue, cost of stocks (inventories) and work in progress should</w:t>
      </w:r>
      <w:r w:rsidR="00951612" w:rsidRPr="00093DDF">
        <w:rPr>
          <w:rFonts w:ascii="Arial" w:hAnsi="Arial" w:cs="Arial"/>
          <w:lang w:val="en-GB"/>
        </w:rPr>
        <w:t xml:space="preserve"> </w:t>
      </w:r>
      <w:r w:rsidRPr="00093DDF">
        <w:rPr>
          <w:rFonts w:ascii="Arial" w:hAnsi="Arial" w:cs="Arial"/>
          <w:lang w:val="en-GB"/>
        </w:rPr>
        <w:t>comprise that expenditure which has been incurred in the normal course of business in bringing</w:t>
      </w:r>
      <w:r w:rsidR="00951612" w:rsidRPr="00093DDF">
        <w:rPr>
          <w:rFonts w:ascii="Arial" w:hAnsi="Arial" w:cs="Arial"/>
          <w:lang w:val="en-GB"/>
        </w:rPr>
        <w:t xml:space="preserve"> </w:t>
      </w:r>
      <w:r w:rsidRPr="00093DDF">
        <w:rPr>
          <w:rFonts w:ascii="Arial" w:hAnsi="Arial" w:cs="Arial"/>
          <w:lang w:val="en-GB"/>
        </w:rPr>
        <w:t>the product or service to its present location and condition. Such cos</w:t>
      </w:r>
      <w:r w:rsidR="00951612" w:rsidRPr="00093DDF">
        <w:rPr>
          <w:rFonts w:ascii="Arial" w:hAnsi="Arial" w:cs="Arial"/>
          <w:lang w:val="en-GB"/>
        </w:rPr>
        <w:t>ts will include all related pro</w:t>
      </w:r>
      <w:r w:rsidRPr="00093DDF">
        <w:rPr>
          <w:rFonts w:ascii="Arial" w:hAnsi="Arial" w:cs="Arial"/>
          <w:lang w:val="en-GB"/>
        </w:rPr>
        <w:t>duction overheads, even though these may accrue on a time basis.</w:t>
      </w:r>
      <w:r w:rsidR="00951612" w:rsidRPr="00093DDF">
        <w:rPr>
          <w:rFonts w:ascii="Arial" w:hAnsi="Arial" w:cs="Arial"/>
          <w:lang w:val="en-GB"/>
        </w:rPr>
        <w:t xml:space="preserve"> </w:t>
      </w:r>
    </w:p>
    <w:p w14:paraId="61FAFF3E" w14:textId="1C57513C" w:rsidR="00951612" w:rsidRPr="00093DDF" w:rsidRDefault="001226A1" w:rsidP="00093DDF">
      <w:pPr>
        <w:spacing w:line="360" w:lineRule="auto"/>
        <w:rPr>
          <w:rFonts w:ascii="Arial" w:hAnsi="Arial" w:cs="Arial"/>
          <w:lang w:val="en-GB"/>
        </w:rPr>
      </w:pPr>
      <w:r w:rsidRPr="00093DDF">
        <w:rPr>
          <w:rFonts w:ascii="Arial" w:hAnsi="Arial" w:cs="Arial"/>
          <w:lang w:val="en-GB"/>
        </w:rPr>
        <w:t>The effect of this statement is to require absorption costing fo</w:t>
      </w:r>
      <w:r w:rsidR="00951612" w:rsidRPr="00093DDF">
        <w:rPr>
          <w:rFonts w:ascii="Arial" w:hAnsi="Arial" w:cs="Arial"/>
          <w:lang w:val="en-GB"/>
        </w:rPr>
        <w:t>r external reporting and for non-</w:t>
      </w:r>
      <w:r w:rsidRPr="00093DDF">
        <w:rPr>
          <w:rFonts w:ascii="Arial" w:hAnsi="Arial" w:cs="Arial"/>
          <w:lang w:val="en-GB"/>
        </w:rPr>
        <w:t xml:space="preserve">manufacturing costs to be treated as period costs. </w:t>
      </w:r>
    </w:p>
    <w:p w14:paraId="26462936" w14:textId="77777777" w:rsidR="005C2A43" w:rsidRPr="00093DDF" w:rsidRDefault="002C1037" w:rsidP="00093DDF">
      <w:pPr>
        <w:spacing w:line="360" w:lineRule="auto"/>
        <w:rPr>
          <w:rFonts w:ascii="Arial" w:hAnsi="Arial" w:cs="Arial"/>
          <w:lang w:val="en-GB"/>
        </w:rPr>
      </w:pPr>
      <w:r w:rsidRPr="00093DDF">
        <w:rPr>
          <w:rFonts w:ascii="Arial" w:hAnsi="Arial" w:cs="Arial"/>
          <w:lang w:val="en-GB"/>
        </w:rPr>
        <w:t xml:space="preserve">Absorption costing is also recommended by the International Accounting Standard on Inventories (IAS 2) </w:t>
      </w:r>
      <w:r w:rsidR="005C2A43" w:rsidRPr="00093DDF">
        <w:rPr>
          <w:rFonts w:ascii="Arial" w:hAnsi="Arial" w:cs="Arial"/>
          <w:lang w:val="en-GB"/>
        </w:rPr>
        <w:t>to firms all over the world</w:t>
      </w:r>
      <w:r w:rsidRPr="00093DDF">
        <w:rPr>
          <w:rFonts w:ascii="Arial" w:hAnsi="Arial" w:cs="Arial"/>
          <w:lang w:val="en-GB"/>
        </w:rPr>
        <w:t xml:space="preserve">. </w:t>
      </w:r>
    </w:p>
    <w:p w14:paraId="0E414224" w14:textId="17ACAB54" w:rsidR="00091FE7" w:rsidRPr="00093DDF" w:rsidRDefault="002C1037" w:rsidP="00093DDF">
      <w:pPr>
        <w:spacing w:line="360" w:lineRule="auto"/>
        <w:rPr>
          <w:rFonts w:ascii="Arial" w:hAnsi="Arial" w:cs="Arial"/>
          <w:lang w:val="en-GB"/>
        </w:rPr>
      </w:pPr>
      <w:r w:rsidRPr="00093DDF">
        <w:rPr>
          <w:rFonts w:ascii="Arial" w:hAnsi="Arial" w:cs="Arial"/>
          <w:lang w:val="en-GB"/>
        </w:rPr>
        <w:t xml:space="preserve">Even though absorption costing is essential for external reporting, </w:t>
      </w:r>
      <w:r w:rsidR="00582C99" w:rsidRPr="00093DDF">
        <w:rPr>
          <w:rFonts w:ascii="Arial" w:hAnsi="Arial" w:cs="Arial"/>
          <w:lang w:val="en-GB"/>
        </w:rPr>
        <w:t>it is still debatable how efficient it is for internal use in comparison to variable costing</w:t>
      </w:r>
      <w:r w:rsidRPr="00093DDF">
        <w:rPr>
          <w:rFonts w:ascii="Arial" w:hAnsi="Arial" w:cs="Arial"/>
          <w:lang w:val="en-GB"/>
        </w:rPr>
        <w:t>. Management typically wants monthly or quarterly profit statements, as well as separate profit statements for each main product group or company area. This data is very helpful for analysing the effectiveness of divisional managers. Therefore, management must decide whether absorption costing or variable costing gives more significant information for evaluating the economic and managerial performance of the various company segments for internal reporting purposes.</w:t>
      </w:r>
      <w:r w:rsidR="001226A1" w:rsidRPr="00093DDF">
        <w:rPr>
          <w:rFonts w:ascii="Arial" w:hAnsi="Arial" w:cs="Arial"/>
          <w:lang w:val="en-GB"/>
        </w:rPr>
        <w:t xml:space="preserve"> (</w:t>
      </w:r>
      <w:r w:rsidR="00EE2678">
        <w:rPr>
          <w:rFonts w:ascii="Arial" w:hAnsi="Arial" w:cs="Arial"/>
          <w:lang w:val="en-GB"/>
        </w:rPr>
        <w:t>Drury and Tyles</w:t>
      </w:r>
      <w:r w:rsidR="001226A1" w:rsidRPr="00093DDF">
        <w:rPr>
          <w:rFonts w:ascii="Arial" w:hAnsi="Arial" w:cs="Arial"/>
          <w:lang w:val="en-GB"/>
        </w:rPr>
        <w:t>, 2021, p. 158)</w:t>
      </w:r>
    </w:p>
    <w:p w14:paraId="5A97767D" w14:textId="73ABAADA" w:rsidR="00772BA6" w:rsidRPr="00093DDF" w:rsidRDefault="00EE2678" w:rsidP="00093DDF">
      <w:pPr>
        <w:spacing w:line="360" w:lineRule="auto"/>
        <w:rPr>
          <w:rFonts w:ascii="Arial" w:hAnsi="Arial" w:cs="Arial"/>
          <w:lang w:val="en-GB"/>
        </w:rPr>
      </w:pPr>
      <w:r>
        <w:rPr>
          <w:rFonts w:ascii="Arial" w:hAnsi="Arial" w:cs="Arial"/>
          <w:lang w:val="en-GB"/>
        </w:rPr>
        <w:t>Drury and Tyles</w:t>
      </w:r>
      <w:r w:rsidR="00772BA6" w:rsidRPr="00093DDF">
        <w:rPr>
          <w:rFonts w:ascii="Arial" w:hAnsi="Arial" w:cs="Arial"/>
          <w:lang w:val="en-GB"/>
        </w:rPr>
        <w:t xml:space="preserve"> </w:t>
      </w:r>
      <w:r>
        <w:rPr>
          <w:rFonts w:ascii="Arial" w:hAnsi="Arial" w:cs="Arial"/>
          <w:lang w:val="en-GB"/>
        </w:rPr>
        <w:t>(2021) give</w:t>
      </w:r>
      <w:r w:rsidR="00772BA6" w:rsidRPr="00093DDF">
        <w:rPr>
          <w:rFonts w:ascii="Arial" w:hAnsi="Arial" w:cs="Arial"/>
          <w:lang w:val="en-GB"/>
        </w:rPr>
        <w:t xml:space="preserve"> the following arguments in favour of variable costing:</w:t>
      </w:r>
    </w:p>
    <w:p w14:paraId="64353F07" w14:textId="147A9BAE" w:rsidR="00772BA6" w:rsidRPr="00093DDF" w:rsidRDefault="00772BA6" w:rsidP="00093DDF">
      <w:pPr>
        <w:pStyle w:val="ListParagraph"/>
        <w:numPr>
          <w:ilvl w:val="0"/>
          <w:numId w:val="1"/>
        </w:numPr>
        <w:spacing w:line="360" w:lineRule="auto"/>
        <w:rPr>
          <w:rFonts w:ascii="Arial" w:hAnsi="Arial" w:cs="Arial"/>
          <w:lang w:val="en-GB"/>
        </w:rPr>
      </w:pPr>
      <w:r w:rsidRPr="00093DDF">
        <w:rPr>
          <w:rFonts w:ascii="Arial" w:hAnsi="Arial" w:cs="Arial"/>
          <w:lang w:val="en-GB"/>
        </w:rPr>
        <w:t>By separating variable costs from the overall costs, the management obtains a faster and better idea for the firm’s profit over a certain period. This allows them to decide on whether to discontinue some product and search for outsourcing its production or purchasing it from somewhere else.</w:t>
      </w:r>
    </w:p>
    <w:p w14:paraId="706231D4" w14:textId="6922B520" w:rsidR="00772BA6" w:rsidRPr="00093DDF" w:rsidRDefault="00772BA6" w:rsidP="00093DDF">
      <w:pPr>
        <w:pStyle w:val="ListParagraph"/>
        <w:numPr>
          <w:ilvl w:val="0"/>
          <w:numId w:val="1"/>
        </w:numPr>
        <w:spacing w:line="360" w:lineRule="auto"/>
        <w:rPr>
          <w:rFonts w:ascii="Arial" w:hAnsi="Arial" w:cs="Arial"/>
          <w:lang w:val="en-GB"/>
        </w:rPr>
      </w:pPr>
      <w:r w:rsidRPr="00093DDF">
        <w:rPr>
          <w:rFonts w:ascii="Arial" w:hAnsi="Arial" w:cs="Arial"/>
          <w:lang w:val="en-GB"/>
        </w:rPr>
        <w:t>When the firm has a piling inventory, variable costing prevents the inventory to distort the final result</w:t>
      </w:r>
      <w:r w:rsidR="008C4BFC" w:rsidRPr="00093DDF">
        <w:rPr>
          <w:rFonts w:ascii="Arial" w:hAnsi="Arial" w:cs="Arial"/>
          <w:lang w:val="en-GB"/>
        </w:rPr>
        <w:t>s since a piling inventory will significantly change the fixed overheads values.</w:t>
      </w:r>
    </w:p>
    <w:p w14:paraId="738B81F6" w14:textId="03DDADCA" w:rsidR="008C4BFC" w:rsidRPr="00093DDF" w:rsidRDefault="008C4BFC" w:rsidP="00093DDF">
      <w:pPr>
        <w:pStyle w:val="ListParagraph"/>
        <w:numPr>
          <w:ilvl w:val="0"/>
          <w:numId w:val="1"/>
        </w:numPr>
        <w:spacing w:line="360" w:lineRule="auto"/>
        <w:rPr>
          <w:rFonts w:ascii="Arial" w:hAnsi="Arial" w:cs="Arial"/>
          <w:lang w:val="en-GB"/>
        </w:rPr>
      </w:pPr>
      <w:r w:rsidRPr="00093DDF">
        <w:rPr>
          <w:rFonts w:ascii="Arial" w:hAnsi="Arial" w:cs="Arial"/>
          <w:lang w:val="en-GB"/>
        </w:rPr>
        <w:t xml:space="preserve">In times when demand is low there can be some piled-up inventory and if it is not sold on time, the fixed costs </w:t>
      </w:r>
      <w:r w:rsidR="009B0860" w:rsidRPr="00093DDF">
        <w:rPr>
          <w:rFonts w:ascii="Arial" w:hAnsi="Arial" w:cs="Arial"/>
          <w:lang w:val="en-GB"/>
        </w:rPr>
        <w:t>may be absorbed by the inventory items and until the management decides that the inventory has to be sold at a discount, it may appear that the items there are overpriced.</w:t>
      </w:r>
    </w:p>
    <w:p w14:paraId="72BD802A" w14:textId="4AF4DADD" w:rsidR="00636063" w:rsidRPr="00093DDF" w:rsidRDefault="009B0860" w:rsidP="00093DDF">
      <w:pPr>
        <w:pStyle w:val="Heading1"/>
        <w:spacing w:line="360" w:lineRule="auto"/>
        <w:rPr>
          <w:rFonts w:ascii="Arial" w:hAnsi="Arial" w:cs="Arial"/>
          <w:sz w:val="22"/>
          <w:szCs w:val="22"/>
          <w:lang w:val="en-GB"/>
        </w:rPr>
      </w:pPr>
      <w:bookmarkStart w:id="16" w:name="_Toc108092250"/>
      <w:r w:rsidRPr="00093DDF">
        <w:rPr>
          <w:rFonts w:ascii="Arial" w:hAnsi="Arial" w:cs="Arial"/>
          <w:sz w:val="22"/>
          <w:szCs w:val="22"/>
          <w:lang w:val="en-GB"/>
        </w:rPr>
        <w:t>Conclusion</w:t>
      </w:r>
      <w:bookmarkEnd w:id="16"/>
    </w:p>
    <w:p w14:paraId="2E7D3E6E" w14:textId="38E88024" w:rsidR="009B0860" w:rsidRDefault="00093DDF" w:rsidP="00093DDF">
      <w:pPr>
        <w:spacing w:line="360" w:lineRule="auto"/>
        <w:rPr>
          <w:rFonts w:ascii="Arial" w:hAnsi="Arial" w:cs="Arial"/>
          <w:lang w:val="en-GB"/>
        </w:rPr>
      </w:pPr>
      <w:r>
        <w:rPr>
          <w:rFonts w:ascii="Arial" w:hAnsi="Arial" w:cs="Arial"/>
          <w:lang w:val="en-GB"/>
        </w:rPr>
        <w:t>Absorption costing gives the management valuable current information about the gross profit made from the sale of the firm’s products. It is a preferred technique for supporting on-time management decision making.</w:t>
      </w:r>
    </w:p>
    <w:p w14:paraId="58376628" w14:textId="0969B917" w:rsidR="00093DDF" w:rsidRDefault="00093DDF" w:rsidP="00093DDF">
      <w:pPr>
        <w:pStyle w:val="Heading1"/>
        <w:rPr>
          <w:rFonts w:ascii="Arial" w:hAnsi="Arial" w:cs="Arial"/>
          <w:sz w:val="22"/>
          <w:szCs w:val="22"/>
          <w:lang w:val="en-GB"/>
        </w:rPr>
      </w:pPr>
      <w:r w:rsidRPr="00093DDF">
        <w:rPr>
          <w:rFonts w:ascii="Arial" w:hAnsi="Arial" w:cs="Arial"/>
          <w:sz w:val="22"/>
          <w:szCs w:val="22"/>
          <w:lang w:val="en-GB"/>
        </w:rPr>
        <w:t>Sources</w:t>
      </w:r>
    </w:p>
    <w:p w14:paraId="37EE50B7" w14:textId="74DE472A" w:rsidR="00093DDF" w:rsidRDefault="00EE2678" w:rsidP="00093DDF">
      <w:pPr>
        <w:rPr>
          <w:rFonts w:ascii="Arial" w:hAnsi="Arial" w:cs="Arial"/>
        </w:rPr>
      </w:pPr>
      <w:r w:rsidRPr="001D173A">
        <w:rPr>
          <w:rFonts w:ascii="Arial" w:hAnsi="Arial" w:cs="Arial"/>
        </w:rPr>
        <w:t xml:space="preserve">Drury, C. and Tayles, M. (2020) </w:t>
      </w:r>
      <w:r w:rsidRPr="001D173A">
        <w:rPr>
          <w:rFonts w:ascii="Arial" w:hAnsi="Arial" w:cs="Arial"/>
          <w:i/>
          <w:iCs/>
        </w:rPr>
        <w:t>Management and Cost Accounting</w:t>
      </w:r>
      <w:r w:rsidRPr="001D173A">
        <w:rPr>
          <w:rFonts w:ascii="Arial" w:hAnsi="Arial" w:cs="Arial"/>
        </w:rPr>
        <w:t xml:space="preserve">. </w:t>
      </w:r>
      <w:r w:rsidRPr="001D173A">
        <w:rPr>
          <w:rFonts w:ascii="Arial" w:hAnsi="Arial" w:cs="Arial"/>
          <w:lang w:val="en-US"/>
        </w:rPr>
        <w:t>11</w:t>
      </w:r>
      <w:r w:rsidRPr="001D173A">
        <w:rPr>
          <w:rFonts w:ascii="Arial" w:hAnsi="Arial" w:cs="Arial"/>
          <w:vertAlign w:val="superscript"/>
          <w:lang w:val="en-US"/>
        </w:rPr>
        <w:t>th</w:t>
      </w:r>
      <w:r w:rsidRPr="001D173A">
        <w:rPr>
          <w:rFonts w:ascii="Arial" w:hAnsi="Arial" w:cs="Arial"/>
          <w:lang w:val="en-US"/>
        </w:rPr>
        <w:t xml:space="preserve"> edn. Andover:</w:t>
      </w:r>
      <w:r w:rsidRPr="001D173A">
        <w:rPr>
          <w:rFonts w:ascii="Arial" w:hAnsi="Arial" w:cs="Arial"/>
        </w:rPr>
        <w:t xml:space="preserve"> Cengage.</w:t>
      </w:r>
    </w:p>
    <w:p w14:paraId="0E5CFFD6" w14:textId="5E3A5205" w:rsidR="00C91104" w:rsidRDefault="00C91104" w:rsidP="00093DDF">
      <w:pPr>
        <w:rPr>
          <w:rFonts w:ascii="Arial" w:hAnsi="Arial" w:cs="Arial"/>
        </w:rPr>
      </w:pPr>
    </w:p>
    <w:p w14:paraId="7E696DC4" w14:textId="4D83D91C" w:rsidR="00C91104" w:rsidRDefault="00C91104" w:rsidP="00093DDF">
      <w:pPr>
        <w:rPr>
          <w:rFonts w:ascii="Arial" w:hAnsi="Arial" w:cs="Arial"/>
          <w:lang w:val="en-US"/>
        </w:rPr>
      </w:pPr>
      <w:r>
        <w:rPr>
          <w:rFonts w:ascii="Arial" w:hAnsi="Arial" w:cs="Arial"/>
          <w:lang w:val="en-US"/>
        </w:rPr>
        <w:t>Task 2</w:t>
      </w:r>
    </w:p>
    <w:p w14:paraId="562CDF10" w14:textId="26C5A987" w:rsidR="00C91104" w:rsidRPr="001D173A" w:rsidRDefault="00C91104" w:rsidP="00093DDF">
      <w:pPr>
        <w:rPr>
          <w:rFonts w:ascii="Arial" w:hAnsi="Arial" w:cs="Arial"/>
        </w:rPr>
      </w:pPr>
      <w:r>
        <w:rPr>
          <w:rFonts w:ascii="Arial" w:hAnsi="Arial" w:cs="Arial"/>
          <w:lang w:val="en-US"/>
        </w:rPr>
        <w:t>Bux Deli calculations</w:t>
      </w:r>
      <w:bookmarkStart w:id="17" w:name="_GoBack"/>
      <w:bookmarkEnd w:id="17"/>
    </w:p>
    <w:bookmarkStart w:id="18" w:name="_MON_1718707432"/>
    <w:bookmarkEnd w:id="18"/>
    <w:p w14:paraId="51DEB567" w14:textId="5F8F8357" w:rsidR="00882BFB" w:rsidRDefault="009348A7" w:rsidP="00093DDF">
      <w:pPr>
        <w:rPr>
          <w:lang w:val="en-GB"/>
        </w:rPr>
      </w:pPr>
      <w:r>
        <w:rPr>
          <w:lang w:val="en-GB"/>
        </w:rPr>
        <w:object w:dxaOrig="9882" w:dyaOrig="2923" w14:anchorId="7F9D7651">
          <v:shape id="_x0000_i1140" type="#_x0000_t75" style="width:494pt;height:145.9pt" o:ole="">
            <v:imagedata r:id="rId18" o:title=""/>
          </v:shape>
          <o:OLEObject Type="Embed" ProgID="Excel.Sheet.8" ShapeID="_x0000_i1140" DrawAspect="Content" ObjectID="_1718709046" r:id="rId19"/>
        </w:object>
      </w:r>
    </w:p>
    <w:p w14:paraId="56749507" w14:textId="77777777" w:rsidR="00882BFB" w:rsidRPr="00093DDF" w:rsidRDefault="00882BFB" w:rsidP="00093DDF">
      <w:pPr>
        <w:rPr>
          <w:lang w:val="en-GB"/>
        </w:rPr>
      </w:pPr>
    </w:p>
    <w:sectPr w:rsidR="00882BFB" w:rsidRPr="00093D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17680F" w14:textId="77777777" w:rsidR="009348A7" w:rsidRDefault="009348A7" w:rsidP="009348A7">
      <w:pPr>
        <w:spacing w:after="0" w:line="240" w:lineRule="auto"/>
      </w:pPr>
      <w:r>
        <w:separator/>
      </w:r>
    </w:p>
  </w:endnote>
  <w:endnote w:type="continuationSeparator" w:id="0">
    <w:p w14:paraId="569B6924" w14:textId="77777777" w:rsidR="009348A7" w:rsidRDefault="009348A7" w:rsidP="00934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2E338A" w14:textId="77777777" w:rsidR="009348A7" w:rsidRDefault="009348A7" w:rsidP="009348A7">
      <w:pPr>
        <w:spacing w:after="0" w:line="240" w:lineRule="auto"/>
      </w:pPr>
      <w:r>
        <w:separator/>
      </w:r>
    </w:p>
  </w:footnote>
  <w:footnote w:type="continuationSeparator" w:id="0">
    <w:p w14:paraId="61E1637E" w14:textId="77777777" w:rsidR="009348A7" w:rsidRDefault="009348A7" w:rsidP="009348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E5BD2"/>
    <w:multiLevelType w:val="hybridMultilevel"/>
    <w:tmpl w:val="723626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924"/>
    <w:rsid w:val="00007BB0"/>
    <w:rsid w:val="00045143"/>
    <w:rsid w:val="00065DDF"/>
    <w:rsid w:val="00091FE7"/>
    <w:rsid w:val="00093DDF"/>
    <w:rsid w:val="000B4D76"/>
    <w:rsid w:val="000D3122"/>
    <w:rsid w:val="000D76CC"/>
    <w:rsid w:val="000E2AD9"/>
    <w:rsid w:val="00121CA0"/>
    <w:rsid w:val="001226A1"/>
    <w:rsid w:val="00127389"/>
    <w:rsid w:val="00147269"/>
    <w:rsid w:val="00187F57"/>
    <w:rsid w:val="001A697A"/>
    <w:rsid w:val="001B6EC5"/>
    <w:rsid w:val="001D173A"/>
    <w:rsid w:val="001E3BC7"/>
    <w:rsid w:val="001F123A"/>
    <w:rsid w:val="00213920"/>
    <w:rsid w:val="00216AFA"/>
    <w:rsid w:val="002268BD"/>
    <w:rsid w:val="002409CC"/>
    <w:rsid w:val="0026039E"/>
    <w:rsid w:val="002B0925"/>
    <w:rsid w:val="002C1037"/>
    <w:rsid w:val="002D4C0A"/>
    <w:rsid w:val="0038014A"/>
    <w:rsid w:val="0039643C"/>
    <w:rsid w:val="003C6AC4"/>
    <w:rsid w:val="003E5117"/>
    <w:rsid w:val="003F4178"/>
    <w:rsid w:val="00411F3A"/>
    <w:rsid w:val="004236B6"/>
    <w:rsid w:val="004475E8"/>
    <w:rsid w:val="004679E1"/>
    <w:rsid w:val="004C4CB7"/>
    <w:rsid w:val="004E771D"/>
    <w:rsid w:val="0053156C"/>
    <w:rsid w:val="005578AE"/>
    <w:rsid w:val="00582C99"/>
    <w:rsid w:val="005A0393"/>
    <w:rsid w:val="005C2A43"/>
    <w:rsid w:val="005C5311"/>
    <w:rsid w:val="005E0ECF"/>
    <w:rsid w:val="00613924"/>
    <w:rsid w:val="00622E3D"/>
    <w:rsid w:val="00636063"/>
    <w:rsid w:val="0068784E"/>
    <w:rsid w:val="00687899"/>
    <w:rsid w:val="00692846"/>
    <w:rsid w:val="00696F65"/>
    <w:rsid w:val="006C1B0F"/>
    <w:rsid w:val="006F7664"/>
    <w:rsid w:val="0071613F"/>
    <w:rsid w:val="0075606F"/>
    <w:rsid w:val="00756B14"/>
    <w:rsid w:val="007579D4"/>
    <w:rsid w:val="00771878"/>
    <w:rsid w:val="00772BA6"/>
    <w:rsid w:val="007815DD"/>
    <w:rsid w:val="00782086"/>
    <w:rsid w:val="007C2DD5"/>
    <w:rsid w:val="007C40F6"/>
    <w:rsid w:val="007E4CC2"/>
    <w:rsid w:val="0080476E"/>
    <w:rsid w:val="008109E6"/>
    <w:rsid w:val="008455C6"/>
    <w:rsid w:val="00882BFB"/>
    <w:rsid w:val="0089424E"/>
    <w:rsid w:val="008C22DC"/>
    <w:rsid w:val="008C4BFC"/>
    <w:rsid w:val="008C61C2"/>
    <w:rsid w:val="0091560D"/>
    <w:rsid w:val="009348A7"/>
    <w:rsid w:val="00951612"/>
    <w:rsid w:val="00953A3F"/>
    <w:rsid w:val="00984ECE"/>
    <w:rsid w:val="00994BC7"/>
    <w:rsid w:val="009A7F9B"/>
    <w:rsid w:val="009B0860"/>
    <w:rsid w:val="009B2136"/>
    <w:rsid w:val="009D05A6"/>
    <w:rsid w:val="009D2712"/>
    <w:rsid w:val="00A044EE"/>
    <w:rsid w:val="00A10C0D"/>
    <w:rsid w:val="00A20E57"/>
    <w:rsid w:val="00A362C3"/>
    <w:rsid w:val="00A4587B"/>
    <w:rsid w:val="00A57D5F"/>
    <w:rsid w:val="00A75176"/>
    <w:rsid w:val="00AB4BD2"/>
    <w:rsid w:val="00AF59CF"/>
    <w:rsid w:val="00B365E0"/>
    <w:rsid w:val="00B7644C"/>
    <w:rsid w:val="00B84919"/>
    <w:rsid w:val="00B85380"/>
    <w:rsid w:val="00B92FF0"/>
    <w:rsid w:val="00BB1339"/>
    <w:rsid w:val="00BB45B5"/>
    <w:rsid w:val="00BC3F01"/>
    <w:rsid w:val="00BE7A9D"/>
    <w:rsid w:val="00C17827"/>
    <w:rsid w:val="00C206AE"/>
    <w:rsid w:val="00C91104"/>
    <w:rsid w:val="00CA0FFE"/>
    <w:rsid w:val="00D53861"/>
    <w:rsid w:val="00D856EC"/>
    <w:rsid w:val="00DA516D"/>
    <w:rsid w:val="00DB3B94"/>
    <w:rsid w:val="00DD1F2E"/>
    <w:rsid w:val="00E22FAD"/>
    <w:rsid w:val="00E455AE"/>
    <w:rsid w:val="00E639C1"/>
    <w:rsid w:val="00E975B9"/>
    <w:rsid w:val="00EA1C98"/>
    <w:rsid w:val="00EB4CC6"/>
    <w:rsid w:val="00EE2678"/>
    <w:rsid w:val="00EE70B3"/>
    <w:rsid w:val="00F1060A"/>
    <w:rsid w:val="00F315DA"/>
    <w:rsid w:val="00F45120"/>
    <w:rsid w:val="00F6095B"/>
    <w:rsid w:val="00F70BB0"/>
    <w:rsid w:val="00F70DD1"/>
    <w:rsid w:val="00FE7F3E"/>
    <w:rsid w:val="05738C39"/>
    <w:rsid w:val="0E05C975"/>
    <w:rsid w:val="1793835E"/>
    <w:rsid w:val="1A11930E"/>
    <w:rsid w:val="258047E4"/>
    <w:rsid w:val="2ABDCB85"/>
    <w:rsid w:val="2B307EAC"/>
    <w:rsid w:val="3257420D"/>
    <w:rsid w:val="35CF5C62"/>
    <w:rsid w:val="55DC180D"/>
    <w:rsid w:val="6DC010B6"/>
    <w:rsid w:val="73C915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98DAEC"/>
  <w15:chartTrackingRefBased/>
  <w15:docId w15:val="{B0438E42-6F21-4488-8500-08565D61D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3924"/>
    <w:pPr>
      <w:spacing w:after="200" w:line="276" w:lineRule="auto"/>
    </w:pPr>
    <w:rPr>
      <w:rFonts w:eastAsiaTheme="minorHAnsi"/>
      <w:lang w:val="bg-BG" w:eastAsia="en-US"/>
    </w:rPr>
  </w:style>
  <w:style w:type="paragraph" w:styleId="Heading1">
    <w:name w:val="heading 1"/>
    <w:basedOn w:val="Normal"/>
    <w:next w:val="Normal"/>
    <w:link w:val="Heading1Char"/>
    <w:uiPriority w:val="9"/>
    <w:qFormat/>
    <w:rsid w:val="007815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15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6B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5DD"/>
    <w:rPr>
      <w:rFonts w:asciiTheme="majorHAnsi" w:eastAsiaTheme="majorEastAsia" w:hAnsiTheme="majorHAnsi" w:cstheme="majorBidi"/>
      <w:color w:val="2F5496" w:themeColor="accent1" w:themeShade="BF"/>
      <w:sz w:val="32"/>
      <w:szCs w:val="32"/>
      <w:lang w:val="bg-BG" w:eastAsia="en-US"/>
    </w:rPr>
  </w:style>
  <w:style w:type="character" w:customStyle="1" w:styleId="Heading2Char">
    <w:name w:val="Heading 2 Char"/>
    <w:basedOn w:val="DefaultParagraphFont"/>
    <w:link w:val="Heading2"/>
    <w:uiPriority w:val="9"/>
    <w:rsid w:val="007815DD"/>
    <w:rPr>
      <w:rFonts w:asciiTheme="majorHAnsi" w:eastAsiaTheme="majorEastAsia" w:hAnsiTheme="majorHAnsi" w:cstheme="majorBidi"/>
      <w:color w:val="2F5496" w:themeColor="accent1" w:themeShade="BF"/>
      <w:sz w:val="26"/>
      <w:szCs w:val="26"/>
      <w:lang w:val="bg-BG" w:eastAsia="en-US"/>
    </w:rPr>
  </w:style>
  <w:style w:type="paragraph" w:styleId="Revision">
    <w:name w:val="Revision"/>
    <w:hidden/>
    <w:uiPriority w:val="99"/>
    <w:semiHidden/>
    <w:rsid w:val="007E4CC2"/>
    <w:pPr>
      <w:spacing w:after="0" w:line="240" w:lineRule="auto"/>
    </w:pPr>
    <w:rPr>
      <w:rFonts w:eastAsiaTheme="minorHAnsi"/>
      <w:lang w:val="bg-BG" w:eastAsia="en-US"/>
    </w:rPr>
  </w:style>
  <w:style w:type="paragraph" w:styleId="BalloonText">
    <w:name w:val="Balloon Text"/>
    <w:basedOn w:val="Normal"/>
    <w:link w:val="BalloonTextChar"/>
    <w:uiPriority w:val="99"/>
    <w:semiHidden/>
    <w:unhideWhenUsed/>
    <w:rsid w:val="007E4C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4CC2"/>
    <w:rPr>
      <w:rFonts w:ascii="Segoe UI" w:eastAsiaTheme="minorHAnsi" w:hAnsi="Segoe UI" w:cs="Segoe UI"/>
      <w:sz w:val="18"/>
      <w:szCs w:val="18"/>
      <w:lang w:val="bg-BG" w:eastAsia="en-US"/>
    </w:rPr>
  </w:style>
  <w:style w:type="character" w:customStyle="1" w:styleId="Heading3Char">
    <w:name w:val="Heading 3 Char"/>
    <w:basedOn w:val="DefaultParagraphFont"/>
    <w:link w:val="Heading3"/>
    <w:uiPriority w:val="9"/>
    <w:rsid w:val="00756B14"/>
    <w:rPr>
      <w:rFonts w:asciiTheme="majorHAnsi" w:eastAsiaTheme="majorEastAsia" w:hAnsiTheme="majorHAnsi" w:cstheme="majorBidi"/>
      <w:color w:val="1F3763" w:themeColor="accent1" w:themeShade="7F"/>
      <w:sz w:val="24"/>
      <w:szCs w:val="24"/>
      <w:lang w:val="bg-BG" w:eastAsia="en-US"/>
    </w:rPr>
  </w:style>
  <w:style w:type="paragraph" w:styleId="ListParagraph">
    <w:name w:val="List Paragraph"/>
    <w:basedOn w:val="Normal"/>
    <w:uiPriority w:val="34"/>
    <w:qFormat/>
    <w:rsid w:val="00772BA6"/>
    <w:pPr>
      <w:ind w:left="720"/>
      <w:contextualSpacing/>
    </w:pPr>
  </w:style>
  <w:style w:type="paragraph" w:styleId="TOCHeading">
    <w:name w:val="TOC Heading"/>
    <w:basedOn w:val="Heading1"/>
    <w:next w:val="Normal"/>
    <w:uiPriority w:val="39"/>
    <w:unhideWhenUsed/>
    <w:qFormat/>
    <w:rsid w:val="00093DDF"/>
    <w:pPr>
      <w:spacing w:line="259" w:lineRule="auto"/>
      <w:outlineLvl w:val="9"/>
    </w:pPr>
    <w:rPr>
      <w:lang w:val="en-US"/>
    </w:rPr>
  </w:style>
  <w:style w:type="paragraph" w:styleId="TOC1">
    <w:name w:val="toc 1"/>
    <w:basedOn w:val="Normal"/>
    <w:next w:val="Normal"/>
    <w:autoRedefine/>
    <w:uiPriority w:val="39"/>
    <w:unhideWhenUsed/>
    <w:rsid w:val="00093DDF"/>
    <w:pPr>
      <w:spacing w:after="100"/>
    </w:pPr>
  </w:style>
  <w:style w:type="paragraph" w:styleId="TOC3">
    <w:name w:val="toc 3"/>
    <w:basedOn w:val="Normal"/>
    <w:next w:val="Normal"/>
    <w:autoRedefine/>
    <w:uiPriority w:val="39"/>
    <w:unhideWhenUsed/>
    <w:rsid w:val="00093DDF"/>
    <w:pPr>
      <w:spacing w:after="100"/>
      <w:ind w:left="440"/>
    </w:pPr>
  </w:style>
  <w:style w:type="paragraph" w:styleId="TOC2">
    <w:name w:val="toc 2"/>
    <w:basedOn w:val="Normal"/>
    <w:next w:val="Normal"/>
    <w:autoRedefine/>
    <w:uiPriority w:val="39"/>
    <w:unhideWhenUsed/>
    <w:rsid w:val="00093DDF"/>
    <w:pPr>
      <w:spacing w:after="100"/>
      <w:ind w:left="220"/>
    </w:pPr>
  </w:style>
  <w:style w:type="character" w:styleId="Hyperlink">
    <w:name w:val="Hyperlink"/>
    <w:basedOn w:val="DefaultParagraphFont"/>
    <w:uiPriority w:val="99"/>
    <w:unhideWhenUsed/>
    <w:rsid w:val="00093DDF"/>
    <w:rPr>
      <w:color w:val="0563C1" w:themeColor="hyperlink"/>
      <w:u w:val="single"/>
    </w:rPr>
  </w:style>
  <w:style w:type="paragraph" w:styleId="Header">
    <w:name w:val="header"/>
    <w:basedOn w:val="Normal"/>
    <w:link w:val="HeaderChar"/>
    <w:uiPriority w:val="99"/>
    <w:unhideWhenUsed/>
    <w:rsid w:val="001D173A"/>
    <w:pPr>
      <w:tabs>
        <w:tab w:val="center" w:pos="4513"/>
        <w:tab w:val="right" w:pos="9026"/>
      </w:tabs>
      <w:spacing w:after="0" w:line="240" w:lineRule="auto"/>
    </w:pPr>
    <w:rPr>
      <w:rFonts w:eastAsiaTheme="minorEastAsia"/>
      <w:lang w:val="en-GB" w:eastAsia="zh-CN"/>
    </w:rPr>
  </w:style>
  <w:style w:type="character" w:customStyle="1" w:styleId="HeaderChar">
    <w:name w:val="Header Char"/>
    <w:basedOn w:val="DefaultParagraphFont"/>
    <w:link w:val="Header"/>
    <w:uiPriority w:val="99"/>
    <w:rsid w:val="001D173A"/>
  </w:style>
  <w:style w:type="paragraph" w:styleId="Footer">
    <w:name w:val="footer"/>
    <w:basedOn w:val="Normal"/>
    <w:link w:val="FooterChar"/>
    <w:uiPriority w:val="99"/>
    <w:unhideWhenUsed/>
    <w:rsid w:val="009348A7"/>
    <w:pPr>
      <w:tabs>
        <w:tab w:val="center" w:pos="4703"/>
        <w:tab w:val="right" w:pos="9406"/>
      </w:tabs>
      <w:spacing w:after="0" w:line="240" w:lineRule="auto"/>
    </w:pPr>
  </w:style>
  <w:style w:type="character" w:customStyle="1" w:styleId="FooterChar">
    <w:name w:val="Footer Char"/>
    <w:basedOn w:val="DefaultParagraphFont"/>
    <w:link w:val="Footer"/>
    <w:uiPriority w:val="99"/>
    <w:rsid w:val="009348A7"/>
    <w:rPr>
      <w:rFonts w:eastAsiaTheme="minorHAnsi"/>
      <w:lang w:val="bg-B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336180">
      <w:bodyDiv w:val="1"/>
      <w:marLeft w:val="0"/>
      <w:marRight w:val="0"/>
      <w:marTop w:val="0"/>
      <w:marBottom w:val="0"/>
      <w:divBdr>
        <w:top w:val="none" w:sz="0" w:space="0" w:color="auto"/>
        <w:left w:val="none" w:sz="0" w:space="0" w:color="auto"/>
        <w:bottom w:val="none" w:sz="0" w:space="0" w:color="auto"/>
        <w:right w:val="none" w:sz="0" w:space="0" w:color="auto"/>
      </w:divBdr>
    </w:div>
    <w:div w:id="712466330">
      <w:bodyDiv w:val="1"/>
      <w:marLeft w:val="0"/>
      <w:marRight w:val="0"/>
      <w:marTop w:val="0"/>
      <w:marBottom w:val="0"/>
      <w:divBdr>
        <w:top w:val="none" w:sz="0" w:space="0" w:color="auto"/>
        <w:left w:val="none" w:sz="0" w:space="0" w:color="auto"/>
        <w:bottom w:val="none" w:sz="0" w:space="0" w:color="auto"/>
        <w:right w:val="none" w:sz="0" w:space="0" w:color="auto"/>
      </w:divBdr>
    </w:div>
    <w:div w:id="185226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Excel_Worksheet.xlsx"/><Relationship Id="rId18"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oleObject" Target="embeddings/Microsoft_Excel_97-2003_Worksheet1.xls"/><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oleObject" Target="embeddings/Microsoft_Excel_97-2003_Worksheet.xls"/><Relationship Id="rId10" Type="http://schemas.openxmlformats.org/officeDocument/2006/relationships/endnotes" Target="endnotes.xml"/><Relationship Id="rId19" Type="http://schemas.openxmlformats.org/officeDocument/2006/relationships/oleObject" Target="embeddings/Microsoft_Excel_97-2003_Worksheet2.xls"/><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79070f43ae9af9b22ca554c745ff5234">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219607d5a5c585a68483ca5e16e6324"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59E8E-BCCF-4554-845E-24FBE46F5C37}">
  <ds:schemaRefs>
    <ds:schemaRef ds:uri="6b5bd684-8631-4d35-bdcf-c9e38c7d488d"/>
    <ds:schemaRef ds:uri="http://schemas.microsoft.com/office/2006/metadata/properties"/>
    <ds:schemaRef ds:uri="http://schemas.microsoft.com/office/infopath/2007/PartnerControls"/>
    <ds:schemaRef ds:uri="http://schemas.openxmlformats.org/package/2006/metadata/core-properties"/>
    <ds:schemaRef ds:uri="http://schemas.microsoft.com/office/2006/documentManagement/types"/>
    <ds:schemaRef ds:uri="http://purl.org/dc/dcmitype/"/>
    <ds:schemaRef ds:uri="37708af0-49d6-4626-adf7-ee8f7f4cc1b8"/>
    <ds:schemaRef ds:uri="http://www.w3.org/XML/1998/namespace"/>
    <ds:schemaRef ds:uri="http://purl.org/dc/terms/"/>
    <ds:schemaRef ds:uri="http://purl.org/dc/elements/1.1/"/>
  </ds:schemaRefs>
</ds:datastoreItem>
</file>

<file path=customXml/itemProps2.xml><?xml version="1.0" encoding="utf-8"?>
<ds:datastoreItem xmlns:ds="http://schemas.openxmlformats.org/officeDocument/2006/customXml" ds:itemID="{7A392445-6422-4E85-B070-83BE078EB378}">
  <ds:schemaRefs>
    <ds:schemaRef ds:uri="http://schemas.microsoft.com/sharepoint/v3/contenttype/forms"/>
  </ds:schemaRefs>
</ds:datastoreItem>
</file>

<file path=customXml/itemProps3.xml><?xml version="1.0" encoding="utf-8"?>
<ds:datastoreItem xmlns:ds="http://schemas.openxmlformats.org/officeDocument/2006/customXml" ds:itemID="{06B63FFB-A2A7-47AD-96DC-5B8FA0401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037E70-9DAF-4080-9C58-07ACAB870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3433</TotalTime>
  <Pages>7</Pages>
  <Words>1604</Words>
  <Characters>9144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11</cp:revision>
  <dcterms:created xsi:type="dcterms:W3CDTF">2022-06-27T13:30:00Z</dcterms:created>
  <dcterms:modified xsi:type="dcterms:W3CDTF">2022-07-07T13:23:00Z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