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75BD4FB" w14:textId="77777777" w:rsidR="00A46376" w:rsidRDefault="00A46376" w:rsidP="00A46376">
      <w:pPr>
        <w:jc w:val="center"/>
        <w:rPr>
          <w:rFonts w:ascii="Arial" w:hAnsi="Arial" w:cs="Arial"/>
          <w:b/>
          <w:bCs/>
          <w:sz w:val="24"/>
          <w:szCs w:val="24"/>
        </w:rPr>
      </w:pPr>
      <w:r>
        <w:rPr>
          <w:rFonts w:ascii="Arial" w:hAnsi="Arial" w:cs="Arial"/>
          <w:b/>
          <w:bCs/>
          <w:sz w:val="24"/>
          <w:szCs w:val="24"/>
        </w:rPr>
        <w:t>What changes did the Coroners and Justice Act (2009) make to the defence of diminished responsibility? Did these amendments change the law in this area for the better?</w:t>
      </w:r>
    </w:p>
    <w:p w14:paraId="2906716F" w14:textId="77777777" w:rsidR="00A46376" w:rsidRDefault="00A46376" w:rsidP="00A46376">
      <w:pPr>
        <w:rPr>
          <w:rFonts w:ascii="Arial" w:hAnsi="Arial" w:cs="Arial"/>
          <w:sz w:val="24"/>
          <w:szCs w:val="24"/>
        </w:rPr>
      </w:pPr>
    </w:p>
    <w:p w14:paraId="6A32BB75" w14:textId="3B3438D7" w:rsidR="00A46376" w:rsidRDefault="00A46376" w:rsidP="00A46376">
      <w:pPr>
        <w:jc w:val="center"/>
      </w:pPr>
    </w:p>
    <w:p w14:paraId="5D75593C" w14:textId="60D83096" w:rsidR="00A46376" w:rsidRPr="00A46376" w:rsidRDefault="00A46376" w:rsidP="00A46376">
      <w:pPr>
        <w:jc w:val="center"/>
        <w:rPr>
          <w:sz w:val="32"/>
          <w:szCs w:val="32"/>
        </w:rPr>
      </w:pPr>
      <w:r w:rsidRPr="00A46376">
        <w:rPr>
          <w:sz w:val="32"/>
          <w:szCs w:val="32"/>
        </w:rPr>
        <w:t>Emily Oakes</w:t>
      </w:r>
    </w:p>
    <w:p w14:paraId="63F46138" w14:textId="60CCD4D0" w:rsidR="00A46376" w:rsidRPr="00A46376" w:rsidRDefault="00A46376" w:rsidP="00A46376">
      <w:pPr>
        <w:jc w:val="center"/>
        <w:rPr>
          <w:sz w:val="32"/>
          <w:szCs w:val="32"/>
        </w:rPr>
      </w:pPr>
    </w:p>
    <w:p w14:paraId="2D0D261A" w14:textId="4C382DB7" w:rsidR="00A46376" w:rsidRDefault="00A46376" w:rsidP="00A46376">
      <w:pPr>
        <w:jc w:val="center"/>
        <w:rPr>
          <w:sz w:val="32"/>
          <w:szCs w:val="32"/>
        </w:rPr>
      </w:pPr>
      <w:r w:rsidRPr="00A46376">
        <w:rPr>
          <w:sz w:val="32"/>
          <w:szCs w:val="32"/>
        </w:rPr>
        <w:t>Student Number : 1805611</w:t>
      </w:r>
    </w:p>
    <w:p w14:paraId="223EA0F8" w14:textId="57B21B9D" w:rsidR="00A46376" w:rsidRDefault="00A46376" w:rsidP="00A46376">
      <w:pPr>
        <w:jc w:val="center"/>
        <w:rPr>
          <w:sz w:val="32"/>
          <w:szCs w:val="32"/>
        </w:rPr>
      </w:pPr>
    </w:p>
    <w:p w14:paraId="66DA47D9" w14:textId="5F034CA9" w:rsidR="00A46376" w:rsidRDefault="00A46376" w:rsidP="00A46376">
      <w:pPr>
        <w:jc w:val="center"/>
        <w:rPr>
          <w:sz w:val="32"/>
          <w:szCs w:val="32"/>
        </w:rPr>
      </w:pPr>
    </w:p>
    <w:p w14:paraId="1CA0E0C3" w14:textId="62DB6BDC" w:rsidR="00A46376" w:rsidRDefault="00A46376" w:rsidP="00A46376">
      <w:pPr>
        <w:jc w:val="center"/>
        <w:rPr>
          <w:sz w:val="32"/>
          <w:szCs w:val="32"/>
        </w:rPr>
      </w:pPr>
    </w:p>
    <w:p w14:paraId="16C5BAA7" w14:textId="3A966971" w:rsidR="00A46376" w:rsidRDefault="00A46376" w:rsidP="00A46376">
      <w:pPr>
        <w:jc w:val="center"/>
        <w:rPr>
          <w:sz w:val="32"/>
          <w:szCs w:val="32"/>
        </w:rPr>
      </w:pPr>
    </w:p>
    <w:p w14:paraId="3757E68C" w14:textId="4234622D" w:rsidR="00A46376" w:rsidRDefault="00A46376" w:rsidP="00A46376">
      <w:pPr>
        <w:jc w:val="center"/>
        <w:rPr>
          <w:sz w:val="32"/>
          <w:szCs w:val="32"/>
        </w:rPr>
      </w:pPr>
    </w:p>
    <w:p w14:paraId="6EA71F9A" w14:textId="1C744D2F" w:rsidR="00A46376" w:rsidRDefault="00A46376" w:rsidP="00A46376">
      <w:pPr>
        <w:jc w:val="center"/>
        <w:rPr>
          <w:sz w:val="32"/>
          <w:szCs w:val="32"/>
        </w:rPr>
      </w:pPr>
    </w:p>
    <w:p w14:paraId="34C1CFD4" w14:textId="0A4EC3FF" w:rsidR="00A46376" w:rsidRDefault="00A46376" w:rsidP="00A46376">
      <w:pPr>
        <w:jc w:val="center"/>
        <w:rPr>
          <w:sz w:val="32"/>
          <w:szCs w:val="32"/>
        </w:rPr>
      </w:pPr>
    </w:p>
    <w:p w14:paraId="0AC1C829" w14:textId="47287B0D" w:rsidR="00A46376" w:rsidRDefault="00A46376" w:rsidP="00A46376">
      <w:pPr>
        <w:jc w:val="center"/>
        <w:rPr>
          <w:sz w:val="32"/>
          <w:szCs w:val="32"/>
        </w:rPr>
      </w:pPr>
    </w:p>
    <w:p w14:paraId="7705775D" w14:textId="27C11C3A" w:rsidR="00A46376" w:rsidRDefault="00A46376" w:rsidP="00A46376">
      <w:pPr>
        <w:jc w:val="center"/>
        <w:rPr>
          <w:sz w:val="32"/>
          <w:szCs w:val="32"/>
        </w:rPr>
      </w:pPr>
    </w:p>
    <w:p w14:paraId="3664B736" w14:textId="50D559CC" w:rsidR="00A46376" w:rsidRDefault="00A46376" w:rsidP="00A46376">
      <w:pPr>
        <w:jc w:val="center"/>
        <w:rPr>
          <w:sz w:val="32"/>
          <w:szCs w:val="32"/>
        </w:rPr>
      </w:pPr>
    </w:p>
    <w:p w14:paraId="23E2D661" w14:textId="504716F6" w:rsidR="00A46376" w:rsidRDefault="00A46376" w:rsidP="00A46376">
      <w:pPr>
        <w:jc w:val="center"/>
        <w:rPr>
          <w:sz w:val="32"/>
          <w:szCs w:val="32"/>
        </w:rPr>
      </w:pPr>
    </w:p>
    <w:p w14:paraId="5248BF65" w14:textId="4BE37256" w:rsidR="00A46376" w:rsidRDefault="00A46376" w:rsidP="00A46376">
      <w:pPr>
        <w:jc w:val="center"/>
        <w:rPr>
          <w:sz w:val="32"/>
          <w:szCs w:val="32"/>
        </w:rPr>
      </w:pPr>
    </w:p>
    <w:p w14:paraId="6FA6359D" w14:textId="5663C936" w:rsidR="00A46376" w:rsidRDefault="00A46376" w:rsidP="00A46376">
      <w:pPr>
        <w:jc w:val="center"/>
        <w:rPr>
          <w:sz w:val="32"/>
          <w:szCs w:val="32"/>
        </w:rPr>
      </w:pPr>
    </w:p>
    <w:p w14:paraId="4D2AFC26" w14:textId="05182E5A" w:rsidR="00A46376" w:rsidRDefault="00A46376" w:rsidP="00A46376">
      <w:pPr>
        <w:jc w:val="center"/>
        <w:rPr>
          <w:sz w:val="32"/>
          <w:szCs w:val="32"/>
        </w:rPr>
      </w:pPr>
    </w:p>
    <w:p w14:paraId="0BB6DF6E" w14:textId="01A6434D" w:rsidR="00A46376" w:rsidRDefault="00A46376" w:rsidP="00A46376">
      <w:pPr>
        <w:jc w:val="center"/>
        <w:rPr>
          <w:sz w:val="32"/>
          <w:szCs w:val="32"/>
        </w:rPr>
      </w:pPr>
    </w:p>
    <w:p w14:paraId="62708742" w14:textId="1201E837" w:rsidR="00A46376" w:rsidRDefault="00A46376" w:rsidP="00A46376">
      <w:pPr>
        <w:jc w:val="center"/>
        <w:rPr>
          <w:sz w:val="32"/>
          <w:szCs w:val="32"/>
        </w:rPr>
      </w:pPr>
    </w:p>
    <w:p w14:paraId="6E3640DF" w14:textId="3263A260" w:rsidR="00A46376" w:rsidRDefault="00A46376" w:rsidP="00A46376">
      <w:pPr>
        <w:jc w:val="center"/>
        <w:rPr>
          <w:sz w:val="32"/>
          <w:szCs w:val="32"/>
        </w:rPr>
      </w:pPr>
    </w:p>
    <w:p w14:paraId="3358FDFD" w14:textId="7814A6D4" w:rsidR="00A46376" w:rsidRDefault="00A46376" w:rsidP="00A46376">
      <w:pPr>
        <w:jc w:val="center"/>
        <w:rPr>
          <w:sz w:val="32"/>
          <w:szCs w:val="32"/>
        </w:rPr>
      </w:pPr>
    </w:p>
    <w:p w14:paraId="4B50FDA3" w14:textId="7D1F4255" w:rsidR="00A46376" w:rsidRDefault="00A46376" w:rsidP="00A46376">
      <w:pPr>
        <w:jc w:val="center"/>
        <w:rPr>
          <w:sz w:val="32"/>
          <w:szCs w:val="32"/>
        </w:rPr>
      </w:pPr>
    </w:p>
    <w:p w14:paraId="3340BB34" w14:textId="555A8B56" w:rsidR="00A46376" w:rsidRDefault="00A46376" w:rsidP="00A46376">
      <w:pPr>
        <w:jc w:val="center"/>
        <w:rPr>
          <w:sz w:val="32"/>
          <w:szCs w:val="32"/>
        </w:rPr>
      </w:pPr>
    </w:p>
    <w:p w14:paraId="0DA04D18" w14:textId="59BA45F1" w:rsidR="00A46376" w:rsidRDefault="00A46376" w:rsidP="00A46376">
      <w:pPr>
        <w:jc w:val="center"/>
        <w:rPr>
          <w:sz w:val="32"/>
          <w:szCs w:val="32"/>
        </w:rPr>
      </w:pPr>
    </w:p>
    <w:p w14:paraId="5A1A1F8B" w14:textId="3738EE0A" w:rsidR="00A46376" w:rsidRDefault="00A46376" w:rsidP="00A46376">
      <w:pPr>
        <w:jc w:val="center"/>
        <w:rPr>
          <w:sz w:val="32"/>
          <w:szCs w:val="32"/>
        </w:rPr>
      </w:pPr>
    </w:p>
    <w:p w14:paraId="1E10C79B" w14:textId="04C65436" w:rsidR="00A46376" w:rsidRDefault="00A46376" w:rsidP="00A46376">
      <w:pPr>
        <w:jc w:val="center"/>
        <w:rPr>
          <w:sz w:val="32"/>
          <w:szCs w:val="32"/>
        </w:rPr>
      </w:pPr>
    </w:p>
    <w:p w14:paraId="4799595C" w14:textId="6105EBAC" w:rsidR="00A46376" w:rsidRDefault="00A46376" w:rsidP="00A46376">
      <w:pPr>
        <w:jc w:val="center"/>
        <w:rPr>
          <w:sz w:val="32"/>
          <w:szCs w:val="32"/>
        </w:rPr>
      </w:pPr>
    </w:p>
    <w:p w14:paraId="3B2F09BD" w14:textId="169572DA" w:rsidR="00A46376" w:rsidRDefault="00A46376" w:rsidP="00A46376">
      <w:pPr>
        <w:jc w:val="center"/>
        <w:rPr>
          <w:sz w:val="32"/>
          <w:szCs w:val="32"/>
        </w:rPr>
      </w:pPr>
    </w:p>
    <w:p w14:paraId="7E63CAD7" w14:textId="55699C68" w:rsidR="00A46376" w:rsidRDefault="00A46376" w:rsidP="00A46376">
      <w:pPr>
        <w:jc w:val="center"/>
        <w:rPr>
          <w:sz w:val="32"/>
          <w:szCs w:val="32"/>
        </w:rPr>
      </w:pPr>
    </w:p>
    <w:p w14:paraId="4FA216D3" w14:textId="18527CB7" w:rsidR="00A46376" w:rsidRDefault="00A46376" w:rsidP="00A46376">
      <w:pPr>
        <w:jc w:val="center"/>
        <w:rPr>
          <w:sz w:val="32"/>
          <w:szCs w:val="32"/>
        </w:rPr>
      </w:pPr>
    </w:p>
    <w:p w14:paraId="2F8726B6" w14:textId="6EE4F0BA" w:rsidR="00A46376" w:rsidRDefault="00A46376" w:rsidP="00A46376">
      <w:pPr>
        <w:jc w:val="center"/>
        <w:rPr>
          <w:sz w:val="32"/>
          <w:szCs w:val="32"/>
        </w:rPr>
      </w:pPr>
    </w:p>
    <w:p w14:paraId="5FF3FCE4" w14:textId="2E399145" w:rsidR="00A46376" w:rsidRDefault="00A46376" w:rsidP="00A46376">
      <w:pPr>
        <w:jc w:val="center"/>
        <w:rPr>
          <w:sz w:val="32"/>
          <w:szCs w:val="32"/>
        </w:rPr>
      </w:pPr>
    </w:p>
    <w:p w14:paraId="7186C0C1" w14:textId="599DB142" w:rsidR="00A46376" w:rsidRDefault="00A46376" w:rsidP="00A46376">
      <w:pPr>
        <w:jc w:val="center"/>
        <w:rPr>
          <w:sz w:val="32"/>
          <w:szCs w:val="32"/>
        </w:rPr>
      </w:pPr>
    </w:p>
    <w:p w14:paraId="7FEC0F2F" w14:textId="3F1099F1" w:rsidR="00A46376" w:rsidRDefault="00A46376" w:rsidP="00A46376">
      <w:pPr>
        <w:rPr>
          <w:sz w:val="32"/>
          <w:szCs w:val="32"/>
        </w:rPr>
      </w:pPr>
    </w:p>
    <w:p w14:paraId="7AEE7E00" w14:textId="37D05EF2" w:rsidR="00A46376" w:rsidRPr="00A46376" w:rsidRDefault="00A46376" w:rsidP="00866A95">
      <w:pPr>
        <w:spacing w:line="360" w:lineRule="auto"/>
        <w:rPr>
          <w:rFonts w:ascii="Arial" w:hAnsi="Arial" w:cs="Arial"/>
          <w:sz w:val="24"/>
          <w:szCs w:val="24"/>
        </w:rPr>
      </w:pPr>
      <w:r w:rsidRPr="00A46376">
        <w:rPr>
          <w:rFonts w:ascii="Arial" w:hAnsi="Arial" w:cs="Arial"/>
          <w:sz w:val="24"/>
          <w:szCs w:val="24"/>
        </w:rPr>
        <w:lastRenderedPageBreak/>
        <w:t xml:space="preserve">This assignment will talk about S.2 homicide Act 1957 and the diminished responsibility under the legislation, it will also discuss if there was a need for change. Also how did S2.52 Coroners and Justice Act 2009 change the law, we will also analyse the advantages and disadvantages of the changes. </w:t>
      </w:r>
    </w:p>
    <w:p w14:paraId="4FD7457A" w14:textId="109131D0" w:rsidR="00A46376" w:rsidRDefault="00A46376" w:rsidP="00866A95">
      <w:pPr>
        <w:spacing w:line="360" w:lineRule="auto"/>
        <w:rPr>
          <w:sz w:val="24"/>
          <w:szCs w:val="24"/>
        </w:rPr>
      </w:pPr>
    </w:p>
    <w:p w14:paraId="2D30BFE5" w14:textId="423E8B09" w:rsidR="00A46376" w:rsidRDefault="00A46376" w:rsidP="00866A95">
      <w:pPr>
        <w:spacing w:line="360" w:lineRule="auto"/>
        <w:rPr>
          <w:sz w:val="24"/>
          <w:szCs w:val="24"/>
        </w:rPr>
      </w:pPr>
    </w:p>
    <w:p w14:paraId="69B6152E" w14:textId="77777777" w:rsidR="00A46376" w:rsidRDefault="00A46376" w:rsidP="00866A95">
      <w:pPr>
        <w:pStyle w:val="legclearfix"/>
        <w:shd w:val="clear" w:color="auto" w:fill="FFFFFF"/>
        <w:spacing w:before="0" w:beforeAutospacing="0" w:after="120" w:afterAutospacing="0" w:line="360" w:lineRule="auto"/>
        <w:rPr>
          <w:rStyle w:val="legsubstitution"/>
          <w:rFonts w:ascii="Arial" w:hAnsi="Arial" w:cs="Arial"/>
          <w:i/>
          <w:iCs/>
          <w:color w:val="000000"/>
        </w:rPr>
      </w:pPr>
    </w:p>
    <w:p w14:paraId="5604CA98" w14:textId="32107DEB" w:rsidR="00AF0243" w:rsidRDefault="00E73209" w:rsidP="0099034E">
      <w:pPr>
        <w:pStyle w:val="legclearfix"/>
        <w:shd w:val="clear" w:color="auto" w:fill="FFFFFF"/>
        <w:spacing w:before="0" w:beforeAutospacing="0" w:after="120" w:afterAutospacing="0" w:line="360" w:lineRule="auto"/>
        <w:rPr>
          <w:rFonts w:ascii="Arial" w:hAnsi="Arial" w:cs="Arial"/>
          <w:color w:val="000000"/>
        </w:rPr>
      </w:pPr>
      <w:r>
        <w:rPr>
          <w:rStyle w:val="legsubstitution"/>
          <w:rFonts w:ascii="Arial" w:hAnsi="Arial" w:cs="Arial"/>
          <w:i/>
          <w:iCs/>
          <w:color w:val="000000"/>
        </w:rPr>
        <w:t>‘</w:t>
      </w:r>
      <w:r w:rsidR="00A46376" w:rsidRPr="00A46376">
        <w:rPr>
          <w:rStyle w:val="legsubstitution"/>
          <w:rFonts w:ascii="Arial" w:hAnsi="Arial" w:cs="Arial"/>
          <w:i/>
          <w:iCs/>
          <w:color w:val="000000"/>
        </w:rPr>
        <w:t>A person (“D”) who kills or is a party to the killing of another is not to be convicted of murder if D was suffering from an abnormality of mental functioning which</w:t>
      </w:r>
      <w:r w:rsidR="00A46376" w:rsidRPr="00A46376">
        <w:rPr>
          <w:rStyle w:val="legsubstitution"/>
          <w:rFonts w:ascii="Arial" w:hAnsi="Arial" w:cs="Arial"/>
          <w:i/>
          <w:iCs/>
          <w:color w:val="000000"/>
        </w:rPr>
        <w:t xml:space="preserve"> </w:t>
      </w:r>
      <w:r w:rsidR="00A46376" w:rsidRPr="00A46376">
        <w:rPr>
          <w:rStyle w:val="legsubstitution"/>
          <w:rFonts w:ascii="Arial" w:hAnsi="Arial" w:cs="Arial"/>
          <w:i/>
          <w:iCs/>
          <w:color w:val="000000"/>
        </w:rPr>
        <w:t>arose from a recognised medical conditio</w:t>
      </w:r>
      <w:r w:rsidR="00A46376">
        <w:rPr>
          <w:rStyle w:val="legsubstitution"/>
          <w:rFonts w:ascii="Arial" w:hAnsi="Arial" w:cs="Arial"/>
          <w:i/>
          <w:iCs/>
          <w:color w:val="000000"/>
        </w:rPr>
        <w:t>n</w:t>
      </w:r>
      <w:r>
        <w:rPr>
          <w:rStyle w:val="legsubstitution"/>
          <w:rFonts w:ascii="Arial" w:hAnsi="Arial" w:cs="Arial"/>
          <w:i/>
          <w:iCs/>
          <w:color w:val="000000"/>
        </w:rPr>
        <w:t xml:space="preserve">’ </w:t>
      </w:r>
      <w:r w:rsidR="00A46376">
        <w:rPr>
          <w:rStyle w:val="legsubstitution"/>
          <w:rFonts w:ascii="Arial" w:hAnsi="Arial" w:cs="Arial"/>
          <w:i/>
          <w:iCs/>
          <w:color w:val="000000"/>
        </w:rPr>
        <w:t xml:space="preserve">(S.2 Homicide Act 1957, Legislation.gov.uk 2022) </w:t>
      </w:r>
      <w:r w:rsidR="00A46376">
        <w:rPr>
          <w:rStyle w:val="legsubstitution"/>
          <w:rFonts w:ascii="Arial" w:hAnsi="Arial" w:cs="Arial"/>
          <w:color w:val="000000"/>
        </w:rPr>
        <w:t xml:space="preserve">this means that if a person is suffering from a mental functioning condition, which is also a recognised medical condition then during court, when the jury come to a decision </w:t>
      </w:r>
      <w:r w:rsidR="00866A95">
        <w:rPr>
          <w:rStyle w:val="legsubstitution"/>
          <w:rFonts w:ascii="Arial" w:hAnsi="Arial" w:cs="Arial"/>
          <w:color w:val="000000"/>
        </w:rPr>
        <w:t>this could mean that they get exempt from the charges due to this. If a person is on trial in court, it’s the defences job to ensure their side of the story is heard and prove that the person will not be liable for murder or manslaughter. If a person does not have a mental functioning condition and took part in the murder as an accessory or committed the murder, then they will be charged to time imprisonment, ‘</w:t>
      </w:r>
      <w:r w:rsidR="00866A95" w:rsidRPr="00866A95">
        <w:rPr>
          <w:rStyle w:val="legds"/>
          <w:rFonts w:ascii="Arial" w:hAnsi="Arial" w:cs="Arial"/>
          <w:i/>
          <w:iCs/>
          <w:color w:val="000000"/>
        </w:rPr>
        <w:t>A person who but for this section would be liable, whether as principal or as accessory, to be convicted of murder shall be liable instead to be convicted of manslaughter</w:t>
      </w:r>
      <w:r w:rsidR="00866A95">
        <w:rPr>
          <w:rStyle w:val="legds"/>
          <w:rFonts w:ascii="Arial" w:hAnsi="Arial" w:cs="Arial"/>
          <w:color w:val="000000"/>
          <w:sz w:val="19"/>
          <w:szCs w:val="19"/>
        </w:rPr>
        <w:t>.</w:t>
      </w:r>
      <w:r w:rsidR="00866A95">
        <w:rPr>
          <w:rFonts w:ascii="Arial" w:hAnsi="Arial" w:cs="Arial"/>
          <w:color w:val="000000"/>
          <w:sz w:val="19"/>
          <w:szCs w:val="19"/>
        </w:rPr>
        <w:t>’ (</w:t>
      </w:r>
      <w:r w:rsidR="00866A95">
        <w:rPr>
          <w:rStyle w:val="legsubstitution"/>
          <w:rFonts w:ascii="Arial" w:hAnsi="Arial" w:cs="Arial"/>
          <w:i/>
          <w:iCs/>
          <w:color w:val="000000"/>
        </w:rPr>
        <w:t>S.2 Homicide Act 1957, Legislation.gov.uk 2022</w:t>
      </w:r>
      <w:r w:rsidR="00866A95">
        <w:rPr>
          <w:rStyle w:val="legsubstitution"/>
          <w:rFonts w:ascii="Arial" w:hAnsi="Arial" w:cs="Arial"/>
          <w:i/>
          <w:iCs/>
          <w:color w:val="000000"/>
        </w:rPr>
        <w:t>).</w:t>
      </w:r>
      <w:r w:rsidR="0059495C">
        <w:rPr>
          <w:rStyle w:val="legsubstitution"/>
          <w:rFonts w:ascii="Arial" w:hAnsi="Arial" w:cs="Arial"/>
          <w:i/>
          <w:iCs/>
          <w:color w:val="000000"/>
        </w:rPr>
        <w:t xml:space="preserve"> </w:t>
      </w:r>
      <w:r w:rsidR="0059495C" w:rsidRPr="0059495C">
        <w:rPr>
          <w:rFonts w:ascii="Arial" w:hAnsi="Arial" w:cs="Arial"/>
          <w:color w:val="000000"/>
        </w:rPr>
        <w:t xml:space="preserve">One of three unique defences that apply only to murder offences is diminished responsibility. The Murder Act of 1957, as amended by the Coroners and Justice Act of 2009, contains it. In cases where the defence of diminished responsibility is effective, the verdict is changed from murder to manslaughter. The three special </w:t>
      </w:r>
      <w:r w:rsidR="0059495C" w:rsidRPr="0059495C">
        <w:rPr>
          <w:rFonts w:ascii="Arial" w:hAnsi="Arial" w:cs="Arial"/>
          <w:color w:val="000000"/>
        </w:rPr>
        <w:t>defences</w:t>
      </w:r>
      <w:r w:rsidR="0059495C">
        <w:rPr>
          <w:rFonts w:ascii="Arial" w:hAnsi="Arial" w:cs="Arial"/>
          <w:color w:val="000000"/>
        </w:rPr>
        <w:t xml:space="preserve">, </w:t>
      </w:r>
      <w:r w:rsidR="0059495C" w:rsidRPr="0059495C">
        <w:rPr>
          <w:rFonts w:ascii="Arial" w:hAnsi="Arial" w:cs="Arial"/>
          <w:color w:val="000000"/>
        </w:rPr>
        <w:t>diminished responsibility, loss of control, and suicide pact</w:t>
      </w:r>
      <w:r w:rsidR="0059495C">
        <w:rPr>
          <w:rFonts w:ascii="Arial" w:hAnsi="Arial" w:cs="Arial"/>
          <w:color w:val="000000"/>
        </w:rPr>
        <w:t xml:space="preserve"> </w:t>
      </w:r>
      <w:r w:rsidR="0059495C" w:rsidRPr="0059495C">
        <w:rPr>
          <w:rFonts w:ascii="Arial" w:hAnsi="Arial" w:cs="Arial"/>
          <w:color w:val="000000"/>
        </w:rPr>
        <w:t>differ from general defences in that they don't apply to all crimes and have the opposite impact of completely absolving the defendant of responsibility for the crime they are used to defend.</w:t>
      </w:r>
    </w:p>
    <w:p w14:paraId="0D829D51" w14:textId="77777777" w:rsidR="00AF0243" w:rsidRDefault="00AF0243" w:rsidP="0099034E">
      <w:pPr>
        <w:pStyle w:val="legclearfix"/>
        <w:shd w:val="clear" w:color="auto" w:fill="FFFFFF"/>
        <w:spacing w:before="0" w:beforeAutospacing="0" w:after="120" w:afterAutospacing="0" w:line="360" w:lineRule="auto"/>
        <w:rPr>
          <w:rFonts w:ascii="Arial" w:hAnsi="Arial" w:cs="Arial"/>
          <w:color w:val="000000"/>
        </w:rPr>
      </w:pPr>
    </w:p>
    <w:p w14:paraId="1E859CE3" w14:textId="3AB411A9" w:rsidR="00AF0243" w:rsidRDefault="0099034E" w:rsidP="00AF0243">
      <w:pPr>
        <w:pStyle w:val="legclearfix"/>
        <w:shd w:val="clear" w:color="auto" w:fill="FFFFFF"/>
        <w:spacing w:before="0" w:beforeAutospacing="0" w:after="120" w:afterAutospacing="0" w:line="360" w:lineRule="auto"/>
        <w:rPr>
          <w:rFonts w:ascii="Arial" w:hAnsi="Arial" w:cs="Arial"/>
          <w:color w:val="000000"/>
        </w:rPr>
      </w:pPr>
      <w:r>
        <w:rPr>
          <w:rFonts w:ascii="Arial" w:hAnsi="Arial" w:cs="Arial"/>
          <w:color w:val="000000"/>
        </w:rPr>
        <w:t xml:space="preserve"> </w:t>
      </w:r>
      <w:r w:rsidRPr="0099034E">
        <w:rPr>
          <w:rFonts w:ascii="Arial" w:hAnsi="Arial" w:cs="Arial"/>
        </w:rPr>
        <w:t>The Coroners and Justice Act 2009 ma</w:t>
      </w:r>
      <w:r w:rsidRPr="0099034E">
        <w:rPr>
          <w:rFonts w:ascii="Arial" w:hAnsi="Arial" w:cs="Arial"/>
        </w:rPr>
        <w:t>de</w:t>
      </w:r>
      <w:r w:rsidRPr="0099034E">
        <w:rPr>
          <w:rFonts w:ascii="Arial" w:hAnsi="Arial" w:cs="Arial"/>
        </w:rPr>
        <w:t xml:space="preserve"> significant changes to the rule of homicide with regard to actions or inactions on 4 October 2010.</w:t>
      </w:r>
      <w:r w:rsidRPr="0099034E">
        <w:rPr>
          <w:rFonts w:ascii="Arial" w:hAnsi="Arial" w:cs="Arial"/>
        </w:rPr>
        <w:t xml:space="preserve"> </w:t>
      </w:r>
      <w:r w:rsidRPr="0099034E">
        <w:rPr>
          <w:rFonts w:ascii="Arial" w:hAnsi="Arial" w:cs="Arial"/>
        </w:rPr>
        <w:t>The Law Commission was directed to two partial defences to murder in 2003 by the then</w:t>
      </w:r>
      <w:r w:rsidRPr="0099034E">
        <w:rPr>
          <w:rFonts w:ascii="Arial" w:hAnsi="Arial" w:cs="Arial"/>
        </w:rPr>
        <w:t xml:space="preserve"> </w:t>
      </w:r>
      <w:r w:rsidRPr="0099034E">
        <w:rPr>
          <w:rFonts w:ascii="Arial" w:hAnsi="Arial" w:cs="Arial"/>
        </w:rPr>
        <w:t xml:space="preserve">Home Secretary: diminished responsibility and provocation. The Law Commission </w:t>
      </w:r>
      <w:r w:rsidRPr="0099034E">
        <w:rPr>
          <w:rFonts w:ascii="Arial" w:hAnsi="Arial" w:cs="Arial"/>
        </w:rPr>
        <w:lastRenderedPageBreak/>
        <w:t>was tasked with deciding whether either, both, or neither of them needed to be changed and, if so, how. In October 2003, the Law Commission released a consultation document, and in August 2004, it issued a report</w:t>
      </w:r>
      <w:r w:rsidRPr="0099034E">
        <w:rPr>
          <w:rFonts w:ascii="Arial" w:hAnsi="Arial" w:cs="Arial"/>
        </w:rPr>
        <w:t xml:space="preserve"> it was called the</w:t>
      </w:r>
      <w:r w:rsidRPr="0099034E">
        <w:rPr>
          <w:rFonts w:ascii="Arial" w:hAnsi="Arial" w:cs="Arial"/>
        </w:rPr>
        <w:t xml:space="preserve"> Official Report on Partial </w:t>
      </w:r>
      <w:r w:rsidRPr="0099034E">
        <w:rPr>
          <w:rFonts w:ascii="Arial" w:hAnsi="Arial" w:cs="Arial"/>
        </w:rPr>
        <w:t>Defences</w:t>
      </w:r>
      <w:r w:rsidRPr="0099034E">
        <w:rPr>
          <w:rFonts w:ascii="Arial" w:hAnsi="Arial" w:cs="Arial"/>
        </w:rPr>
        <w:t xml:space="preserve"> to Murder. The rule of murder in England and Wales was called a "mess" by the Law Commission. The 2004 report suggested asking the Law Commission to perform a more thorough review of the law of murder</w:t>
      </w:r>
      <w:r w:rsidRPr="0099034E">
        <w:rPr>
          <w:rFonts w:ascii="Arial" w:hAnsi="Arial" w:cs="Arial"/>
        </w:rPr>
        <w:t>.</w:t>
      </w:r>
      <w:r w:rsidR="00AF0243">
        <w:rPr>
          <w:rFonts w:ascii="Arial" w:hAnsi="Arial" w:cs="Arial"/>
        </w:rPr>
        <w:t xml:space="preserve"> </w:t>
      </w:r>
      <w:r w:rsidR="00AF0243" w:rsidRPr="00AF0243">
        <w:rPr>
          <w:rFonts w:ascii="Arial" w:hAnsi="Arial" w:cs="Arial"/>
          <w:color w:val="000000"/>
        </w:rPr>
        <w:t>The Home Office revealed in October 2004 that a legislation revie</w:t>
      </w:r>
      <w:r w:rsidR="00AF0243" w:rsidRPr="00AF0243">
        <w:rPr>
          <w:rFonts w:ascii="Arial" w:hAnsi="Arial" w:cs="Arial"/>
          <w:color w:val="000000"/>
        </w:rPr>
        <w:t>w</w:t>
      </w:r>
      <w:r w:rsidR="00AF0243" w:rsidRPr="00AF0243">
        <w:rPr>
          <w:rFonts w:ascii="Arial" w:hAnsi="Arial" w:cs="Arial"/>
          <w:color w:val="000000"/>
        </w:rPr>
        <w:t>.</w:t>
      </w:r>
      <w:r w:rsidR="00AF0243" w:rsidRPr="00AF0243">
        <w:rPr>
          <w:rFonts w:ascii="Arial" w:hAnsi="Arial" w:cs="Arial"/>
          <w:color w:val="000000"/>
        </w:rPr>
        <w:t xml:space="preserve"> </w:t>
      </w:r>
      <w:r w:rsidR="00AF0243" w:rsidRPr="00AF0243">
        <w:rPr>
          <w:rFonts w:ascii="Arial" w:hAnsi="Arial" w:cs="Arial"/>
          <w:color w:val="000000"/>
        </w:rPr>
        <w:t>The government declared in July 2005</w:t>
      </w:r>
      <w:r w:rsidR="00AF0243" w:rsidRPr="00AF0243">
        <w:rPr>
          <w:rFonts w:ascii="Arial" w:hAnsi="Arial" w:cs="Arial"/>
        </w:rPr>
        <w:t xml:space="preserve"> t</w:t>
      </w:r>
      <w:r w:rsidR="00AF0243" w:rsidRPr="00AF0243">
        <w:rPr>
          <w:rFonts w:ascii="Arial" w:hAnsi="Arial" w:cs="Arial"/>
          <w:color w:val="000000"/>
        </w:rPr>
        <w:t>he guidelines for a review of the homicide laws in England and</w:t>
      </w:r>
      <w:r w:rsidR="00AF0243" w:rsidRPr="00AF0243">
        <w:rPr>
          <w:rFonts w:ascii="Arial" w:hAnsi="Arial" w:cs="Arial"/>
          <w:color w:val="000000"/>
        </w:rPr>
        <w:t xml:space="preserve"> </w:t>
      </w:r>
      <w:r w:rsidR="00AF0243" w:rsidRPr="00AF0243">
        <w:rPr>
          <w:rFonts w:ascii="Arial" w:hAnsi="Arial" w:cs="Arial"/>
          <w:color w:val="000000"/>
        </w:rPr>
        <w:t>Wales.</w:t>
      </w:r>
      <w:r w:rsidR="00AF0243">
        <w:rPr>
          <w:rFonts w:ascii="Arial" w:hAnsi="Arial" w:cs="Arial"/>
          <w:color w:val="000000"/>
        </w:rPr>
        <w:t xml:space="preserve"> </w:t>
      </w:r>
      <w:r w:rsidR="00AF0243" w:rsidRPr="00AF0243">
        <w:rPr>
          <w:rFonts w:ascii="Arial" w:hAnsi="Arial" w:cs="Arial"/>
          <w:color w:val="000000"/>
        </w:rPr>
        <w:t>The Government's terms of reference for the study mandated that</w:t>
      </w:r>
      <w:r w:rsidR="00AF0243">
        <w:rPr>
          <w:rFonts w:ascii="Arial" w:hAnsi="Arial" w:cs="Arial"/>
        </w:rPr>
        <w:t xml:space="preserve"> </w:t>
      </w:r>
      <w:r w:rsidR="00AF0243" w:rsidRPr="00AF0243">
        <w:rPr>
          <w:rFonts w:ascii="Arial" w:hAnsi="Arial" w:cs="Arial"/>
          <w:color w:val="000000"/>
        </w:rPr>
        <w:t>Law Commission to move forward based on the assumption that murder will still result in a mandatory life term</w:t>
      </w:r>
      <w:r w:rsidR="00AF0243">
        <w:rPr>
          <w:rFonts w:ascii="Arial" w:hAnsi="Arial" w:cs="Arial"/>
          <w:color w:val="000000"/>
        </w:rPr>
        <w:t>. Murder in the first degree will mean that you will be sentenced to a life sentence in prison, if someone committed murder in the second degree then this would mean they would be sentenced to discretionary life sentence and the same if a person is to be committed of manslaughter.</w:t>
      </w:r>
    </w:p>
    <w:p w14:paraId="291662ED" w14:textId="4EE5AA05" w:rsidR="00DB33A7" w:rsidRDefault="00DB33A7" w:rsidP="00AF0243">
      <w:pPr>
        <w:pStyle w:val="legclearfix"/>
        <w:shd w:val="clear" w:color="auto" w:fill="FFFFFF"/>
        <w:spacing w:before="0" w:beforeAutospacing="0" w:after="120" w:afterAutospacing="0" w:line="360" w:lineRule="auto"/>
        <w:rPr>
          <w:rFonts w:ascii="Arial" w:hAnsi="Arial" w:cs="Arial"/>
          <w:color w:val="000000"/>
        </w:rPr>
      </w:pPr>
    </w:p>
    <w:p w14:paraId="5BB87368" w14:textId="4E3044B5" w:rsidR="00DB33A7" w:rsidRDefault="00DB33A7" w:rsidP="00AF0243">
      <w:pPr>
        <w:pStyle w:val="legclearfix"/>
        <w:shd w:val="clear" w:color="auto" w:fill="FFFFFF"/>
        <w:spacing w:before="0" w:beforeAutospacing="0" w:after="120" w:afterAutospacing="0" w:line="360" w:lineRule="auto"/>
        <w:rPr>
          <w:rFonts w:ascii="Arial" w:hAnsi="Arial" w:cs="Arial"/>
          <w:color w:val="000000"/>
        </w:rPr>
      </w:pPr>
    </w:p>
    <w:p w14:paraId="05C45E7D" w14:textId="634317F5" w:rsidR="00E73209" w:rsidRDefault="00DB33A7" w:rsidP="00E73209">
      <w:pPr>
        <w:pStyle w:val="NormalWeb"/>
        <w:shd w:val="clear" w:color="auto" w:fill="FFFFFF"/>
        <w:spacing w:before="0" w:beforeAutospacing="0" w:line="360" w:lineRule="auto"/>
        <w:rPr>
          <w:rFonts w:ascii="Arial" w:hAnsi="Arial" w:cs="Arial"/>
        </w:rPr>
      </w:pPr>
      <w:r w:rsidRPr="00AB1B0C">
        <w:rPr>
          <w:rFonts w:ascii="Arial" w:hAnsi="Arial" w:cs="Arial"/>
          <w:color w:val="212529"/>
        </w:rPr>
        <w:t xml:space="preserve">The Coroners and Justice Act 2009 </w:t>
      </w:r>
      <w:r w:rsidR="00AB1B0C" w:rsidRPr="00AB1B0C">
        <w:rPr>
          <w:rFonts w:ascii="Arial" w:hAnsi="Arial" w:cs="Arial"/>
          <w:color w:val="212529"/>
        </w:rPr>
        <w:t>can change the law on the coroners and criminal justice systems in England and Wales</w:t>
      </w:r>
      <w:r w:rsidR="00AB1B0C">
        <w:rPr>
          <w:rFonts w:ascii="Segoe UI" w:hAnsi="Segoe UI" w:cs="Segoe UI"/>
          <w:color w:val="212529"/>
        </w:rPr>
        <w:t xml:space="preserve">, </w:t>
      </w:r>
      <w:r w:rsidR="00AB1B0C" w:rsidRPr="00AB1B0C">
        <w:rPr>
          <w:rFonts w:ascii="Arial" w:hAnsi="Arial" w:cs="Arial"/>
          <w:i/>
          <w:iCs/>
          <w:color w:val="212529"/>
        </w:rPr>
        <w:t>‘</w:t>
      </w:r>
      <w:r w:rsidRPr="00AB1B0C">
        <w:rPr>
          <w:rFonts w:ascii="Arial" w:hAnsi="Arial" w:cs="Arial"/>
          <w:i/>
          <w:iCs/>
          <w:color w:val="212529"/>
        </w:rPr>
        <w:t>The Act is divided into nine parts which each deal with different areas of law</w:t>
      </w:r>
      <w:r w:rsidR="00AB1B0C" w:rsidRPr="00AB1B0C">
        <w:rPr>
          <w:rFonts w:ascii="Arial" w:hAnsi="Arial" w:cs="Arial"/>
          <w:i/>
          <w:iCs/>
          <w:color w:val="212529"/>
        </w:rPr>
        <w:t>’ (</w:t>
      </w:r>
      <w:r w:rsidR="00AB1B0C">
        <w:rPr>
          <w:rFonts w:ascii="Arial" w:hAnsi="Arial" w:cs="Arial"/>
          <w:i/>
          <w:iCs/>
          <w:color w:val="212529"/>
        </w:rPr>
        <w:t xml:space="preserve">Coroners and Justice Act 2009, The Law Teacher 2022) </w:t>
      </w:r>
      <w:r w:rsidR="00AB1B0C" w:rsidRPr="00AB1B0C">
        <w:rPr>
          <w:rFonts w:ascii="Arial" w:hAnsi="Arial" w:cs="Arial"/>
          <w:color w:val="212529"/>
        </w:rPr>
        <w:t>The main goal of the Act is to create a justice and coroner system that is more responsive, open, and effective for victims, bereaved families, and the general public. It makes several attempts to accomplish this goal, such as updating the penal code, establishing a sentencing scheme that is more uniform and open, and enhancing the assistance provided to bereaved families by the coroner system.</w:t>
      </w:r>
      <w:r w:rsidR="00AB1B0C">
        <w:rPr>
          <w:rFonts w:ascii="Arial" w:hAnsi="Arial" w:cs="Arial"/>
          <w:color w:val="212529"/>
        </w:rPr>
        <w:t xml:space="preserve"> </w:t>
      </w:r>
      <w:r w:rsidR="003A389F" w:rsidRPr="003A389F">
        <w:rPr>
          <w:rStyle w:val="ends"/>
          <w:rFonts w:ascii="Arial" w:hAnsi="Arial" w:cs="Arial"/>
          <w:i/>
          <w:iCs/>
          <w:color w:val="000000"/>
        </w:rPr>
        <w:t>It replaces the existing framework for the investigation of certain deaths by coroners in the Coroners Act 1988 , that Act was a consolidation of existing coroner legislation, dating back to the early 1900s.</w:t>
      </w:r>
      <w:r w:rsidR="003A389F" w:rsidRPr="003A389F">
        <w:rPr>
          <w:rStyle w:val="ends"/>
          <w:rFonts w:ascii="Arial" w:hAnsi="Arial" w:cs="Arial"/>
          <w:i/>
          <w:iCs/>
          <w:color w:val="000000"/>
        </w:rPr>
        <w:t>’ (The Coroner and Justice Act 2009, Legislation.gov.uk ,2022)</w:t>
      </w:r>
      <w:r w:rsidR="003A389F">
        <w:rPr>
          <w:rStyle w:val="ends"/>
          <w:rFonts w:ascii="Arial" w:hAnsi="Arial" w:cs="Arial"/>
          <w:i/>
          <w:iCs/>
          <w:color w:val="000000"/>
        </w:rPr>
        <w:t xml:space="preserve"> </w:t>
      </w:r>
      <w:r w:rsidR="003A389F" w:rsidRPr="003A389F">
        <w:rPr>
          <w:rStyle w:val="ends"/>
          <w:rFonts w:ascii="Arial" w:hAnsi="Arial" w:cs="Arial"/>
          <w:color w:val="000000"/>
        </w:rPr>
        <w:t>C</w:t>
      </w:r>
      <w:r w:rsidR="003A389F" w:rsidRPr="003A389F">
        <w:rPr>
          <w:rStyle w:val="ends"/>
          <w:rFonts w:ascii="Arial" w:hAnsi="Arial" w:cs="Arial"/>
          <w:color w:val="000000"/>
        </w:rPr>
        <w:t>hanges the legislation to address coroners, death certification, and death registration</w:t>
      </w:r>
      <w:r w:rsidR="003A389F">
        <w:rPr>
          <w:rFonts w:ascii="Arial" w:hAnsi="Arial" w:cs="Arial"/>
          <w:color w:val="212529"/>
          <w:sz w:val="36"/>
          <w:szCs w:val="36"/>
        </w:rPr>
        <w:t>.</w:t>
      </w:r>
      <w:r w:rsidR="003A389F" w:rsidRPr="003A389F">
        <w:rPr>
          <w:rFonts w:ascii="Arial" w:hAnsi="Arial" w:cs="Arial"/>
          <w:color w:val="212529"/>
        </w:rPr>
        <w:t xml:space="preserve"> The coroners service will be headed by a Chief Coroner, who will have the authority to intercede in cases under certain conditions and preside over an appeals procedure created especially for the coroner system.</w:t>
      </w:r>
      <w:r w:rsidR="00CE154F">
        <w:rPr>
          <w:rFonts w:ascii="Arial" w:hAnsi="Arial" w:cs="Arial"/>
          <w:color w:val="212529"/>
        </w:rPr>
        <w:t xml:space="preserve"> </w:t>
      </w:r>
      <w:r w:rsidR="00E73209" w:rsidRPr="00CE154F">
        <w:rPr>
          <w:rFonts w:ascii="Arial" w:hAnsi="Arial" w:cs="Arial"/>
          <w:color w:val="212529"/>
        </w:rPr>
        <w:t xml:space="preserve">There are many advantages and disadvantages to these changes. One point is that </w:t>
      </w:r>
      <w:r w:rsidR="00E73209" w:rsidRPr="00CE154F">
        <w:rPr>
          <w:rFonts w:ascii="Arial" w:hAnsi="Arial" w:cs="Arial"/>
          <w:color w:val="212529"/>
        </w:rPr>
        <w:lastRenderedPageBreak/>
        <w:t>someone with a mental functioning medical condition has the chance to a defence and the defence will be able to show that the defendant is not mentally functioning correctly so could possibly commit offences such as murder, this will be taken into account and the person could be taken to a secure mental hospital where they will have rehabilitation. ‘</w:t>
      </w:r>
      <w:r w:rsidR="00E73209" w:rsidRPr="00CE154F">
        <w:rPr>
          <w:rFonts w:ascii="Arial" w:hAnsi="Arial" w:cs="Arial"/>
          <w:i/>
          <w:iCs/>
          <w:shd w:val="clear" w:color="auto" w:fill="FFFFFF"/>
        </w:rPr>
        <w:t>There is a very wide span of mental health conditions or disorders, and each will impact on individuals in different ways.</w:t>
      </w:r>
      <w:r w:rsidR="00E73209" w:rsidRPr="00CE154F">
        <w:rPr>
          <w:rFonts w:ascii="Arial" w:hAnsi="Arial" w:cs="Arial"/>
          <w:i/>
          <w:iCs/>
          <w:color w:val="212529"/>
        </w:rPr>
        <w:t>’ (</w:t>
      </w:r>
      <w:r w:rsidR="003A389F" w:rsidRPr="00CE154F">
        <w:rPr>
          <w:rFonts w:ascii="Arial" w:hAnsi="Arial" w:cs="Arial"/>
          <w:i/>
          <w:iCs/>
          <w:color w:val="212529"/>
        </w:rPr>
        <w:t xml:space="preserve"> </w:t>
      </w:r>
      <w:r w:rsidR="00E73209" w:rsidRPr="00CE154F">
        <w:rPr>
          <w:rFonts w:ascii="Arial" w:hAnsi="Arial" w:cs="Arial"/>
          <w:i/>
          <w:iCs/>
        </w:rPr>
        <w:t>Mental Health: Suspects and Defendants with Mental Health Conditions or Disorders</w:t>
      </w:r>
      <w:r w:rsidR="00E73209" w:rsidRPr="00CE154F">
        <w:rPr>
          <w:rFonts w:ascii="Arial" w:hAnsi="Arial" w:cs="Arial"/>
          <w:i/>
          <w:iCs/>
        </w:rPr>
        <w:t>, 14 October 2019)</w:t>
      </w:r>
      <w:r w:rsidR="00CE154F">
        <w:rPr>
          <w:rFonts w:ascii="Arial" w:hAnsi="Arial" w:cs="Arial"/>
          <w:i/>
          <w:iCs/>
        </w:rPr>
        <w:t xml:space="preserve"> </w:t>
      </w:r>
      <w:r w:rsidR="00CE154F" w:rsidRPr="00CE154F">
        <w:rPr>
          <w:rFonts w:ascii="Arial" w:hAnsi="Arial" w:cs="Arial"/>
        </w:rPr>
        <w:t>It may or may not be pertinent to the offence that someone has a mental health disorder or condition. To assess the nature, scope, and impact of the condition on a person as well as the specifics of the offences, prosecutors should handle each case according to its own facts and merits</w:t>
      </w:r>
      <w:r w:rsidR="00CE154F">
        <w:rPr>
          <w:rFonts w:ascii="Arial" w:hAnsi="Arial" w:cs="Arial"/>
        </w:rPr>
        <w:t>, ‘</w:t>
      </w:r>
      <w:r w:rsidR="00CE154F" w:rsidRPr="00CE154F">
        <w:rPr>
          <w:rFonts w:ascii="Arial" w:hAnsi="Arial" w:cs="Arial"/>
          <w:i/>
          <w:iCs/>
          <w:shd w:val="clear" w:color="auto" w:fill="FFFFFF"/>
        </w:rPr>
        <w:t>Mental health conditions or disorders are not always a constant: they may fluctuate, including being different at the time of an alleged offence to the different stages of any prosecution</w:t>
      </w:r>
      <w:r w:rsidR="00CE154F">
        <w:rPr>
          <w:rFonts w:ascii="Arial" w:hAnsi="Arial" w:cs="Arial"/>
          <w:i/>
          <w:iCs/>
          <w:shd w:val="clear" w:color="auto" w:fill="FFFFFF"/>
        </w:rPr>
        <w:t xml:space="preserve">, ( </w:t>
      </w:r>
      <w:r w:rsidR="00CE154F" w:rsidRPr="00CE154F">
        <w:rPr>
          <w:rFonts w:ascii="Arial" w:hAnsi="Arial" w:cs="Arial"/>
          <w:i/>
          <w:iCs/>
        </w:rPr>
        <w:t>Mental Health: Suspects and Defendants with Mental Health Conditions or Disorders, 14 October 2019</w:t>
      </w:r>
      <w:r w:rsidR="00CE154F">
        <w:rPr>
          <w:rFonts w:ascii="Arial" w:hAnsi="Arial" w:cs="Arial"/>
          <w:i/>
          <w:iCs/>
        </w:rPr>
        <w:t xml:space="preserve">). </w:t>
      </w:r>
      <w:r w:rsidR="00CE154F">
        <w:rPr>
          <w:rFonts w:ascii="Arial" w:hAnsi="Arial" w:cs="Arial"/>
        </w:rPr>
        <w:t xml:space="preserve">A disadvantage is that someone could play on the mental health card and know how to play the system in order to get away with committing murder or being an accessory to murder, this shows that the justice system would now be up to standard as you would not be able to prove if the person actually has a mentally functioning disorder or not. </w:t>
      </w:r>
    </w:p>
    <w:p w14:paraId="075F25D1" w14:textId="6624829D" w:rsidR="00CE154F" w:rsidRPr="00CE154F" w:rsidRDefault="00CE154F" w:rsidP="00E73209">
      <w:pPr>
        <w:pStyle w:val="NormalWeb"/>
        <w:shd w:val="clear" w:color="auto" w:fill="FFFFFF"/>
        <w:spacing w:before="0" w:beforeAutospacing="0" w:line="360" w:lineRule="auto"/>
        <w:rPr>
          <w:rFonts w:ascii="Arial" w:hAnsi="Arial" w:cs="Arial"/>
          <w:color w:val="212529"/>
        </w:rPr>
      </w:pPr>
      <w:r>
        <w:rPr>
          <w:rFonts w:ascii="Arial" w:hAnsi="Arial" w:cs="Arial"/>
        </w:rPr>
        <w:t xml:space="preserve">Overall looking into the two different acts it has proved that there are positive outcomes and not so positive outcomes from the changes and legislation. It shows that the system is accommodating for people with mentally functioning disorders but from the </w:t>
      </w:r>
      <w:proofErr w:type="spellStart"/>
      <w:r>
        <w:rPr>
          <w:rFonts w:ascii="Arial" w:hAnsi="Arial" w:cs="Arial"/>
        </w:rPr>
        <w:t>otherside</w:t>
      </w:r>
      <w:proofErr w:type="spellEnd"/>
      <w:r>
        <w:rPr>
          <w:rFonts w:ascii="Arial" w:hAnsi="Arial" w:cs="Arial"/>
        </w:rPr>
        <w:t xml:space="preserve"> being the </w:t>
      </w:r>
      <w:proofErr w:type="spellStart"/>
      <w:r>
        <w:rPr>
          <w:rFonts w:ascii="Arial" w:hAnsi="Arial" w:cs="Arial"/>
        </w:rPr>
        <w:t>victims</w:t>
      </w:r>
      <w:proofErr w:type="spellEnd"/>
      <w:r>
        <w:rPr>
          <w:rFonts w:ascii="Arial" w:hAnsi="Arial" w:cs="Arial"/>
        </w:rPr>
        <w:t xml:space="preserve"> family or friends you could argue that the results of the mentally functioning tests are not true as it is easy to fix them. </w:t>
      </w:r>
    </w:p>
    <w:p w14:paraId="28A92968" w14:textId="59699A5B" w:rsidR="003A389F" w:rsidRPr="00E73209" w:rsidRDefault="003A389F" w:rsidP="00E73209">
      <w:pPr>
        <w:pStyle w:val="NormalWeb"/>
        <w:shd w:val="clear" w:color="auto" w:fill="FFFFFF"/>
        <w:spacing w:before="0" w:beforeAutospacing="0" w:line="360" w:lineRule="auto"/>
        <w:rPr>
          <w:rFonts w:ascii="Arial" w:hAnsi="Arial" w:cs="Arial"/>
          <w:i/>
          <w:iCs/>
          <w:color w:val="212529"/>
        </w:rPr>
      </w:pPr>
    </w:p>
    <w:p w14:paraId="5A21743F" w14:textId="50758A60" w:rsidR="00E73209" w:rsidRDefault="00E73209" w:rsidP="00AB1B0C">
      <w:pPr>
        <w:pStyle w:val="NormalWeb"/>
        <w:shd w:val="clear" w:color="auto" w:fill="FFFFFF"/>
        <w:spacing w:before="0" w:beforeAutospacing="0"/>
        <w:rPr>
          <w:rFonts w:ascii="Arial" w:hAnsi="Arial" w:cs="Arial"/>
          <w:color w:val="212529"/>
        </w:rPr>
      </w:pPr>
    </w:p>
    <w:p w14:paraId="484A5785" w14:textId="77777777" w:rsidR="00E73209" w:rsidRDefault="00E73209" w:rsidP="00AB1B0C">
      <w:pPr>
        <w:pStyle w:val="NormalWeb"/>
        <w:shd w:val="clear" w:color="auto" w:fill="FFFFFF"/>
        <w:spacing w:before="0" w:beforeAutospacing="0"/>
        <w:rPr>
          <w:rFonts w:ascii="Arial" w:hAnsi="Arial" w:cs="Arial"/>
          <w:color w:val="212529"/>
        </w:rPr>
      </w:pPr>
    </w:p>
    <w:p w14:paraId="5CC8D2A8" w14:textId="77777777" w:rsidR="003A389F" w:rsidRPr="003A389F" w:rsidRDefault="003A389F" w:rsidP="00AB1B0C">
      <w:pPr>
        <w:pStyle w:val="NormalWeb"/>
        <w:shd w:val="clear" w:color="auto" w:fill="FFFFFF"/>
        <w:spacing w:before="0" w:beforeAutospacing="0"/>
        <w:rPr>
          <w:rFonts w:ascii="Arial" w:hAnsi="Arial" w:cs="Arial"/>
          <w:color w:val="212529"/>
        </w:rPr>
      </w:pPr>
    </w:p>
    <w:p w14:paraId="16656D04" w14:textId="4C1401CD" w:rsidR="003A389F" w:rsidRDefault="003A389F" w:rsidP="00AB1B0C">
      <w:pPr>
        <w:pStyle w:val="NormalWeb"/>
        <w:shd w:val="clear" w:color="auto" w:fill="FFFFFF"/>
        <w:spacing w:before="0" w:beforeAutospacing="0"/>
        <w:rPr>
          <w:rFonts w:ascii="Arial" w:hAnsi="Arial" w:cs="Arial"/>
          <w:color w:val="212529"/>
        </w:rPr>
      </w:pPr>
    </w:p>
    <w:p w14:paraId="3BB38BCE" w14:textId="720740E3" w:rsidR="00A46376" w:rsidRPr="00AB1B0C" w:rsidRDefault="00A46376" w:rsidP="00A46376">
      <w:pPr>
        <w:rPr>
          <w:sz w:val="24"/>
          <w:szCs w:val="24"/>
        </w:rPr>
      </w:pPr>
    </w:p>
    <w:p w14:paraId="1B51499D" w14:textId="1881DD56" w:rsidR="00A46376" w:rsidRDefault="00A46376" w:rsidP="00A46376">
      <w:pPr>
        <w:rPr>
          <w:sz w:val="24"/>
          <w:szCs w:val="24"/>
        </w:rPr>
      </w:pPr>
    </w:p>
    <w:p w14:paraId="4914E2CA" w14:textId="414D4237" w:rsidR="00A46376" w:rsidRDefault="00A46376" w:rsidP="00A46376">
      <w:pPr>
        <w:rPr>
          <w:sz w:val="24"/>
          <w:szCs w:val="24"/>
        </w:rPr>
      </w:pPr>
    </w:p>
    <w:p w14:paraId="06F9672E" w14:textId="01C74F74" w:rsidR="00A46376" w:rsidRDefault="00A46376" w:rsidP="00A46376">
      <w:pPr>
        <w:rPr>
          <w:sz w:val="24"/>
          <w:szCs w:val="24"/>
        </w:rPr>
      </w:pPr>
    </w:p>
    <w:p w14:paraId="563FBA9B" w14:textId="65E6B640" w:rsidR="0099034E" w:rsidRDefault="0099034E" w:rsidP="00A46376">
      <w:pPr>
        <w:rPr>
          <w:sz w:val="24"/>
          <w:szCs w:val="24"/>
        </w:rPr>
      </w:pPr>
    </w:p>
    <w:p w14:paraId="5EEAA7AA" w14:textId="6B2F0C9B" w:rsidR="0099034E" w:rsidRDefault="0099034E" w:rsidP="00A46376">
      <w:pPr>
        <w:rPr>
          <w:sz w:val="24"/>
          <w:szCs w:val="24"/>
        </w:rPr>
      </w:pPr>
    </w:p>
    <w:p w14:paraId="1FB63F47" w14:textId="77777777" w:rsidR="00A46376" w:rsidRDefault="00A46376" w:rsidP="00A46376">
      <w:pPr>
        <w:pStyle w:val="ListParagraph"/>
        <w:numPr>
          <w:ilvl w:val="0"/>
          <w:numId w:val="1"/>
        </w:numPr>
        <w:rPr>
          <w:rFonts w:ascii="Arial" w:hAnsi="Arial" w:cs="Arial"/>
          <w:sz w:val="24"/>
          <w:szCs w:val="24"/>
        </w:rPr>
      </w:pPr>
      <w:r>
        <w:rPr>
          <w:rFonts w:ascii="Arial" w:hAnsi="Arial" w:cs="Arial"/>
          <w:sz w:val="24"/>
          <w:szCs w:val="24"/>
        </w:rPr>
        <w:t>What are the advantages and disadvantages of these changes?</w:t>
      </w:r>
    </w:p>
    <w:p w14:paraId="2DA657B8" w14:textId="77777777" w:rsidR="00A46376" w:rsidRDefault="00A46376" w:rsidP="00A46376">
      <w:pPr>
        <w:pStyle w:val="ListParagraph"/>
        <w:numPr>
          <w:ilvl w:val="0"/>
          <w:numId w:val="1"/>
        </w:numPr>
        <w:rPr>
          <w:rFonts w:ascii="Arial" w:hAnsi="Arial" w:cs="Arial"/>
          <w:sz w:val="24"/>
          <w:szCs w:val="24"/>
        </w:rPr>
      </w:pPr>
      <w:r>
        <w:rPr>
          <w:rFonts w:ascii="Arial" w:hAnsi="Arial" w:cs="Arial"/>
          <w:sz w:val="24"/>
          <w:szCs w:val="24"/>
        </w:rPr>
        <w:t>Are there any recommendations for further reform within this area of law?</w:t>
      </w:r>
    </w:p>
    <w:p w14:paraId="4C7147B0" w14:textId="018617EB" w:rsidR="00A46376" w:rsidRDefault="00A46376" w:rsidP="00A46376">
      <w:pPr>
        <w:rPr>
          <w:sz w:val="24"/>
          <w:szCs w:val="24"/>
        </w:rPr>
      </w:pPr>
    </w:p>
    <w:p w14:paraId="1050319F" w14:textId="6F8C4A6C" w:rsidR="00A46376" w:rsidRDefault="00A46376" w:rsidP="00A46376">
      <w:pPr>
        <w:rPr>
          <w:sz w:val="24"/>
          <w:szCs w:val="24"/>
        </w:rPr>
      </w:pPr>
    </w:p>
    <w:p w14:paraId="740FF646" w14:textId="2367C65B" w:rsidR="00A46376" w:rsidRDefault="00A46376" w:rsidP="00A46376">
      <w:pPr>
        <w:rPr>
          <w:sz w:val="24"/>
          <w:szCs w:val="24"/>
        </w:rPr>
      </w:pPr>
    </w:p>
    <w:p w14:paraId="5F314C53" w14:textId="0149FFFF" w:rsidR="00A46376" w:rsidRDefault="00A46376" w:rsidP="00A46376">
      <w:pPr>
        <w:rPr>
          <w:sz w:val="24"/>
          <w:szCs w:val="24"/>
        </w:rPr>
      </w:pPr>
    </w:p>
    <w:p w14:paraId="0EEE8613" w14:textId="6F9A2F5D" w:rsidR="00A46376" w:rsidRDefault="00A46376" w:rsidP="00A46376">
      <w:pPr>
        <w:rPr>
          <w:sz w:val="24"/>
          <w:szCs w:val="24"/>
        </w:rPr>
      </w:pPr>
    </w:p>
    <w:p w14:paraId="0917EB6D" w14:textId="75AF6E5D" w:rsidR="00A46376" w:rsidRDefault="00A46376" w:rsidP="00A46376">
      <w:pPr>
        <w:rPr>
          <w:sz w:val="24"/>
          <w:szCs w:val="24"/>
        </w:rPr>
      </w:pPr>
    </w:p>
    <w:p w14:paraId="6629E7B5" w14:textId="70AB09C1" w:rsidR="00A46376" w:rsidRDefault="00A46376" w:rsidP="00A46376">
      <w:pPr>
        <w:rPr>
          <w:sz w:val="24"/>
          <w:szCs w:val="24"/>
        </w:rPr>
      </w:pPr>
    </w:p>
    <w:p w14:paraId="6CA22CBE" w14:textId="249B6A23" w:rsidR="00A46376" w:rsidRDefault="00A46376" w:rsidP="00A46376">
      <w:pPr>
        <w:rPr>
          <w:sz w:val="24"/>
          <w:szCs w:val="24"/>
        </w:rPr>
      </w:pPr>
    </w:p>
    <w:p w14:paraId="794396F4" w14:textId="31031177" w:rsidR="00A46376" w:rsidRDefault="00A46376" w:rsidP="00A46376">
      <w:pPr>
        <w:rPr>
          <w:sz w:val="24"/>
          <w:szCs w:val="24"/>
        </w:rPr>
      </w:pPr>
    </w:p>
    <w:p w14:paraId="5DC1E1C3" w14:textId="71FEE661" w:rsidR="00A46376" w:rsidRDefault="00A46376" w:rsidP="00A46376">
      <w:pPr>
        <w:rPr>
          <w:sz w:val="24"/>
          <w:szCs w:val="24"/>
        </w:rPr>
      </w:pPr>
    </w:p>
    <w:p w14:paraId="5AD910B2" w14:textId="54626770" w:rsidR="00A46376" w:rsidRDefault="00A46376" w:rsidP="00A46376">
      <w:pPr>
        <w:rPr>
          <w:sz w:val="24"/>
          <w:szCs w:val="24"/>
        </w:rPr>
      </w:pPr>
    </w:p>
    <w:p w14:paraId="5E27074E" w14:textId="1A503074" w:rsidR="00A46376" w:rsidRDefault="00A46376" w:rsidP="00A46376">
      <w:pPr>
        <w:rPr>
          <w:sz w:val="24"/>
          <w:szCs w:val="24"/>
        </w:rPr>
      </w:pPr>
    </w:p>
    <w:p w14:paraId="115F81F3" w14:textId="1808F669" w:rsidR="00A46376" w:rsidRDefault="00A46376" w:rsidP="00A46376">
      <w:pPr>
        <w:rPr>
          <w:sz w:val="24"/>
          <w:szCs w:val="24"/>
        </w:rPr>
      </w:pPr>
    </w:p>
    <w:p w14:paraId="2AE1D74A" w14:textId="350CEDC0" w:rsidR="00A46376" w:rsidRDefault="00A46376" w:rsidP="00A46376">
      <w:pPr>
        <w:rPr>
          <w:sz w:val="24"/>
          <w:szCs w:val="24"/>
        </w:rPr>
      </w:pPr>
    </w:p>
    <w:p w14:paraId="4C09BD9C" w14:textId="2CBBE1DD" w:rsidR="00A46376" w:rsidRDefault="00A46376" w:rsidP="00A46376">
      <w:pPr>
        <w:rPr>
          <w:sz w:val="24"/>
          <w:szCs w:val="24"/>
        </w:rPr>
      </w:pPr>
    </w:p>
    <w:p w14:paraId="3ED4AD1B" w14:textId="0001CC24" w:rsidR="00A46376" w:rsidRDefault="00A46376" w:rsidP="00A46376">
      <w:pPr>
        <w:rPr>
          <w:sz w:val="24"/>
          <w:szCs w:val="24"/>
        </w:rPr>
      </w:pPr>
    </w:p>
    <w:p w14:paraId="600120B2" w14:textId="26503F88" w:rsidR="00A46376" w:rsidRDefault="00A46376" w:rsidP="00A46376">
      <w:pPr>
        <w:rPr>
          <w:sz w:val="24"/>
          <w:szCs w:val="24"/>
        </w:rPr>
      </w:pPr>
    </w:p>
    <w:p w14:paraId="6FA21733" w14:textId="3860F4B7" w:rsidR="00A46376" w:rsidRDefault="00A46376" w:rsidP="00A46376">
      <w:pPr>
        <w:rPr>
          <w:sz w:val="24"/>
          <w:szCs w:val="24"/>
        </w:rPr>
      </w:pPr>
    </w:p>
    <w:p w14:paraId="7A98ED9D" w14:textId="57E097C5" w:rsidR="00A46376" w:rsidRDefault="00A46376" w:rsidP="00A46376">
      <w:pPr>
        <w:rPr>
          <w:sz w:val="24"/>
          <w:szCs w:val="24"/>
        </w:rPr>
      </w:pPr>
    </w:p>
    <w:p w14:paraId="5E2B4498" w14:textId="3CF367DE" w:rsidR="00A46376" w:rsidRDefault="00A46376" w:rsidP="00A46376">
      <w:pPr>
        <w:rPr>
          <w:sz w:val="24"/>
          <w:szCs w:val="24"/>
        </w:rPr>
      </w:pPr>
    </w:p>
    <w:p w14:paraId="60E471A9" w14:textId="36E93B35" w:rsidR="00A46376" w:rsidRDefault="00A46376" w:rsidP="00A46376">
      <w:pPr>
        <w:rPr>
          <w:sz w:val="24"/>
          <w:szCs w:val="24"/>
        </w:rPr>
      </w:pPr>
    </w:p>
    <w:p w14:paraId="2C913FCA" w14:textId="5B48F28F" w:rsidR="00A46376" w:rsidRDefault="00A46376" w:rsidP="00A46376">
      <w:pPr>
        <w:rPr>
          <w:sz w:val="24"/>
          <w:szCs w:val="24"/>
        </w:rPr>
      </w:pPr>
    </w:p>
    <w:p w14:paraId="188E5169" w14:textId="26D5ED7B" w:rsidR="00A46376" w:rsidRDefault="00A46376" w:rsidP="00A46376">
      <w:pPr>
        <w:rPr>
          <w:sz w:val="24"/>
          <w:szCs w:val="24"/>
        </w:rPr>
      </w:pPr>
    </w:p>
    <w:p w14:paraId="78045455" w14:textId="59243A1D" w:rsidR="00A46376" w:rsidRDefault="00A46376" w:rsidP="00A46376">
      <w:pPr>
        <w:rPr>
          <w:sz w:val="24"/>
          <w:szCs w:val="24"/>
        </w:rPr>
      </w:pPr>
    </w:p>
    <w:p w14:paraId="5DD6407A" w14:textId="7F746F45" w:rsidR="00A46376" w:rsidRDefault="00A46376" w:rsidP="00A46376">
      <w:pPr>
        <w:rPr>
          <w:sz w:val="24"/>
          <w:szCs w:val="24"/>
        </w:rPr>
      </w:pPr>
    </w:p>
    <w:p w14:paraId="30DD99F0" w14:textId="40674702" w:rsidR="00A46376" w:rsidRDefault="00A46376" w:rsidP="00A46376">
      <w:pPr>
        <w:rPr>
          <w:sz w:val="24"/>
          <w:szCs w:val="24"/>
        </w:rPr>
      </w:pPr>
    </w:p>
    <w:p w14:paraId="551BE1C1" w14:textId="29B094A3" w:rsidR="00A46376" w:rsidRDefault="00A46376" w:rsidP="00A46376">
      <w:pPr>
        <w:rPr>
          <w:sz w:val="24"/>
          <w:szCs w:val="24"/>
        </w:rPr>
      </w:pPr>
    </w:p>
    <w:p w14:paraId="7642FDCA" w14:textId="030F20A7" w:rsidR="00A46376" w:rsidRDefault="00A46376" w:rsidP="00A46376">
      <w:pPr>
        <w:rPr>
          <w:sz w:val="24"/>
          <w:szCs w:val="24"/>
        </w:rPr>
      </w:pPr>
    </w:p>
    <w:p w14:paraId="76645A4A" w14:textId="02E8CEDC" w:rsidR="00A46376" w:rsidRDefault="00A46376" w:rsidP="00A46376">
      <w:pPr>
        <w:rPr>
          <w:sz w:val="24"/>
          <w:szCs w:val="24"/>
        </w:rPr>
      </w:pPr>
    </w:p>
    <w:p w14:paraId="38548FC9" w14:textId="1F1CDEE7" w:rsidR="00A46376" w:rsidRDefault="00A46376" w:rsidP="00A46376">
      <w:pPr>
        <w:rPr>
          <w:sz w:val="24"/>
          <w:szCs w:val="24"/>
        </w:rPr>
      </w:pPr>
    </w:p>
    <w:p w14:paraId="319FF5F9" w14:textId="60AC11D2" w:rsidR="00A46376" w:rsidRDefault="00A46376" w:rsidP="00A46376">
      <w:pPr>
        <w:rPr>
          <w:sz w:val="24"/>
          <w:szCs w:val="24"/>
        </w:rPr>
      </w:pPr>
    </w:p>
    <w:p w14:paraId="44348041" w14:textId="2D2904B9" w:rsidR="00A46376" w:rsidRDefault="00A46376" w:rsidP="00A46376">
      <w:pPr>
        <w:rPr>
          <w:sz w:val="24"/>
          <w:szCs w:val="24"/>
        </w:rPr>
      </w:pPr>
    </w:p>
    <w:p w14:paraId="19A6EF26" w14:textId="3431324A" w:rsidR="00A46376" w:rsidRDefault="00A46376" w:rsidP="00A46376">
      <w:pPr>
        <w:rPr>
          <w:sz w:val="24"/>
          <w:szCs w:val="24"/>
        </w:rPr>
      </w:pPr>
    </w:p>
    <w:p w14:paraId="5E62FE2C" w14:textId="16BDCE28" w:rsidR="00A46376" w:rsidRDefault="00A46376" w:rsidP="00A46376">
      <w:pPr>
        <w:rPr>
          <w:sz w:val="24"/>
          <w:szCs w:val="24"/>
        </w:rPr>
      </w:pPr>
    </w:p>
    <w:p w14:paraId="0A9A84CA" w14:textId="64E4EBF5" w:rsidR="00A46376" w:rsidRDefault="00A46376" w:rsidP="00A46376">
      <w:pPr>
        <w:rPr>
          <w:sz w:val="24"/>
          <w:szCs w:val="24"/>
        </w:rPr>
      </w:pPr>
    </w:p>
    <w:p w14:paraId="3D3D0725" w14:textId="6947FAEB" w:rsidR="00A46376" w:rsidRDefault="00A46376" w:rsidP="00A46376">
      <w:pPr>
        <w:rPr>
          <w:sz w:val="24"/>
          <w:szCs w:val="24"/>
        </w:rPr>
      </w:pPr>
    </w:p>
    <w:p w14:paraId="0971F978" w14:textId="747C19E0" w:rsidR="00A46376" w:rsidRDefault="00A46376" w:rsidP="00A46376">
      <w:pPr>
        <w:rPr>
          <w:sz w:val="24"/>
          <w:szCs w:val="24"/>
        </w:rPr>
      </w:pPr>
    </w:p>
    <w:p w14:paraId="57F9A9CC" w14:textId="1FF3E807" w:rsidR="00A46376" w:rsidRDefault="00A46376" w:rsidP="00A46376">
      <w:pPr>
        <w:rPr>
          <w:sz w:val="24"/>
          <w:szCs w:val="24"/>
        </w:rPr>
      </w:pPr>
    </w:p>
    <w:p w14:paraId="6B19241D" w14:textId="3E8B68FE" w:rsidR="00A46376" w:rsidRDefault="00A46376" w:rsidP="00A46376">
      <w:pPr>
        <w:rPr>
          <w:sz w:val="24"/>
          <w:szCs w:val="24"/>
        </w:rPr>
      </w:pPr>
    </w:p>
    <w:p w14:paraId="0547A6E1" w14:textId="28D9A79C" w:rsidR="00A46376" w:rsidRDefault="00A46376" w:rsidP="00A46376">
      <w:pPr>
        <w:rPr>
          <w:sz w:val="24"/>
          <w:szCs w:val="24"/>
        </w:rPr>
      </w:pPr>
    </w:p>
    <w:p w14:paraId="40FFC30B" w14:textId="2EEA5FC1" w:rsidR="00A46376" w:rsidRDefault="00A46376" w:rsidP="00A46376">
      <w:pPr>
        <w:rPr>
          <w:sz w:val="24"/>
          <w:szCs w:val="24"/>
        </w:rPr>
      </w:pPr>
    </w:p>
    <w:p w14:paraId="70683206" w14:textId="6853F1E2" w:rsidR="00A46376" w:rsidRDefault="00A46376" w:rsidP="00A46376">
      <w:pPr>
        <w:rPr>
          <w:sz w:val="24"/>
          <w:szCs w:val="24"/>
        </w:rPr>
      </w:pPr>
    </w:p>
    <w:p w14:paraId="777365E8" w14:textId="21196A52" w:rsidR="00A46376" w:rsidRDefault="00A46376" w:rsidP="00A46376">
      <w:pPr>
        <w:rPr>
          <w:sz w:val="24"/>
          <w:szCs w:val="24"/>
        </w:rPr>
      </w:pPr>
    </w:p>
    <w:p w14:paraId="67109B23" w14:textId="031C7545" w:rsidR="00A46376" w:rsidRDefault="00A46376" w:rsidP="00A46376">
      <w:pPr>
        <w:rPr>
          <w:sz w:val="24"/>
          <w:szCs w:val="24"/>
        </w:rPr>
      </w:pPr>
    </w:p>
    <w:p w14:paraId="75CB8C97" w14:textId="1CDD635D" w:rsidR="00A46376" w:rsidRDefault="00A46376" w:rsidP="00A46376">
      <w:pPr>
        <w:rPr>
          <w:sz w:val="24"/>
          <w:szCs w:val="24"/>
        </w:rPr>
      </w:pPr>
    </w:p>
    <w:p w14:paraId="74399D8E" w14:textId="615E4852" w:rsidR="00A46376" w:rsidRPr="00E73209" w:rsidRDefault="00A46376" w:rsidP="00A46376">
      <w:pPr>
        <w:rPr>
          <w:rFonts w:ascii="Arial" w:hAnsi="Arial" w:cs="Arial"/>
          <w:sz w:val="24"/>
          <w:szCs w:val="24"/>
        </w:rPr>
      </w:pPr>
    </w:p>
    <w:p w14:paraId="790955D1" w14:textId="34DD8778" w:rsidR="00A46376" w:rsidRPr="00E73209" w:rsidRDefault="00A46376" w:rsidP="00A46376">
      <w:pPr>
        <w:rPr>
          <w:rStyle w:val="legsubstitution"/>
          <w:rFonts w:ascii="Arial" w:hAnsi="Arial" w:cs="Arial"/>
          <w:i/>
          <w:iCs/>
          <w:color w:val="000000"/>
          <w:sz w:val="24"/>
          <w:szCs w:val="24"/>
        </w:rPr>
      </w:pPr>
      <w:r w:rsidRPr="00E73209">
        <w:rPr>
          <w:rStyle w:val="legsubstitution"/>
          <w:rFonts w:ascii="Arial" w:hAnsi="Arial" w:cs="Arial"/>
          <w:i/>
          <w:iCs/>
          <w:color w:val="000000"/>
          <w:sz w:val="24"/>
          <w:szCs w:val="24"/>
        </w:rPr>
        <w:t>S.2 Homicide Act 1957, Legislation.gov.uk 2022</w:t>
      </w:r>
    </w:p>
    <w:p w14:paraId="31A2D20C" w14:textId="66317FA4" w:rsidR="00DB33A7" w:rsidRPr="00E73209" w:rsidRDefault="00DB33A7" w:rsidP="00A46376">
      <w:pPr>
        <w:rPr>
          <w:rFonts w:ascii="Arial" w:hAnsi="Arial" w:cs="Arial"/>
          <w:sz w:val="24"/>
          <w:szCs w:val="24"/>
        </w:rPr>
      </w:pPr>
      <w:hyperlink r:id="rId6" w:history="1">
        <w:r w:rsidRPr="00E73209">
          <w:rPr>
            <w:rStyle w:val="Hyperlink"/>
            <w:rFonts w:ascii="Arial" w:hAnsi="Arial" w:cs="Arial"/>
            <w:sz w:val="24"/>
            <w:szCs w:val="24"/>
          </w:rPr>
          <w:t>Coroners and Justice Act 2009 (lawteacher.net)</w:t>
        </w:r>
      </w:hyperlink>
    </w:p>
    <w:p w14:paraId="13FAAE51" w14:textId="0BE86D03" w:rsidR="00E73209" w:rsidRPr="00E73209" w:rsidRDefault="00E73209" w:rsidP="00A46376">
      <w:pPr>
        <w:rPr>
          <w:rFonts w:ascii="Arial" w:hAnsi="Arial" w:cs="Arial"/>
          <w:sz w:val="24"/>
          <w:szCs w:val="24"/>
        </w:rPr>
      </w:pPr>
      <w:hyperlink r:id="rId7" w:history="1">
        <w:r w:rsidRPr="00E73209">
          <w:rPr>
            <w:rStyle w:val="Hyperlink"/>
            <w:rFonts w:ascii="Arial" w:hAnsi="Arial" w:cs="Arial"/>
            <w:sz w:val="24"/>
            <w:szCs w:val="24"/>
          </w:rPr>
          <w:t>Mental Health: Suspects and Defendants with Mental Health Conditions or Disorders | The Crown Prosecution Service (cps.gov.uk)</w:t>
        </w:r>
      </w:hyperlink>
    </w:p>
    <w:p w14:paraId="6EAABF0A" w14:textId="276FD041" w:rsidR="00E73209" w:rsidRPr="00E73209" w:rsidRDefault="00E73209" w:rsidP="00A46376">
      <w:pPr>
        <w:rPr>
          <w:rFonts w:ascii="Arial" w:hAnsi="Arial" w:cs="Arial"/>
          <w:sz w:val="24"/>
          <w:szCs w:val="24"/>
        </w:rPr>
      </w:pPr>
      <w:r w:rsidRPr="00E73209">
        <w:rPr>
          <w:rFonts w:ascii="Arial" w:hAnsi="Arial" w:cs="Arial"/>
          <w:b/>
          <w:bCs/>
          <w:i/>
          <w:iCs/>
          <w:sz w:val="24"/>
          <w:szCs w:val="24"/>
        </w:rPr>
        <w:t>Mental Health: Suspects and Defendants with Mental Health Conditions or Disorders, 14 October 2019)</w:t>
      </w:r>
    </w:p>
    <w:sectPr w:rsidR="00E73209" w:rsidRPr="00E7320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4794CE6"/>
    <w:multiLevelType w:val="hybridMultilevel"/>
    <w:tmpl w:val="EBF47CE0"/>
    <w:lvl w:ilvl="0" w:tplc="C42EBAC6">
      <w:numFmt w:val="bullet"/>
      <w:lvlText w:val="-"/>
      <w:lvlJc w:val="left"/>
      <w:pPr>
        <w:ind w:left="1080" w:hanging="360"/>
      </w:pPr>
      <w:rPr>
        <w:rFonts w:ascii="Arial" w:eastAsia="Times New Roman" w:hAnsi="Arial" w:cs="Arial" w:hint="default"/>
      </w:rPr>
    </w:lvl>
    <w:lvl w:ilvl="1" w:tplc="08090003">
      <w:start w:val="1"/>
      <w:numFmt w:val="bullet"/>
      <w:lvlText w:val="o"/>
      <w:lvlJc w:val="left"/>
      <w:pPr>
        <w:ind w:left="1800" w:hanging="360"/>
      </w:pPr>
      <w:rPr>
        <w:rFonts w:ascii="Courier New" w:hAnsi="Courier New" w:cs="Courier New" w:hint="default"/>
      </w:rPr>
    </w:lvl>
    <w:lvl w:ilvl="2" w:tplc="08090005">
      <w:start w:val="1"/>
      <w:numFmt w:val="bullet"/>
      <w:lvlText w:val=""/>
      <w:lvlJc w:val="left"/>
      <w:pPr>
        <w:ind w:left="2520" w:hanging="360"/>
      </w:pPr>
      <w:rPr>
        <w:rFonts w:ascii="Wingdings" w:hAnsi="Wingdings" w:hint="default"/>
      </w:rPr>
    </w:lvl>
    <w:lvl w:ilvl="3" w:tplc="08090001">
      <w:start w:val="1"/>
      <w:numFmt w:val="bullet"/>
      <w:lvlText w:val=""/>
      <w:lvlJc w:val="left"/>
      <w:pPr>
        <w:ind w:left="3240" w:hanging="360"/>
      </w:pPr>
      <w:rPr>
        <w:rFonts w:ascii="Symbol" w:hAnsi="Symbol" w:hint="default"/>
      </w:rPr>
    </w:lvl>
    <w:lvl w:ilvl="4" w:tplc="08090003">
      <w:start w:val="1"/>
      <w:numFmt w:val="bullet"/>
      <w:lvlText w:val="o"/>
      <w:lvlJc w:val="left"/>
      <w:pPr>
        <w:ind w:left="3960" w:hanging="360"/>
      </w:pPr>
      <w:rPr>
        <w:rFonts w:ascii="Courier New" w:hAnsi="Courier New" w:cs="Courier New" w:hint="default"/>
      </w:rPr>
    </w:lvl>
    <w:lvl w:ilvl="5" w:tplc="08090005">
      <w:start w:val="1"/>
      <w:numFmt w:val="bullet"/>
      <w:lvlText w:val=""/>
      <w:lvlJc w:val="left"/>
      <w:pPr>
        <w:ind w:left="4680" w:hanging="360"/>
      </w:pPr>
      <w:rPr>
        <w:rFonts w:ascii="Wingdings" w:hAnsi="Wingdings" w:hint="default"/>
      </w:rPr>
    </w:lvl>
    <w:lvl w:ilvl="6" w:tplc="08090001">
      <w:start w:val="1"/>
      <w:numFmt w:val="bullet"/>
      <w:lvlText w:val=""/>
      <w:lvlJc w:val="left"/>
      <w:pPr>
        <w:ind w:left="5400" w:hanging="360"/>
      </w:pPr>
      <w:rPr>
        <w:rFonts w:ascii="Symbol" w:hAnsi="Symbol" w:hint="default"/>
      </w:rPr>
    </w:lvl>
    <w:lvl w:ilvl="7" w:tplc="08090003">
      <w:start w:val="1"/>
      <w:numFmt w:val="bullet"/>
      <w:lvlText w:val="o"/>
      <w:lvlJc w:val="left"/>
      <w:pPr>
        <w:ind w:left="6120" w:hanging="360"/>
      </w:pPr>
      <w:rPr>
        <w:rFonts w:ascii="Courier New" w:hAnsi="Courier New" w:cs="Courier New" w:hint="default"/>
      </w:rPr>
    </w:lvl>
    <w:lvl w:ilvl="8" w:tplc="08090005">
      <w:start w:val="1"/>
      <w:numFmt w:val="bullet"/>
      <w:lvlText w:val=""/>
      <w:lvlJc w:val="left"/>
      <w:pPr>
        <w:ind w:left="6840" w:hanging="360"/>
      </w:pPr>
      <w:rPr>
        <w:rFonts w:ascii="Wingdings" w:hAnsi="Wingdings" w:hint="default"/>
      </w:rPr>
    </w:lvl>
  </w:abstractNum>
  <w:num w:numId="1" w16cid:durableId="267078620">
    <w:abstractNumId w:val="0"/>
    <w:lvlOverride w:ilvl="0"/>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46376"/>
    <w:rsid w:val="003A389F"/>
    <w:rsid w:val="0059495C"/>
    <w:rsid w:val="00866A95"/>
    <w:rsid w:val="0099034E"/>
    <w:rsid w:val="00A46376"/>
    <w:rsid w:val="00AB1B0C"/>
    <w:rsid w:val="00AF0243"/>
    <w:rsid w:val="00CE154F"/>
    <w:rsid w:val="00DB33A7"/>
    <w:rsid w:val="00E73209"/>
    <w:rsid w:val="00F17CF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061272"/>
  <w15:chartTrackingRefBased/>
  <w15:docId w15:val="{903F0A0B-5000-4C9A-8E2D-B7BAA4B344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46376"/>
    <w:pPr>
      <w:spacing w:after="0" w:line="240" w:lineRule="auto"/>
    </w:pPr>
    <w:rPr>
      <w:rFonts w:ascii="Times New Roman" w:eastAsia="Times New Roman" w:hAnsi="Times New Roman" w:cs="Times New Roman"/>
      <w:sz w:val="20"/>
      <w:szCs w:val="20"/>
      <w:lang w:eastAsia="en-GB"/>
    </w:rPr>
  </w:style>
  <w:style w:type="paragraph" w:styleId="Heading1">
    <w:name w:val="heading 1"/>
    <w:basedOn w:val="Normal"/>
    <w:link w:val="Heading1Char"/>
    <w:uiPriority w:val="9"/>
    <w:qFormat/>
    <w:rsid w:val="00E73209"/>
    <w:pPr>
      <w:spacing w:before="100" w:beforeAutospacing="1" w:after="100" w:afterAutospacing="1"/>
      <w:outlineLvl w:val="0"/>
    </w:pPr>
    <w:rPr>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46376"/>
    <w:pPr>
      <w:ind w:left="720"/>
      <w:contextualSpacing/>
    </w:pPr>
  </w:style>
  <w:style w:type="paragraph" w:customStyle="1" w:styleId="legclearfix">
    <w:name w:val="legclearfix"/>
    <w:basedOn w:val="Normal"/>
    <w:rsid w:val="00A46376"/>
    <w:pPr>
      <w:spacing w:before="100" w:beforeAutospacing="1" w:after="100" w:afterAutospacing="1"/>
    </w:pPr>
    <w:rPr>
      <w:sz w:val="24"/>
      <w:szCs w:val="24"/>
    </w:rPr>
  </w:style>
  <w:style w:type="character" w:customStyle="1" w:styleId="legds">
    <w:name w:val="legds"/>
    <w:basedOn w:val="DefaultParagraphFont"/>
    <w:rsid w:val="00A46376"/>
  </w:style>
  <w:style w:type="character" w:customStyle="1" w:styleId="legsubstitution">
    <w:name w:val="legsubstitution"/>
    <w:basedOn w:val="DefaultParagraphFont"/>
    <w:rsid w:val="00A46376"/>
  </w:style>
  <w:style w:type="character" w:customStyle="1" w:styleId="legchangedelimiter">
    <w:name w:val="legchangedelimiter"/>
    <w:basedOn w:val="DefaultParagraphFont"/>
    <w:rsid w:val="00A46376"/>
  </w:style>
  <w:style w:type="character" w:styleId="Hyperlink">
    <w:name w:val="Hyperlink"/>
    <w:basedOn w:val="DefaultParagraphFont"/>
    <w:uiPriority w:val="99"/>
    <w:semiHidden/>
    <w:unhideWhenUsed/>
    <w:rsid w:val="00DB33A7"/>
    <w:rPr>
      <w:color w:val="0000FF"/>
      <w:u w:val="single"/>
    </w:rPr>
  </w:style>
  <w:style w:type="paragraph" w:styleId="NormalWeb">
    <w:name w:val="Normal (Web)"/>
    <w:basedOn w:val="Normal"/>
    <w:uiPriority w:val="99"/>
    <w:unhideWhenUsed/>
    <w:rsid w:val="00DB33A7"/>
    <w:pPr>
      <w:spacing w:before="100" w:beforeAutospacing="1" w:after="100" w:afterAutospacing="1"/>
    </w:pPr>
    <w:rPr>
      <w:sz w:val="24"/>
      <w:szCs w:val="24"/>
    </w:rPr>
  </w:style>
  <w:style w:type="paragraph" w:customStyle="1" w:styleId="ennumparacontainer">
    <w:name w:val="ennumparacontainer"/>
    <w:basedOn w:val="Normal"/>
    <w:rsid w:val="003A389F"/>
    <w:pPr>
      <w:spacing w:before="100" w:beforeAutospacing="1" w:after="100" w:afterAutospacing="1"/>
    </w:pPr>
    <w:rPr>
      <w:sz w:val="24"/>
      <w:szCs w:val="24"/>
    </w:rPr>
  </w:style>
  <w:style w:type="character" w:customStyle="1" w:styleId="ends">
    <w:name w:val="ends"/>
    <w:basedOn w:val="DefaultParagraphFont"/>
    <w:rsid w:val="003A389F"/>
  </w:style>
  <w:style w:type="character" w:customStyle="1" w:styleId="Heading1Char">
    <w:name w:val="Heading 1 Char"/>
    <w:basedOn w:val="DefaultParagraphFont"/>
    <w:link w:val="Heading1"/>
    <w:uiPriority w:val="9"/>
    <w:rsid w:val="00E73209"/>
    <w:rPr>
      <w:rFonts w:ascii="Times New Roman" w:eastAsia="Times New Roman" w:hAnsi="Times New Roman" w:cs="Times New Roman"/>
      <w:b/>
      <w:bCs/>
      <w:kern w:val="36"/>
      <w:sz w:val="48"/>
      <w:szCs w:val="48"/>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38270275">
      <w:bodyDiv w:val="1"/>
      <w:marLeft w:val="0"/>
      <w:marRight w:val="0"/>
      <w:marTop w:val="0"/>
      <w:marBottom w:val="0"/>
      <w:divBdr>
        <w:top w:val="none" w:sz="0" w:space="0" w:color="auto"/>
        <w:left w:val="none" w:sz="0" w:space="0" w:color="auto"/>
        <w:bottom w:val="none" w:sz="0" w:space="0" w:color="auto"/>
        <w:right w:val="none" w:sz="0" w:space="0" w:color="auto"/>
      </w:divBdr>
    </w:div>
    <w:div w:id="1160274493">
      <w:bodyDiv w:val="1"/>
      <w:marLeft w:val="0"/>
      <w:marRight w:val="0"/>
      <w:marTop w:val="0"/>
      <w:marBottom w:val="0"/>
      <w:divBdr>
        <w:top w:val="none" w:sz="0" w:space="0" w:color="auto"/>
        <w:left w:val="none" w:sz="0" w:space="0" w:color="auto"/>
        <w:bottom w:val="none" w:sz="0" w:space="0" w:color="auto"/>
        <w:right w:val="none" w:sz="0" w:space="0" w:color="auto"/>
      </w:divBdr>
    </w:div>
    <w:div w:id="1686983424">
      <w:bodyDiv w:val="1"/>
      <w:marLeft w:val="0"/>
      <w:marRight w:val="0"/>
      <w:marTop w:val="0"/>
      <w:marBottom w:val="0"/>
      <w:divBdr>
        <w:top w:val="none" w:sz="0" w:space="0" w:color="auto"/>
        <w:left w:val="none" w:sz="0" w:space="0" w:color="auto"/>
        <w:bottom w:val="none" w:sz="0" w:space="0" w:color="auto"/>
        <w:right w:val="none" w:sz="0" w:space="0" w:color="auto"/>
      </w:divBdr>
    </w:div>
    <w:div w:id="1794787813">
      <w:bodyDiv w:val="1"/>
      <w:marLeft w:val="0"/>
      <w:marRight w:val="0"/>
      <w:marTop w:val="0"/>
      <w:marBottom w:val="0"/>
      <w:divBdr>
        <w:top w:val="none" w:sz="0" w:space="0" w:color="auto"/>
        <w:left w:val="none" w:sz="0" w:space="0" w:color="auto"/>
        <w:bottom w:val="none" w:sz="0" w:space="0" w:color="auto"/>
        <w:right w:val="none" w:sz="0" w:space="0" w:color="auto"/>
      </w:divBdr>
    </w:div>
    <w:div w:id="2014991663">
      <w:bodyDiv w:val="1"/>
      <w:marLeft w:val="0"/>
      <w:marRight w:val="0"/>
      <w:marTop w:val="0"/>
      <w:marBottom w:val="0"/>
      <w:divBdr>
        <w:top w:val="none" w:sz="0" w:space="0" w:color="auto"/>
        <w:left w:val="none" w:sz="0" w:space="0" w:color="auto"/>
        <w:bottom w:val="none" w:sz="0" w:space="0" w:color="auto"/>
        <w:right w:val="none" w:sz="0" w:space="0" w:color="auto"/>
      </w:divBdr>
    </w:div>
    <w:div w:id="20405497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hyperlink" Target="https://www.cps.gov.uk/legal-guidance/mental-health-suspects-and-defendants-mental-health-conditions-or-disorders"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www.lawteacher.net/acts/coroners-and-justice-act-2009.php" TargetMode="Externa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6314BF0-79F2-4AF9-A4F1-3BE4FC6D1D5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124</TotalTime>
  <Pages>6</Pages>
  <Words>1125</Words>
  <Characters>6419</Characters>
  <Application>Microsoft Office Word</Application>
  <DocSecurity>0</DocSecurity>
  <Lines>53</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7529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emily-beth oakes</dc:creator>
  <cp:keywords/>
  <dc:description/>
  <cp:lastModifiedBy>emily-beth oakes</cp:lastModifiedBy>
  <cp:revision>2</cp:revision>
  <dcterms:created xsi:type="dcterms:W3CDTF">2023-03-04T18:01:00Z</dcterms:created>
  <dcterms:modified xsi:type="dcterms:W3CDTF">2023-03-04T20:05:00Z</dcterms:modified>
</cp:coreProperties>
</file>