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AFA95" w14:textId="77777777" w:rsidR="00333381" w:rsidRPr="00B95B8E" w:rsidRDefault="00333381" w:rsidP="00B95B8E">
      <w:pPr>
        <w:pStyle w:val="font-claude-response-body"/>
        <w:spacing w:line="360" w:lineRule="auto"/>
        <w:jc w:val="center"/>
        <w:rPr>
          <w:rFonts w:ascii="Arial" w:hAnsi="Arial" w:cs="Arial"/>
          <w:sz w:val="32"/>
          <w:szCs w:val="32"/>
          <w:u w:val="single"/>
        </w:rPr>
      </w:pPr>
      <w:r w:rsidRPr="00B95B8E">
        <w:rPr>
          <w:rStyle w:val="Strong"/>
          <w:rFonts w:ascii="Arial" w:eastAsiaTheme="majorEastAsia" w:hAnsi="Arial" w:cs="Arial"/>
          <w:sz w:val="32"/>
          <w:szCs w:val="32"/>
          <w:u w:val="single"/>
        </w:rPr>
        <w:t>Attention Deficit Hyperactivity Disorder: A Critical Examination of Classification, Diagnosis, Treatment and Contemporary Debate</w:t>
      </w:r>
    </w:p>
    <w:p w14:paraId="06A52D71" w14:textId="77777777" w:rsidR="00B95B8E" w:rsidRDefault="00B95B8E" w:rsidP="00B95B8E">
      <w:pPr>
        <w:pStyle w:val="font-claude-response-body"/>
        <w:spacing w:line="360" w:lineRule="auto"/>
        <w:jc w:val="center"/>
        <w:rPr>
          <w:rFonts w:ascii="Arial" w:hAnsi="Arial" w:cs="Arial"/>
          <w:sz w:val="28"/>
          <w:szCs w:val="28"/>
        </w:rPr>
      </w:pPr>
    </w:p>
    <w:p w14:paraId="702BE4B1" w14:textId="1E6AEA24" w:rsidR="00333381" w:rsidRPr="00B95B8E" w:rsidRDefault="00333381" w:rsidP="00B95B8E">
      <w:pPr>
        <w:pStyle w:val="font-claude-response-body"/>
        <w:spacing w:line="360" w:lineRule="auto"/>
        <w:jc w:val="center"/>
        <w:rPr>
          <w:rFonts w:ascii="Arial" w:hAnsi="Arial" w:cs="Arial"/>
          <w:sz w:val="28"/>
          <w:szCs w:val="28"/>
        </w:rPr>
      </w:pPr>
      <w:proofErr w:type="spellStart"/>
      <w:r w:rsidRPr="00B95B8E">
        <w:rPr>
          <w:rFonts w:ascii="Arial" w:hAnsi="Arial" w:cs="Arial"/>
          <w:sz w:val="28"/>
          <w:szCs w:val="28"/>
        </w:rPr>
        <w:t>Kizzie</w:t>
      </w:r>
      <w:proofErr w:type="spellEnd"/>
      <w:r w:rsidRPr="00B95B8E">
        <w:rPr>
          <w:rFonts w:ascii="Arial" w:hAnsi="Arial" w:cs="Arial"/>
          <w:sz w:val="28"/>
          <w:szCs w:val="28"/>
        </w:rPr>
        <w:t xml:space="preserve"> Joseph</w:t>
      </w:r>
      <w:r w:rsidRPr="00B95B8E">
        <w:rPr>
          <w:rFonts w:ascii="Arial" w:hAnsi="Arial" w:cs="Arial"/>
          <w:sz w:val="28"/>
          <w:szCs w:val="28"/>
        </w:rPr>
        <w:br/>
        <w:t>Student number: 2328389</w:t>
      </w:r>
    </w:p>
    <w:p w14:paraId="155378D1" w14:textId="77777777" w:rsidR="00B95B8E" w:rsidRDefault="00B95B8E" w:rsidP="00B95B8E">
      <w:pPr>
        <w:pStyle w:val="font-claude-response-body"/>
        <w:spacing w:line="360" w:lineRule="auto"/>
        <w:jc w:val="center"/>
        <w:rPr>
          <w:rFonts w:ascii="Arial" w:hAnsi="Arial" w:cs="Arial"/>
          <w:sz w:val="28"/>
          <w:szCs w:val="28"/>
        </w:rPr>
      </w:pPr>
    </w:p>
    <w:p w14:paraId="5EF14DD7" w14:textId="09CCEAAC" w:rsidR="00333381" w:rsidRPr="00B95B8E" w:rsidRDefault="00333381" w:rsidP="00B95B8E">
      <w:pPr>
        <w:pStyle w:val="font-claude-response-body"/>
        <w:spacing w:line="360" w:lineRule="auto"/>
        <w:jc w:val="center"/>
        <w:rPr>
          <w:rFonts w:ascii="Arial" w:hAnsi="Arial" w:cs="Arial"/>
          <w:sz w:val="28"/>
          <w:szCs w:val="28"/>
        </w:rPr>
      </w:pPr>
      <w:r w:rsidRPr="00B95B8E">
        <w:rPr>
          <w:rFonts w:ascii="Arial" w:hAnsi="Arial" w:cs="Arial"/>
          <w:sz w:val="28"/>
          <w:szCs w:val="28"/>
        </w:rPr>
        <w:t>BMHP6029 - Psychological Classifications and Provisions</w:t>
      </w:r>
      <w:r w:rsidRPr="00B95B8E">
        <w:rPr>
          <w:rFonts w:ascii="Arial" w:hAnsi="Arial" w:cs="Arial"/>
          <w:sz w:val="28"/>
          <w:szCs w:val="28"/>
        </w:rPr>
        <w:br/>
        <w:t>BSc (Hons) Health and Social Care</w:t>
      </w:r>
      <w:r w:rsidRPr="00B95B8E">
        <w:rPr>
          <w:rFonts w:ascii="Arial" w:hAnsi="Arial" w:cs="Arial"/>
          <w:sz w:val="28"/>
          <w:szCs w:val="28"/>
        </w:rPr>
        <w:br/>
        <w:t xml:space="preserve">Lecturer: </w:t>
      </w:r>
      <w:proofErr w:type="spellStart"/>
      <w:r w:rsidRPr="00B95B8E">
        <w:rPr>
          <w:rFonts w:ascii="Arial" w:hAnsi="Arial" w:cs="Arial"/>
          <w:sz w:val="28"/>
          <w:szCs w:val="28"/>
        </w:rPr>
        <w:t>Oluwadamilola</w:t>
      </w:r>
      <w:proofErr w:type="spellEnd"/>
      <w:r w:rsidRPr="00B95B8E">
        <w:rPr>
          <w:rFonts w:ascii="Arial" w:hAnsi="Arial" w:cs="Arial"/>
          <w:sz w:val="28"/>
          <w:szCs w:val="28"/>
        </w:rPr>
        <w:t xml:space="preserve"> Tayo</w:t>
      </w:r>
    </w:p>
    <w:p w14:paraId="69E21F9D" w14:textId="77777777" w:rsidR="00B95B8E" w:rsidRDefault="00B95B8E" w:rsidP="00B95B8E">
      <w:pPr>
        <w:pStyle w:val="font-claude-response-body"/>
        <w:spacing w:line="360" w:lineRule="auto"/>
        <w:jc w:val="center"/>
        <w:rPr>
          <w:rFonts w:ascii="Arial" w:hAnsi="Arial" w:cs="Arial"/>
          <w:sz w:val="28"/>
          <w:szCs w:val="28"/>
        </w:rPr>
      </w:pPr>
    </w:p>
    <w:p w14:paraId="6A440E8A" w14:textId="201E6FD5" w:rsidR="00846FAB" w:rsidRPr="00B95B8E" w:rsidRDefault="00333381" w:rsidP="00B95B8E">
      <w:pPr>
        <w:pStyle w:val="font-claude-response-body"/>
        <w:spacing w:line="360" w:lineRule="auto"/>
        <w:jc w:val="center"/>
        <w:rPr>
          <w:rFonts w:ascii="Arial" w:hAnsi="Arial" w:cs="Arial"/>
          <w:sz w:val="28"/>
          <w:szCs w:val="28"/>
        </w:rPr>
      </w:pPr>
      <w:r w:rsidRPr="00B95B8E">
        <w:rPr>
          <w:rFonts w:ascii="Arial" w:hAnsi="Arial" w:cs="Arial"/>
          <w:sz w:val="28"/>
          <w:szCs w:val="28"/>
        </w:rPr>
        <w:t xml:space="preserve">Word count: </w:t>
      </w:r>
      <w:r w:rsidR="00846FAB" w:rsidRPr="00B95B8E">
        <w:rPr>
          <w:rFonts w:ascii="Arial" w:hAnsi="Arial" w:cs="Arial"/>
          <w:sz w:val="28"/>
          <w:szCs w:val="28"/>
        </w:rPr>
        <w:t>18</w:t>
      </w:r>
      <w:r w:rsidR="00DF4B19">
        <w:rPr>
          <w:rFonts w:ascii="Arial" w:hAnsi="Arial" w:cs="Arial"/>
          <w:sz w:val="28"/>
          <w:szCs w:val="28"/>
        </w:rPr>
        <w:t>40</w:t>
      </w:r>
      <w:r w:rsidRPr="00B95B8E">
        <w:rPr>
          <w:rFonts w:ascii="Arial" w:hAnsi="Arial" w:cs="Arial"/>
          <w:sz w:val="28"/>
          <w:szCs w:val="28"/>
        </w:rPr>
        <w:br/>
        <w:t xml:space="preserve">Submission date: </w:t>
      </w:r>
      <w:r w:rsidR="00846FAB" w:rsidRPr="00B95B8E">
        <w:rPr>
          <w:rFonts w:ascii="Arial" w:hAnsi="Arial" w:cs="Arial"/>
          <w:sz w:val="28"/>
          <w:szCs w:val="28"/>
        </w:rPr>
        <w:t>14 August 2026</w:t>
      </w:r>
    </w:p>
    <w:p w14:paraId="619D5A6A" w14:textId="77777777" w:rsidR="00846FAB" w:rsidRDefault="00846FAB">
      <w:pPr>
        <w:rPr>
          <w:rFonts w:ascii="Arial" w:eastAsia="Times New Roman" w:hAnsi="Arial" w:cs="Arial"/>
          <w:b w:val="0"/>
          <w:kern w:val="0"/>
          <w:sz w:val="22"/>
          <w:szCs w:val="22"/>
          <w:lang w:eastAsia="en-GB"/>
          <w14:ligatures w14:val="none"/>
        </w:rPr>
      </w:pPr>
      <w:r>
        <w:rPr>
          <w:rFonts w:ascii="Arial" w:hAnsi="Arial" w:cs="Arial"/>
          <w:sz w:val="22"/>
          <w:szCs w:val="22"/>
        </w:rPr>
        <w:br w:type="page"/>
      </w:r>
    </w:p>
    <w:sdt>
      <w:sdtPr>
        <w:rPr>
          <w:rFonts w:ascii="Arial" w:eastAsiaTheme="minorHAnsi" w:hAnsi="Arial" w:cs="Arial"/>
          <w:bCs w:val="0"/>
          <w:color w:val="auto"/>
          <w:kern w:val="2"/>
          <w:sz w:val="22"/>
          <w:szCs w:val="22"/>
          <w:lang w:val="en-GB"/>
          <w14:ligatures w14:val="standardContextual"/>
        </w:rPr>
        <w:id w:val="-643202358"/>
        <w:docPartObj>
          <w:docPartGallery w:val="Table of Contents"/>
          <w:docPartUnique/>
        </w:docPartObj>
      </w:sdtPr>
      <w:sdtEndPr>
        <w:rPr>
          <w:b w:val="0"/>
          <w:noProof/>
        </w:rPr>
      </w:sdtEndPr>
      <w:sdtContent>
        <w:p w14:paraId="1993305D" w14:textId="44B19CB1" w:rsidR="001143DF" w:rsidRPr="00E16949" w:rsidRDefault="001143DF" w:rsidP="00E16949">
          <w:pPr>
            <w:pStyle w:val="TOCHeading"/>
            <w:spacing w:line="360" w:lineRule="auto"/>
            <w:jc w:val="center"/>
            <w:rPr>
              <w:rFonts w:ascii="Arial" w:hAnsi="Arial" w:cs="Arial"/>
              <w:sz w:val="22"/>
              <w:szCs w:val="22"/>
            </w:rPr>
          </w:pPr>
          <w:r w:rsidRPr="00E16949">
            <w:rPr>
              <w:rFonts w:ascii="Arial" w:hAnsi="Arial" w:cs="Arial"/>
              <w:sz w:val="22"/>
              <w:szCs w:val="22"/>
            </w:rPr>
            <w:t>Table of Contents</w:t>
          </w:r>
        </w:p>
        <w:p w14:paraId="1E8D8F57" w14:textId="4AA3BF86" w:rsidR="00E16949" w:rsidRPr="00E16949" w:rsidRDefault="001143DF" w:rsidP="00E16949">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r w:rsidRPr="00E16949">
            <w:rPr>
              <w:rFonts w:ascii="Arial" w:hAnsi="Arial" w:cs="Arial"/>
              <w:b w:val="0"/>
              <w:bCs w:val="0"/>
              <w:sz w:val="22"/>
              <w:szCs w:val="22"/>
            </w:rPr>
            <w:fldChar w:fldCharType="begin"/>
          </w:r>
          <w:r w:rsidRPr="00E16949">
            <w:rPr>
              <w:rFonts w:ascii="Arial" w:hAnsi="Arial" w:cs="Arial"/>
              <w:sz w:val="22"/>
              <w:szCs w:val="22"/>
            </w:rPr>
            <w:instrText xml:space="preserve"> TOC \o "1-3" \h \z \u </w:instrText>
          </w:r>
          <w:r w:rsidRPr="00E16949">
            <w:rPr>
              <w:rFonts w:ascii="Arial" w:hAnsi="Arial" w:cs="Arial"/>
              <w:b w:val="0"/>
              <w:bCs w:val="0"/>
              <w:sz w:val="22"/>
              <w:szCs w:val="22"/>
            </w:rPr>
            <w:fldChar w:fldCharType="separate"/>
          </w:r>
          <w:hyperlink w:anchor="_Toc237602958" w:history="1">
            <w:r w:rsidR="00E16949" w:rsidRPr="00E16949">
              <w:rPr>
                <w:rStyle w:val="Hyperlink"/>
                <w:rFonts w:ascii="Arial" w:hAnsi="Arial" w:cs="Arial"/>
                <w:noProof/>
                <w:sz w:val="22"/>
                <w:szCs w:val="22"/>
              </w:rPr>
              <w:t>Introduction</w:t>
            </w:r>
            <w:r w:rsidR="00E16949" w:rsidRPr="00E16949">
              <w:rPr>
                <w:rFonts w:ascii="Arial" w:hAnsi="Arial" w:cs="Arial"/>
                <w:noProof/>
                <w:webHidden/>
                <w:sz w:val="22"/>
                <w:szCs w:val="22"/>
              </w:rPr>
              <w:tab/>
            </w:r>
            <w:r w:rsidR="00E16949" w:rsidRPr="00E16949">
              <w:rPr>
                <w:rFonts w:ascii="Arial" w:hAnsi="Arial" w:cs="Arial"/>
                <w:noProof/>
                <w:webHidden/>
                <w:sz w:val="22"/>
                <w:szCs w:val="22"/>
              </w:rPr>
              <w:fldChar w:fldCharType="begin"/>
            </w:r>
            <w:r w:rsidR="00E16949" w:rsidRPr="00E16949">
              <w:rPr>
                <w:rFonts w:ascii="Arial" w:hAnsi="Arial" w:cs="Arial"/>
                <w:noProof/>
                <w:webHidden/>
                <w:sz w:val="22"/>
                <w:szCs w:val="22"/>
              </w:rPr>
              <w:instrText xml:space="preserve"> PAGEREF _Toc237602958 \h </w:instrText>
            </w:r>
            <w:r w:rsidR="00E16949" w:rsidRPr="00E16949">
              <w:rPr>
                <w:rFonts w:ascii="Arial" w:hAnsi="Arial" w:cs="Arial"/>
                <w:noProof/>
                <w:webHidden/>
                <w:sz w:val="22"/>
                <w:szCs w:val="22"/>
              </w:rPr>
            </w:r>
            <w:r w:rsidR="00E16949" w:rsidRPr="00E16949">
              <w:rPr>
                <w:rFonts w:ascii="Arial" w:hAnsi="Arial" w:cs="Arial"/>
                <w:noProof/>
                <w:webHidden/>
                <w:sz w:val="22"/>
                <w:szCs w:val="22"/>
              </w:rPr>
              <w:fldChar w:fldCharType="separate"/>
            </w:r>
            <w:r w:rsidR="00E16949" w:rsidRPr="00E16949">
              <w:rPr>
                <w:rFonts w:ascii="Arial" w:hAnsi="Arial" w:cs="Arial"/>
                <w:noProof/>
                <w:webHidden/>
                <w:sz w:val="22"/>
                <w:szCs w:val="22"/>
              </w:rPr>
              <w:t>3</w:t>
            </w:r>
            <w:r w:rsidR="00E16949" w:rsidRPr="00E16949">
              <w:rPr>
                <w:rFonts w:ascii="Arial" w:hAnsi="Arial" w:cs="Arial"/>
                <w:noProof/>
                <w:webHidden/>
                <w:sz w:val="22"/>
                <w:szCs w:val="22"/>
              </w:rPr>
              <w:fldChar w:fldCharType="end"/>
            </w:r>
          </w:hyperlink>
        </w:p>
        <w:p w14:paraId="37C0BB19" w14:textId="055C476B" w:rsidR="00E16949" w:rsidRPr="00E16949" w:rsidRDefault="00000000" w:rsidP="00E16949">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237602959" w:history="1">
            <w:r w:rsidR="00E16949" w:rsidRPr="00E16949">
              <w:rPr>
                <w:rStyle w:val="Hyperlink"/>
                <w:rFonts w:ascii="Arial" w:hAnsi="Arial" w:cs="Arial"/>
                <w:noProof/>
                <w:sz w:val="22"/>
                <w:szCs w:val="22"/>
              </w:rPr>
              <w:t>Classification and Diagnosis</w:t>
            </w:r>
            <w:r w:rsidR="00E16949" w:rsidRPr="00E16949">
              <w:rPr>
                <w:rFonts w:ascii="Arial" w:hAnsi="Arial" w:cs="Arial"/>
                <w:noProof/>
                <w:webHidden/>
                <w:sz w:val="22"/>
                <w:szCs w:val="22"/>
              </w:rPr>
              <w:tab/>
            </w:r>
            <w:r w:rsidR="00E16949" w:rsidRPr="00E16949">
              <w:rPr>
                <w:rFonts w:ascii="Arial" w:hAnsi="Arial" w:cs="Arial"/>
                <w:noProof/>
                <w:webHidden/>
                <w:sz w:val="22"/>
                <w:szCs w:val="22"/>
              </w:rPr>
              <w:fldChar w:fldCharType="begin"/>
            </w:r>
            <w:r w:rsidR="00E16949" w:rsidRPr="00E16949">
              <w:rPr>
                <w:rFonts w:ascii="Arial" w:hAnsi="Arial" w:cs="Arial"/>
                <w:noProof/>
                <w:webHidden/>
                <w:sz w:val="22"/>
                <w:szCs w:val="22"/>
              </w:rPr>
              <w:instrText xml:space="preserve"> PAGEREF _Toc237602959 \h </w:instrText>
            </w:r>
            <w:r w:rsidR="00E16949" w:rsidRPr="00E16949">
              <w:rPr>
                <w:rFonts w:ascii="Arial" w:hAnsi="Arial" w:cs="Arial"/>
                <w:noProof/>
                <w:webHidden/>
                <w:sz w:val="22"/>
                <w:szCs w:val="22"/>
              </w:rPr>
            </w:r>
            <w:r w:rsidR="00E16949" w:rsidRPr="00E16949">
              <w:rPr>
                <w:rFonts w:ascii="Arial" w:hAnsi="Arial" w:cs="Arial"/>
                <w:noProof/>
                <w:webHidden/>
                <w:sz w:val="22"/>
                <w:szCs w:val="22"/>
              </w:rPr>
              <w:fldChar w:fldCharType="separate"/>
            </w:r>
            <w:r w:rsidR="00E16949" w:rsidRPr="00E16949">
              <w:rPr>
                <w:rFonts w:ascii="Arial" w:hAnsi="Arial" w:cs="Arial"/>
                <w:noProof/>
                <w:webHidden/>
                <w:sz w:val="22"/>
                <w:szCs w:val="22"/>
              </w:rPr>
              <w:t>3</w:t>
            </w:r>
            <w:r w:rsidR="00E16949" w:rsidRPr="00E16949">
              <w:rPr>
                <w:rFonts w:ascii="Arial" w:hAnsi="Arial" w:cs="Arial"/>
                <w:noProof/>
                <w:webHidden/>
                <w:sz w:val="22"/>
                <w:szCs w:val="22"/>
              </w:rPr>
              <w:fldChar w:fldCharType="end"/>
            </w:r>
          </w:hyperlink>
        </w:p>
        <w:p w14:paraId="77D67449" w14:textId="08514A41" w:rsidR="00E16949" w:rsidRPr="00E16949" w:rsidRDefault="00000000" w:rsidP="00E16949">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237602960" w:history="1">
            <w:r w:rsidR="00E16949" w:rsidRPr="00E16949">
              <w:rPr>
                <w:rStyle w:val="Hyperlink"/>
                <w:rFonts w:ascii="Arial" w:hAnsi="Arial" w:cs="Arial"/>
                <w:noProof/>
                <w:sz w:val="22"/>
                <w:szCs w:val="22"/>
              </w:rPr>
              <w:t>Treatment and Rehabilitation</w:t>
            </w:r>
            <w:r w:rsidR="00E16949" w:rsidRPr="00E16949">
              <w:rPr>
                <w:rFonts w:ascii="Arial" w:hAnsi="Arial" w:cs="Arial"/>
                <w:noProof/>
                <w:webHidden/>
                <w:sz w:val="22"/>
                <w:szCs w:val="22"/>
              </w:rPr>
              <w:tab/>
            </w:r>
            <w:r w:rsidR="00E16949" w:rsidRPr="00E16949">
              <w:rPr>
                <w:rFonts w:ascii="Arial" w:hAnsi="Arial" w:cs="Arial"/>
                <w:noProof/>
                <w:webHidden/>
                <w:sz w:val="22"/>
                <w:szCs w:val="22"/>
              </w:rPr>
              <w:fldChar w:fldCharType="begin"/>
            </w:r>
            <w:r w:rsidR="00E16949" w:rsidRPr="00E16949">
              <w:rPr>
                <w:rFonts w:ascii="Arial" w:hAnsi="Arial" w:cs="Arial"/>
                <w:noProof/>
                <w:webHidden/>
                <w:sz w:val="22"/>
                <w:szCs w:val="22"/>
              </w:rPr>
              <w:instrText xml:space="preserve"> PAGEREF _Toc237602960 \h </w:instrText>
            </w:r>
            <w:r w:rsidR="00E16949" w:rsidRPr="00E16949">
              <w:rPr>
                <w:rFonts w:ascii="Arial" w:hAnsi="Arial" w:cs="Arial"/>
                <w:noProof/>
                <w:webHidden/>
                <w:sz w:val="22"/>
                <w:szCs w:val="22"/>
              </w:rPr>
            </w:r>
            <w:r w:rsidR="00E16949" w:rsidRPr="00E16949">
              <w:rPr>
                <w:rFonts w:ascii="Arial" w:hAnsi="Arial" w:cs="Arial"/>
                <w:noProof/>
                <w:webHidden/>
                <w:sz w:val="22"/>
                <w:szCs w:val="22"/>
              </w:rPr>
              <w:fldChar w:fldCharType="separate"/>
            </w:r>
            <w:r w:rsidR="00E16949" w:rsidRPr="00E16949">
              <w:rPr>
                <w:rFonts w:ascii="Arial" w:hAnsi="Arial" w:cs="Arial"/>
                <w:noProof/>
                <w:webHidden/>
                <w:sz w:val="22"/>
                <w:szCs w:val="22"/>
              </w:rPr>
              <w:t>4</w:t>
            </w:r>
            <w:r w:rsidR="00E16949" w:rsidRPr="00E16949">
              <w:rPr>
                <w:rFonts w:ascii="Arial" w:hAnsi="Arial" w:cs="Arial"/>
                <w:noProof/>
                <w:webHidden/>
                <w:sz w:val="22"/>
                <w:szCs w:val="22"/>
              </w:rPr>
              <w:fldChar w:fldCharType="end"/>
            </w:r>
          </w:hyperlink>
        </w:p>
        <w:p w14:paraId="79381C49" w14:textId="04B04166" w:rsidR="00E16949" w:rsidRPr="00E16949" w:rsidRDefault="00000000" w:rsidP="00E16949">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237602961" w:history="1">
            <w:r w:rsidR="00E16949" w:rsidRPr="00E16949">
              <w:rPr>
                <w:rStyle w:val="Hyperlink"/>
                <w:rFonts w:ascii="Arial" w:hAnsi="Arial" w:cs="Arial"/>
                <w:noProof/>
                <w:sz w:val="22"/>
                <w:szCs w:val="22"/>
              </w:rPr>
              <w:t>Current Debates and Emerging Issues</w:t>
            </w:r>
            <w:r w:rsidR="00E16949" w:rsidRPr="00E16949">
              <w:rPr>
                <w:rFonts w:ascii="Arial" w:hAnsi="Arial" w:cs="Arial"/>
                <w:noProof/>
                <w:webHidden/>
                <w:sz w:val="22"/>
                <w:szCs w:val="22"/>
              </w:rPr>
              <w:tab/>
            </w:r>
            <w:r w:rsidR="00E16949" w:rsidRPr="00E16949">
              <w:rPr>
                <w:rFonts w:ascii="Arial" w:hAnsi="Arial" w:cs="Arial"/>
                <w:noProof/>
                <w:webHidden/>
                <w:sz w:val="22"/>
                <w:szCs w:val="22"/>
              </w:rPr>
              <w:fldChar w:fldCharType="begin"/>
            </w:r>
            <w:r w:rsidR="00E16949" w:rsidRPr="00E16949">
              <w:rPr>
                <w:rFonts w:ascii="Arial" w:hAnsi="Arial" w:cs="Arial"/>
                <w:noProof/>
                <w:webHidden/>
                <w:sz w:val="22"/>
                <w:szCs w:val="22"/>
              </w:rPr>
              <w:instrText xml:space="preserve"> PAGEREF _Toc237602961 \h </w:instrText>
            </w:r>
            <w:r w:rsidR="00E16949" w:rsidRPr="00E16949">
              <w:rPr>
                <w:rFonts w:ascii="Arial" w:hAnsi="Arial" w:cs="Arial"/>
                <w:noProof/>
                <w:webHidden/>
                <w:sz w:val="22"/>
                <w:szCs w:val="22"/>
              </w:rPr>
            </w:r>
            <w:r w:rsidR="00E16949" w:rsidRPr="00E16949">
              <w:rPr>
                <w:rFonts w:ascii="Arial" w:hAnsi="Arial" w:cs="Arial"/>
                <w:noProof/>
                <w:webHidden/>
                <w:sz w:val="22"/>
                <w:szCs w:val="22"/>
              </w:rPr>
              <w:fldChar w:fldCharType="separate"/>
            </w:r>
            <w:r w:rsidR="00E16949" w:rsidRPr="00E16949">
              <w:rPr>
                <w:rFonts w:ascii="Arial" w:hAnsi="Arial" w:cs="Arial"/>
                <w:noProof/>
                <w:webHidden/>
                <w:sz w:val="22"/>
                <w:szCs w:val="22"/>
              </w:rPr>
              <w:t>6</w:t>
            </w:r>
            <w:r w:rsidR="00E16949" w:rsidRPr="00E16949">
              <w:rPr>
                <w:rFonts w:ascii="Arial" w:hAnsi="Arial" w:cs="Arial"/>
                <w:noProof/>
                <w:webHidden/>
                <w:sz w:val="22"/>
                <w:szCs w:val="22"/>
              </w:rPr>
              <w:fldChar w:fldCharType="end"/>
            </w:r>
          </w:hyperlink>
        </w:p>
        <w:p w14:paraId="78A221D0" w14:textId="259341DE" w:rsidR="00E16949" w:rsidRPr="00E16949" w:rsidRDefault="00000000" w:rsidP="00E16949">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237602962" w:history="1">
            <w:r w:rsidR="00E16949" w:rsidRPr="00E16949">
              <w:rPr>
                <w:rStyle w:val="Hyperlink"/>
                <w:rFonts w:ascii="Arial" w:hAnsi="Arial" w:cs="Arial"/>
                <w:noProof/>
                <w:sz w:val="22"/>
                <w:szCs w:val="22"/>
              </w:rPr>
              <w:t>Recommendations</w:t>
            </w:r>
            <w:r w:rsidR="00E16949" w:rsidRPr="00E16949">
              <w:rPr>
                <w:rFonts w:ascii="Arial" w:hAnsi="Arial" w:cs="Arial"/>
                <w:noProof/>
                <w:webHidden/>
                <w:sz w:val="22"/>
                <w:szCs w:val="22"/>
              </w:rPr>
              <w:tab/>
            </w:r>
            <w:r w:rsidR="00E16949" w:rsidRPr="00E16949">
              <w:rPr>
                <w:rFonts w:ascii="Arial" w:hAnsi="Arial" w:cs="Arial"/>
                <w:noProof/>
                <w:webHidden/>
                <w:sz w:val="22"/>
                <w:szCs w:val="22"/>
              </w:rPr>
              <w:fldChar w:fldCharType="begin"/>
            </w:r>
            <w:r w:rsidR="00E16949" w:rsidRPr="00E16949">
              <w:rPr>
                <w:rFonts w:ascii="Arial" w:hAnsi="Arial" w:cs="Arial"/>
                <w:noProof/>
                <w:webHidden/>
                <w:sz w:val="22"/>
                <w:szCs w:val="22"/>
              </w:rPr>
              <w:instrText xml:space="preserve"> PAGEREF _Toc237602962 \h </w:instrText>
            </w:r>
            <w:r w:rsidR="00E16949" w:rsidRPr="00E16949">
              <w:rPr>
                <w:rFonts w:ascii="Arial" w:hAnsi="Arial" w:cs="Arial"/>
                <w:noProof/>
                <w:webHidden/>
                <w:sz w:val="22"/>
                <w:szCs w:val="22"/>
              </w:rPr>
            </w:r>
            <w:r w:rsidR="00E16949" w:rsidRPr="00E16949">
              <w:rPr>
                <w:rFonts w:ascii="Arial" w:hAnsi="Arial" w:cs="Arial"/>
                <w:noProof/>
                <w:webHidden/>
                <w:sz w:val="22"/>
                <w:szCs w:val="22"/>
              </w:rPr>
              <w:fldChar w:fldCharType="separate"/>
            </w:r>
            <w:r w:rsidR="00E16949" w:rsidRPr="00E16949">
              <w:rPr>
                <w:rFonts w:ascii="Arial" w:hAnsi="Arial" w:cs="Arial"/>
                <w:noProof/>
                <w:webHidden/>
                <w:sz w:val="22"/>
                <w:szCs w:val="22"/>
              </w:rPr>
              <w:t>7</w:t>
            </w:r>
            <w:r w:rsidR="00E16949" w:rsidRPr="00E16949">
              <w:rPr>
                <w:rFonts w:ascii="Arial" w:hAnsi="Arial" w:cs="Arial"/>
                <w:noProof/>
                <w:webHidden/>
                <w:sz w:val="22"/>
                <w:szCs w:val="22"/>
              </w:rPr>
              <w:fldChar w:fldCharType="end"/>
            </w:r>
          </w:hyperlink>
        </w:p>
        <w:p w14:paraId="7EF82E28" w14:textId="41B04410" w:rsidR="00E16949" w:rsidRPr="00E16949" w:rsidRDefault="00000000" w:rsidP="00E16949">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237602963" w:history="1">
            <w:r w:rsidR="00E16949" w:rsidRPr="00E16949">
              <w:rPr>
                <w:rStyle w:val="Hyperlink"/>
                <w:rFonts w:ascii="Arial" w:hAnsi="Arial" w:cs="Arial"/>
                <w:noProof/>
                <w:sz w:val="22"/>
                <w:szCs w:val="22"/>
              </w:rPr>
              <w:t>Conclusion</w:t>
            </w:r>
            <w:r w:rsidR="00E16949" w:rsidRPr="00E16949">
              <w:rPr>
                <w:rFonts w:ascii="Arial" w:hAnsi="Arial" w:cs="Arial"/>
                <w:noProof/>
                <w:webHidden/>
                <w:sz w:val="22"/>
                <w:szCs w:val="22"/>
              </w:rPr>
              <w:tab/>
            </w:r>
            <w:r w:rsidR="00E16949" w:rsidRPr="00E16949">
              <w:rPr>
                <w:rFonts w:ascii="Arial" w:hAnsi="Arial" w:cs="Arial"/>
                <w:noProof/>
                <w:webHidden/>
                <w:sz w:val="22"/>
                <w:szCs w:val="22"/>
              </w:rPr>
              <w:fldChar w:fldCharType="begin"/>
            </w:r>
            <w:r w:rsidR="00E16949" w:rsidRPr="00E16949">
              <w:rPr>
                <w:rFonts w:ascii="Arial" w:hAnsi="Arial" w:cs="Arial"/>
                <w:noProof/>
                <w:webHidden/>
                <w:sz w:val="22"/>
                <w:szCs w:val="22"/>
              </w:rPr>
              <w:instrText xml:space="preserve"> PAGEREF _Toc237602963 \h </w:instrText>
            </w:r>
            <w:r w:rsidR="00E16949" w:rsidRPr="00E16949">
              <w:rPr>
                <w:rFonts w:ascii="Arial" w:hAnsi="Arial" w:cs="Arial"/>
                <w:noProof/>
                <w:webHidden/>
                <w:sz w:val="22"/>
                <w:szCs w:val="22"/>
              </w:rPr>
            </w:r>
            <w:r w:rsidR="00E16949" w:rsidRPr="00E16949">
              <w:rPr>
                <w:rFonts w:ascii="Arial" w:hAnsi="Arial" w:cs="Arial"/>
                <w:noProof/>
                <w:webHidden/>
                <w:sz w:val="22"/>
                <w:szCs w:val="22"/>
              </w:rPr>
              <w:fldChar w:fldCharType="separate"/>
            </w:r>
            <w:r w:rsidR="00E16949" w:rsidRPr="00E16949">
              <w:rPr>
                <w:rFonts w:ascii="Arial" w:hAnsi="Arial" w:cs="Arial"/>
                <w:noProof/>
                <w:webHidden/>
                <w:sz w:val="22"/>
                <w:szCs w:val="22"/>
              </w:rPr>
              <w:t>8</w:t>
            </w:r>
            <w:r w:rsidR="00E16949" w:rsidRPr="00E16949">
              <w:rPr>
                <w:rFonts w:ascii="Arial" w:hAnsi="Arial" w:cs="Arial"/>
                <w:noProof/>
                <w:webHidden/>
                <w:sz w:val="22"/>
                <w:szCs w:val="22"/>
              </w:rPr>
              <w:fldChar w:fldCharType="end"/>
            </w:r>
          </w:hyperlink>
        </w:p>
        <w:p w14:paraId="3EB31309" w14:textId="120FAFA4" w:rsidR="001143DF" w:rsidRPr="001143DF" w:rsidRDefault="001143DF" w:rsidP="00E16949">
          <w:pPr>
            <w:spacing w:line="360" w:lineRule="auto"/>
            <w:rPr>
              <w:rFonts w:ascii="Arial" w:hAnsi="Arial" w:cs="Arial"/>
              <w:sz w:val="22"/>
              <w:szCs w:val="22"/>
            </w:rPr>
          </w:pPr>
          <w:r w:rsidRPr="00E16949">
            <w:rPr>
              <w:rFonts w:ascii="Arial" w:hAnsi="Arial" w:cs="Arial"/>
              <w:b w:val="0"/>
              <w:bCs/>
              <w:noProof/>
              <w:sz w:val="22"/>
              <w:szCs w:val="22"/>
            </w:rPr>
            <w:fldChar w:fldCharType="end"/>
          </w:r>
        </w:p>
      </w:sdtContent>
    </w:sdt>
    <w:p w14:paraId="04F4C2BC" w14:textId="77777777" w:rsidR="00333381" w:rsidRPr="00441E08" w:rsidRDefault="00333381" w:rsidP="00441E08">
      <w:pPr>
        <w:pStyle w:val="font-claude-response-body"/>
        <w:spacing w:line="360" w:lineRule="auto"/>
        <w:rPr>
          <w:rFonts w:ascii="Arial" w:hAnsi="Arial" w:cs="Arial"/>
          <w:sz w:val="22"/>
          <w:szCs w:val="22"/>
        </w:rPr>
      </w:pPr>
    </w:p>
    <w:p w14:paraId="10E249F4" w14:textId="2C0C5A8E" w:rsidR="00333381" w:rsidRPr="00441E08" w:rsidRDefault="00333381" w:rsidP="00441E08">
      <w:pPr>
        <w:spacing w:line="360" w:lineRule="auto"/>
        <w:rPr>
          <w:rFonts w:ascii="Arial" w:hAnsi="Arial" w:cs="Arial"/>
          <w:b w:val="0"/>
          <w:bCs/>
          <w:sz w:val="22"/>
          <w:szCs w:val="22"/>
        </w:rPr>
      </w:pPr>
      <w:r w:rsidRPr="00441E08">
        <w:rPr>
          <w:rFonts w:ascii="Arial" w:hAnsi="Arial" w:cs="Arial"/>
          <w:b w:val="0"/>
          <w:bCs/>
          <w:sz w:val="22"/>
          <w:szCs w:val="22"/>
        </w:rPr>
        <w:br w:type="page"/>
      </w:r>
    </w:p>
    <w:p w14:paraId="70FAC14A" w14:textId="230C39EE" w:rsidR="00750847" w:rsidRPr="00441E08" w:rsidRDefault="00333381" w:rsidP="005E4202">
      <w:pPr>
        <w:pStyle w:val="Heading1"/>
      </w:pPr>
      <w:bookmarkStart w:id="0" w:name="_Toc237602958"/>
      <w:r w:rsidRPr="00441E08">
        <w:lastRenderedPageBreak/>
        <w:t>Introduction</w:t>
      </w:r>
      <w:bookmarkEnd w:id="0"/>
    </w:p>
    <w:p w14:paraId="3E888CF8" w14:textId="77777777" w:rsidR="00333381" w:rsidRPr="00441E08" w:rsidRDefault="00333381" w:rsidP="00441E08">
      <w:pPr>
        <w:spacing w:line="360" w:lineRule="auto"/>
        <w:rPr>
          <w:rFonts w:ascii="Arial" w:hAnsi="Arial" w:cs="Arial"/>
          <w:b w:val="0"/>
          <w:bCs/>
          <w:sz w:val="22"/>
          <w:szCs w:val="22"/>
        </w:rPr>
      </w:pPr>
    </w:p>
    <w:p w14:paraId="4293E5B3" w14:textId="2E070E5F" w:rsidR="00333381"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According to the 11th edition of the International Classification of Diseases (ICD-11), attention deficit hyperactivity disorder (ADHD) is classified as a neurodevelopmental disorder under code 6A05 (World Health Orga</w:t>
      </w:r>
      <w:r w:rsidR="00DF7E9B">
        <w:rPr>
          <w:rFonts w:ascii="Arial" w:hAnsi="Arial" w:cs="Arial"/>
          <w:b w:val="0"/>
          <w:bCs/>
          <w:kern w:val="0"/>
          <w:sz w:val="22"/>
          <w:szCs w:val="22"/>
          <w14:ligatures w14:val="none"/>
        </w:rPr>
        <w:t>niza</w:t>
      </w:r>
      <w:r>
        <w:rPr>
          <w:rFonts w:ascii="Arial" w:hAnsi="Arial" w:cs="Arial"/>
          <w:b w:val="0"/>
          <w:bCs/>
          <w:kern w:val="0"/>
          <w:sz w:val="22"/>
          <w:szCs w:val="22"/>
          <w14:ligatures w14:val="none"/>
        </w:rPr>
        <w:t>tion, 2025). This disorder is among the better-known in this category, with global systematic reviews indicating that 2.58% of adults have ADHD with childhood onset, and 6.76% have symptoms of ADHD, regardless of onset (Song et al., 2021). In contemporary psychiatric classification, ADHD is one of the more controversial disorders. This report describes the ICD-11 classification and diagnosis of ADHD, assesses different approaches to treatment and rehabilitation, and addresses controversies surrounding ADHD, particularly the challenge that the neurodiversity paradigm poses to the classification of ADHD. Following this assessment, suggestions for practice, policy, and research are offered.</w:t>
      </w:r>
    </w:p>
    <w:p w14:paraId="7858BE13" w14:textId="77777777" w:rsidR="00333381" w:rsidRPr="00441E08" w:rsidRDefault="00333381" w:rsidP="00441E08">
      <w:pPr>
        <w:spacing w:line="360" w:lineRule="auto"/>
        <w:rPr>
          <w:rFonts w:ascii="Arial" w:hAnsi="Arial" w:cs="Arial"/>
          <w:b w:val="0"/>
          <w:bCs/>
          <w:sz w:val="22"/>
          <w:szCs w:val="22"/>
        </w:rPr>
      </w:pPr>
    </w:p>
    <w:p w14:paraId="0AAEC695" w14:textId="03B7027D" w:rsidR="00333381" w:rsidRPr="00441E08" w:rsidRDefault="00237CB1" w:rsidP="005E4202">
      <w:pPr>
        <w:pStyle w:val="Heading1"/>
      </w:pPr>
      <w:bookmarkStart w:id="1" w:name="_Toc237602959"/>
      <w:r w:rsidRPr="00441E08">
        <w:t>Classification and Diagnosis</w:t>
      </w:r>
      <w:bookmarkEnd w:id="1"/>
    </w:p>
    <w:p w14:paraId="252F5D1B" w14:textId="77777777" w:rsidR="00237CB1" w:rsidRPr="00441E08" w:rsidRDefault="00237CB1" w:rsidP="00441E08">
      <w:pPr>
        <w:spacing w:line="360" w:lineRule="auto"/>
        <w:rPr>
          <w:rFonts w:ascii="Arial" w:hAnsi="Arial" w:cs="Arial"/>
          <w:b w:val="0"/>
          <w:bCs/>
          <w:sz w:val="22"/>
          <w:szCs w:val="22"/>
        </w:rPr>
      </w:pPr>
    </w:p>
    <w:p w14:paraId="47EEA1D1" w14:textId="18AA56A7" w:rsidR="00237CB1" w:rsidRPr="00441E08" w:rsidRDefault="005E4202" w:rsidP="00441E08">
      <w:pPr>
        <w:spacing w:line="360" w:lineRule="auto"/>
        <w:rPr>
          <w:rFonts w:ascii="Arial" w:hAnsi="Arial" w:cs="Arial"/>
          <w:b w:val="0"/>
          <w:bCs/>
          <w:sz w:val="22"/>
          <w:szCs w:val="22"/>
        </w:rPr>
      </w:pPr>
      <w:r w:rsidRPr="005E4202">
        <w:rPr>
          <w:rFonts w:ascii="Arial" w:hAnsi="Arial" w:cs="Arial"/>
          <w:b w:val="0"/>
          <w:bCs/>
          <w:kern w:val="0"/>
          <w:sz w:val="22"/>
          <w:szCs w:val="22"/>
          <w14:ligatures w14:val="none"/>
        </w:rPr>
        <w:t>In ICD-11, ADHD is classified in Chapter 6 under the Neurodevelopmental disorders and has the code 6A05 (World Health Orga</w:t>
      </w:r>
      <w:r w:rsidR="00DF7E9B">
        <w:rPr>
          <w:rFonts w:ascii="Arial" w:hAnsi="Arial" w:cs="Arial"/>
          <w:b w:val="0"/>
          <w:bCs/>
          <w:kern w:val="0"/>
          <w:sz w:val="22"/>
          <w:szCs w:val="22"/>
          <w14:ligatures w14:val="none"/>
        </w:rPr>
        <w:t>niza</w:t>
      </w:r>
      <w:r w:rsidRPr="005E4202">
        <w:rPr>
          <w:rFonts w:ascii="Arial" w:hAnsi="Arial" w:cs="Arial"/>
          <w:b w:val="0"/>
          <w:bCs/>
          <w:kern w:val="0"/>
          <w:sz w:val="22"/>
          <w:szCs w:val="22"/>
          <w14:ligatures w14:val="none"/>
        </w:rPr>
        <w:t>tion, 2025). In ICD-10, the condition was classified under the Behavioural and emotional disorders with onset in childhood and adolescence and was named Hyperkinetic Disorder. The placement of ADHD in ICD-11 as a neurodevelopmental disorder, rather than a Behavioural Disorder of childhood, is an improvement, as it is more in line with the opinion of DSM-5 (</w:t>
      </w:r>
      <w:proofErr w:type="spellStart"/>
      <w:r w:rsidRPr="005E4202">
        <w:rPr>
          <w:rFonts w:ascii="Arial" w:hAnsi="Arial" w:cs="Arial"/>
          <w:b w:val="0"/>
          <w:bCs/>
          <w:kern w:val="0"/>
          <w:sz w:val="22"/>
          <w:szCs w:val="22"/>
          <w14:ligatures w14:val="none"/>
        </w:rPr>
        <w:t>Doernberg</w:t>
      </w:r>
      <w:proofErr w:type="spellEnd"/>
      <w:r w:rsidRPr="005E4202">
        <w:rPr>
          <w:rFonts w:ascii="Arial" w:hAnsi="Arial" w:cs="Arial"/>
          <w:b w:val="0"/>
          <w:bCs/>
          <w:kern w:val="0"/>
          <w:sz w:val="22"/>
          <w:szCs w:val="22"/>
          <w14:ligatures w14:val="none"/>
        </w:rPr>
        <w:t xml:space="preserve"> and Hollander, 2016). ICD-11's classification of the disorder into three main presentations subdivides the disorder and allows clinicians to record the most prominent symptoms, as opposed to the previous system of recording a single undifferentiated category (World Health Orga</w:t>
      </w:r>
      <w:r w:rsidR="00DF7E9B">
        <w:rPr>
          <w:rFonts w:ascii="Arial" w:hAnsi="Arial" w:cs="Arial"/>
          <w:b w:val="0"/>
          <w:bCs/>
          <w:kern w:val="0"/>
          <w:sz w:val="22"/>
          <w:szCs w:val="22"/>
          <w14:ligatures w14:val="none"/>
        </w:rPr>
        <w:t>niza</w:t>
      </w:r>
      <w:r w:rsidRPr="005E4202">
        <w:rPr>
          <w:rFonts w:ascii="Arial" w:hAnsi="Arial" w:cs="Arial"/>
          <w:b w:val="0"/>
          <w:bCs/>
          <w:kern w:val="0"/>
          <w:sz w:val="22"/>
          <w:szCs w:val="22"/>
          <w14:ligatures w14:val="none"/>
        </w:rPr>
        <w:t>tion, 2025).</w:t>
      </w:r>
    </w:p>
    <w:p w14:paraId="28C2A279" w14:textId="77777777" w:rsidR="00237CB1" w:rsidRPr="00441E08" w:rsidRDefault="00237CB1" w:rsidP="00441E08">
      <w:pPr>
        <w:spacing w:line="360" w:lineRule="auto"/>
        <w:rPr>
          <w:rFonts w:ascii="Arial" w:hAnsi="Arial" w:cs="Arial"/>
          <w:b w:val="0"/>
          <w:bCs/>
          <w:sz w:val="22"/>
          <w:szCs w:val="22"/>
        </w:rPr>
      </w:pPr>
    </w:p>
    <w:p w14:paraId="4DDFC3BD" w14:textId="59AA201B" w:rsidR="00237CB1"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The diagnostic criteria for ADHD are persistent inattention and/or hyperactivity-impulsivity </w:t>
      </w:r>
      <w:r w:rsidR="0033377E" w:rsidRPr="0033377E">
        <w:rPr>
          <w:rFonts w:ascii="Arial" w:hAnsi="Arial" w:cs="Arial"/>
          <w:b w:val="0"/>
          <w:bCs/>
          <w:kern w:val="0"/>
          <w:sz w:val="22"/>
          <w:szCs w:val="22"/>
          <w14:ligatures w14:val="none"/>
        </w:rPr>
        <w:t>symptoms persisting at least six months, with evidence of symptoms before the age of twelve</w:t>
      </w:r>
      <w:r>
        <w:rPr>
          <w:rFonts w:ascii="Arial" w:hAnsi="Arial" w:cs="Arial"/>
          <w:b w:val="0"/>
          <w:bCs/>
          <w:kern w:val="0"/>
          <w:sz w:val="22"/>
          <w:szCs w:val="22"/>
          <w14:ligatures w14:val="none"/>
        </w:rPr>
        <w:t>. Symptoms must occur in more than one setting and must adversely affect school, work, and social activities (World Health Orga</w:t>
      </w:r>
      <w:r w:rsidR="00DF7E9B">
        <w:rPr>
          <w:rFonts w:ascii="Arial" w:hAnsi="Arial" w:cs="Arial"/>
          <w:b w:val="0"/>
          <w:bCs/>
          <w:kern w:val="0"/>
          <w:sz w:val="22"/>
          <w:szCs w:val="22"/>
          <w14:ligatures w14:val="none"/>
        </w:rPr>
        <w:t>niza</w:t>
      </w:r>
      <w:r>
        <w:rPr>
          <w:rFonts w:ascii="Arial" w:hAnsi="Arial" w:cs="Arial"/>
          <w:b w:val="0"/>
          <w:bCs/>
          <w:kern w:val="0"/>
          <w:sz w:val="22"/>
          <w:szCs w:val="22"/>
          <w14:ligatures w14:val="none"/>
        </w:rPr>
        <w:t xml:space="preserve">tion, 2025). Symptoms must exceed the limits of normal developmental variation and must not be more appropriately explained by another condition </w:t>
      </w:r>
      <w:r w:rsidR="000208C7" w:rsidRPr="000208C7">
        <w:rPr>
          <w:rFonts w:ascii="Arial" w:hAnsi="Arial" w:cs="Arial"/>
          <w:b w:val="0"/>
          <w:bCs/>
          <w:kern w:val="0"/>
          <w:sz w:val="22"/>
          <w:szCs w:val="22"/>
          <w14:ligatures w14:val="none"/>
        </w:rPr>
        <w:t>or by the effects of a substance</w:t>
      </w:r>
      <w:r>
        <w:rPr>
          <w:rFonts w:ascii="Arial" w:hAnsi="Arial" w:cs="Arial"/>
          <w:b w:val="0"/>
          <w:bCs/>
          <w:kern w:val="0"/>
          <w:sz w:val="22"/>
          <w:szCs w:val="22"/>
          <w14:ligatures w14:val="none"/>
        </w:rPr>
        <w:t>.</w:t>
      </w:r>
    </w:p>
    <w:p w14:paraId="1C6503F4" w14:textId="77777777" w:rsidR="00237CB1" w:rsidRPr="00441E08" w:rsidRDefault="00237CB1" w:rsidP="00441E08">
      <w:pPr>
        <w:spacing w:line="360" w:lineRule="auto"/>
        <w:rPr>
          <w:rFonts w:ascii="Arial" w:hAnsi="Arial" w:cs="Arial"/>
          <w:b w:val="0"/>
          <w:bCs/>
          <w:sz w:val="22"/>
          <w:szCs w:val="22"/>
        </w:rPr>
      </w:pPr>
    </w:p>
    <w:p w14:paraId="6A555665" w14:textId="2E490C13" w:rsidR="00237CB1"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lastRenderedPageBreak/>
        <w:t>In the UK, according to NICE guideline NG87, a diagnosis of ADHD can be made only by a specialist psychiatrist or paediatrician, or another specialist with appropriate training and expertise in ADHD. The primary care practitioner should not make a diagnosis or initiate treatment. Diagnosis should not be based on rating scales but on a full clinical and psychosocial assessment, developmental and psychiatric history, and input from observers (National Institute for Health and Care Excellence, 2019). The evidence for the diagnosis is strong and is supported by the World Federation of ADHD consensus statement, which synthesised evidence, concluded 208 statements, was approved by 80 authors across 27 countries, and was endorsed by an additional 366 experts (</w:t>
      </w:r>
      <w:proofErr w:type="spellStart"/>
      <w:r>
        <w:rPr>
          <w:rFonts w:ascii="Arial" w:hAnsi="Arial" w:cs="Arial"/>
          <w:b w:val="0"/>
          <w:bCs/>
          <w:kern w:val="0"/>
          <w:sz w:val="22"/>
          <w:szCs w:val="22"/>
          <w14:ligatures w14:val="none"/>
        </w:rPr>
        <w:t>Faraone</w:t>
      </w:r>
      <w:proofErr w:type="spellEnd"/>
      <w:r>
        <w:rPr>
          <w:rFonts w:ascii="Arial" w:hAnsi="Arial" w:cs="Arial"/>
          <w:b w:val="0"/>
          <w:bCs/>
          <w:kern w:val="0"/>
          <w:sz w:val="22"/>
          <w:szCs w:val="22"/>
          <w14:ligatures w14:val="none"/>
        </w:rPr>
        <w:t xml:space="preserve"> et al., 2021).</w:t>
      </w:r>
    </w:p>
    <w:p w14:paraId="66E047B7" w14:textId="77777777" w:rsidR="00237CB1" w:rsidRPr="00441E08" w:rsidRDefault="00237CB1" w:rsidP="00441E08">
      <w:pPr>
        <w:spacing w:line="360" w:lineRule="auto"/>
        <w:rPr>
          <w:rFonts w:ascii="Arial" w:hAnsi="Arial" w:cs="Arial"/>
          <w:b w:val="0"/>
          <w:bCs/>
          <w:sz w:val="22"/>
          <w:szCs w:val="22"/>
        </w:rPr>
      </w:pPr>
    </w:p>
    <w:p w14:paraId="452C2E51" w14:textId="5274AF85" w:rsidR="00237CB1" w:rsidRPr="00441E08" w:rsidRDefault="00971A7D" w:rsidP="00441E08">
      <w:pPr>
        <w:spacing w:line="360" w:lineRule="auto"/>
        <w:rPr>
          <w:rFonts w:ascii="Arial" w:hAnsi="Arial" w:cs="Arial"/>
          <w:b w:val="0"/>
          <w:bCs/>
          <w:sz w:val="22"/>
          <w:szCs w:val="22"/>
        </w:rPr>
      </w:pPr>
      <w:r>
        <w:rPr>
          <w:rFonts w:ascii="Arial" w:hAnsi="Arial" w:cs="Arial"/>
          <w:b w:val="0"/>
          <w:bCs/>
          <w:kern w:val="0"/>
          <w:sz w:val="22"/>
          <w:szCs w:val="22"/>
          <w14:ligatures w14:val="none"/>
        </w:rPr>
        <w:t>D</w:t>
      </w:r>
      <w:r w:rsidR="005E4202">
        <w:rPr>
          <w:rFonts w:ascii="Arial" w:hAnsi="Arial" w:cs="Arial"/>
          <w:b w:val="0"/>
          <w:bCs/>
          <w:kern w:val="0"/>
          <w:sz w:val="22"/>
          <w:szCs w:val="22"/>
          <w14:ligatures w14:val="none"/>
        </w:rPr>
        <w:t xml:space="preserve">espite the strong evidence for the diagnosis, there is considerable variability in diagnostic practice. Young et al. (2020) reported a range of clinical referral ratios of boys to girls, with those in clinical practice reporting ratios from 3:1 to 16:1, whereas in the few </w:t>
      </w:r>
      <w:proofErr w:type="gramStart"/>
      <w:r w:rsidR="005E4202">
        <w:rPr>
          <w:rFonts w:ascii="Arial" w:hAnsi="Arial" w:cs="Arial"/>
          <w:b w:val="0"/>
          <w:bCs/>
          <w:kern w:val="0"/>
          <w:sz w:val="22"/>
          <w:szCs w:val="22"/>
          <w14:ligatures w14:val="none"/>
        </w:rPr>
        <w:t>community</w:t>
      </w:r>
      <w:proofErr w:type="gramEnd"/>
      <w:r w:rsidR="005E4202">
        <w:rPr>
          <w:rFonts w:ascii="Arial" w:hAnsi="Arial" w:cs="Arial"/>
          <w:b w:val="0"/>
          <w:bCs/>
          <w:kern w:val="0"/>
          <w:sz w:val="22"/>
          <w:szCs w:val="22"/>
          <w14:ligatures w14:val="none"/>
        </w:rPr>
        <w:t xml:space="preserve"> samples the ratio was closer to 3:1, reflecting </w:t>
      </w:r>
      <w:r w:rsidR="00DD3146">
        <w:rPr>
          <w:rFonts w:ascii="Arial" w:hAnsi="Arial" w:cs="Arial"/>
          <w:b w:val="0"/>
          <w:bCs/>
          <w:kern w:val="0"/>
          <w:sz w:val="22"/>
          <w:szCs w:val="22"/>
          <w14:ligatures w14:val="none"/>
        </w:rPr>
        <w:t>a substantial number of</w:t>
      </w:r>
      <w:r w:rsidR="005E4202">
        <w:rPr>
          <w:rFonts w:ascii="Arial" w:hAnsi="Arial" w:cs="Arial"/>
          <w:b w:val="0"/>
          <w:bCs/>
          <w:kern w:val="0"/>
          <w:sz w:val="22"/>
          <w:szCs w:val="22"/>
          <w14:ligatures w14:val="none"/>
        </w:rPr>
        <w:t xml:space="preserve"> women and girls being undiagnosed. Among girls and women, some of the hyperactive-impulsive symptoms may be less noticeable, and compensatory strategies may mask symptoms. There may also be a tendency for clinicians to diagnose a primary internalised or personality disorder.</w:t>
      </w:r>
    </w:p>
    <w:p w14:paraId="4AF9B669" w14:textId="77777777" w:rsidR="00237CB1" w:rsidRPr="00441E08" w:rsidRDefault="00237CB1" w:rsidP="00441E08">
      <w:pPr>
        <w:spacing w:line="360" w:lineRule="auto"/>
        <w:rPr>
          <w:rFonts w:ascii="Arial" w:hAnsi="Arial" w:cs="Arial"/>
          <w:b w:val="0"/>
          <w:bCs/>
          <w:sz w:val="22"/>
          <w:szCs w:val="22"/>
        </w:rPr>
      </w:pPr>
    </w:p>
    <w:p w14:paraId="7A1DE1A7" w14:textId="557630EE" w:rsidR="00237CB1"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Classification also deserves discussion. </w:t>
      </w:r>
      <w:r w:rsidR="000B0544" w:rsidRPr="000B0544">
        <w:rPr>
          <w:rFonts w:ascii="Arial" w:hAnsi="Arial" w:cs="Arial"/>
          <w:b w:val="0"/>
          <w:bCs/>
          <w:kern w:val="0"/>
          <w:sz w:val="22"/>
          <w:szCs w:val="22"/>
          <w14:ligatures w14:val="none"/>
        </w:rPr>
        <w:t>ICD-11 consistently uses the term disorder, which implies dysfunction located within the individual, in contrast to condition, which is comparatively neutral, or illness, which carries connotations of pathology and of possible recovery. This terminology is not neutral in its effects, and it forms the basis of the debate examined in section four.</w:t>
      </w:r>
    </w:p>
    <w:p w14:paraId="5CAC0471" w14:textId="77777777" w:rsidR="00237CB1" w:rsidRPr="00441E08" w:rsidRDefault="00237CB1" w:rsidP="00441E08">
      <w:pPr>
        <w:spacing w:line="360" w:lineRule="auto"/>
        <w:rPr>
          <w:rFonts w:ascii="Arial" w:hAnsi="Arial" w:cs="Arial"/>
          <w:b w:val="0"/>
          <w:bCs/>
          <w:sz w:val="22"/>
          <w:szCs w:val="22"/>
        </w:rPr>
      </w:pPr>
    </w:p>
    <w:p w14:paraId="232BD508" w14:textId="114F1B3B" w:rsidR="00237CB1" w:rsidRPr="00441E08" w:rsidRDefault="00237CB1" w:rsidP="005E4202">
      <w:pPr>
        <w:pStyle w:val="Heading1"/>
      </w:pPr>
      <w:bookmarkStart w:id="2" w:name="_Toc237602960"/>
      <w:r w:rsidRPr="00441E08">
        <w:t>Treatment and Rehabilitation</w:t>
      </w:r>
      <w:bookmarkEnd w:id="2"/>
    </w:p>
    <w:p w14:paraId="4AB4ACD9" w14:textId="77777777" w:rsidR="00237CB1" w:rsidRPr="00441E08" w:rsidRDefault="00237CB1" w:rsidP="00441E08">
      <w:pPr>
        <w:spacing w:line="360" w:lineRule="auto"/>
        <w:rPr>
          <w:rFonts w:ascii="Arial" w:hAnsi="Arial" w:cs="Arial"/>
          <w:b w:val="0"/>
          <w:bCs/>
          <w:sz w:val="22"/>
          <w:szCs w:val="22"/>
        </w:rPr>
      </w:pPr>
    </w:p>
    <w:p w14:paraId="127D94CE" w14:textId="7B876EB1" w:rsidR="007B7367"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Treatment in the UK follows a stepped approach outlined in NICE guideline NG87. For children over the age of 5, the first interventions are parental support and environmental changes. Medication is prescribed only if symptoms remain impairing across different situations. Methylphenidate is the first-choice medication for this group (National Institute for Health and Care Excellence, 2019). For adults, medication is offered if there is ongoing impairment after environmental changes. Methylphenidate and </w:t>
      </w:r>
      <w:proofErr w:type="spellStart"/>
      <w:r>
        <w:rPr>
          <w:rFonts w:ascii="Arial" w:hAnsi="Arial" w:cs="Arial"/>
          <w:b w:val="0"/>
          <w:bCs/>
          <w:kern w:val="0"/>
          <w:sz w:val="22"/>
          <w:szCs w:val="22"/>
          <w14:ligatures w14:val="none"/>
        </w:rPr>
        <w:t>lisdexamfetamine</w:t>
      </w:r>
      <w:proofErr w:type="spellEnd"/>
      <w:r>
        <w:rPr>
          <w:rFonts w:ascii="Arial" w:hAnsi="Arial" w:cs="Arial"/>
          <w:b w:val="0"/>
          <w:bCs/>
          <w:kern w:val="0"/>
          <w:sz w:val="22"/>
          <w:szCs w:val="22"/>
          <w14:ligatures w14:val="none"/>
        </w:rPr>
        <w:t xml:space="preserve"> are first-choice medications, and cognitive behavioural therapy is offered to adults who either do not consent to medication or cannot tolerate it.</w:t>
      </w:r>
    </w:p>
    <w:p w14:paraId="76C26AFD" w14:textId="77777777" w:rsidR="007B7367" w:rsidRPr="00441E08" w:rsidRDefault="007B7367" w:rsidP="00441E08">
      <w:pPr>
        <w:spacing w:line="360" w:lineRule="auto"/>
        <w:rPr>
          <w:rFonts w:ascii="Arial" w:hAnsi="Arial" w:cs="Arial"/>
          <w:b w:val="0"/>
          <w:bCs/>
          <w:sz w:val="22"/>
          <w:szCs w:val="22"/>
        </w:rPr>
      </w:pPr>
    </w:p>
    <w:p w14:paraId="1B8F690B" w14:textId="5924AFCF" w:rsidR="007B7367"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lastRenderedPageBreak/>
        <w:t xml:space="preserve">Generally, this approach has good pharmacological support. </w:t>
      </w:r>
      <w:r w:rsidR="00075396" w:rsidRPr="00075396">
        <w:rPr>
          <w:rFonts w:ascii="Arial" w:hAnsi="Arial" w:cs="Arial"/>
          <w:b w:val="0"/>
          <w:bCs/>
          <w:kern w:val="0"/>
          <w:sz w:val="22"/>
          <w:szCs w:val="22"/>
          <w14:ligatures w14:val="none"/>
        </w:rPr>
        <w:t xml:space="preserve">Cortese et al. (2018) identified methylphenidate as the preferred first-line medication for children and adolescents on the basis of teacher ratings (SMD </w:t>
      </w:r>
      <w:r w:rsidR="00D012CF">
        <w:rPr>
          <w:rFonts w:ascii="Arial" w:hAnsi="Arial" w:cs="Arial"/>
          <w:b w:val="0"/>
          <w:bCs/>
          <w:kern w:val="0"/>
          <w:sz w:val="22"/>
          <w:szCs w:val="22"/>
          <w14:ligatures w14:val="none"/>
        </w:rPr>
        <w:t>-</w:t>
      </w:r>
      <w:r w:rsidR="00075396" w:rsidRPr="00075396">
        <w:rPr>
          <w:rFonts w:ascii="Arial" w:hAnsi="Arial" w:cs="Arial"/>
          <w:b w:val="0"/>
          <w:bCs/>
          <w:kern w:val="0"/>
          <w:sz w:val="22"/>
          <w:szCs w:val="22"/>
          <w14:ligatures w14:val="none"/>
        </w:rPr>
        <w:t xml:space="preserve">0.82), and amphetamines as the strongest option for adults (SMD </w:t>
      </w:r>
      <w:r w:rsidR="00D012CF">
        <w:rPr>
          <w:rFonts w:ascii="Arial" w:hAnsi="Arial" w:cs="Arial"/>
          <w:b w:val="0"/>
          <w:bCs/>
          <w:kern w:val="0"/>
          <w:sz w:val="22"/>
          <w:szCs w:val="22"/>
          <w14:ligatures w14:val="none"/>
        </w:rPr>
        <w:t>-</w:t>
      </w:r>
      <w:r w:rsidR="00075396" w:rsidRPr="00075396">
        <w:rPr>
          <w:rFonts w:ascii="Arial" w:hAnsi="Arial" w:cs="Arial"/>
          <w:b w:val="0"/>
          <w:bCs/>
          <w:kern w:val="0"/>
          <w:sz w:val="22"/>
          <w:szCs w:val="22"/>
          <w14:ligatures w14:val="none"/>
        </w:rPr>
        <w:t>0.79), although amphetamines were less well tolerated and modafinil showed no benefit over placebo in adults.</w:t>
      </w:r>
    </w:p>
    <w:p w14:paraId="67BD8BA8" w14:textId="77777777" w:rsidR="007B7367" w:rsidRPr="00441E08" w:rsidRDefault="007B7367" w:rsidP="00441E08">
      <w:pPr>
        <w:spacing w:line="360" w:lineRule="auto"/>
        <w:rPr>
          <w:rFonts w:ascii="Arial" w:hAnsi="Arial" w:cs="Arial"/>
          <w:b w:val="0"/>
          <w:bCs/>
          <w:sz w:val="22"/>
          <w:szCs w:val="22"/>
        </w:rPr>
      </w:pPr>
    </w:p>
    <w:p w14:paraId="6DA3A2DD" w14:textId="2DC89DDB" w:rsidR="007B7367"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The picture becomes more complex with new evidence. </w:t>
      </w:r>
      <w:proofErr w:type="spellStart"/>
      <w:r>
        <w:rPr>
          <w:rFonts w:ascii="Arial" w:hAnsi="Arial" w:cs="Arial"/>
          <w:b w:val="0"/>
          <w:bCs/>
          <w:kern w:val="0"/>
          <w:sz w:val="22"/>
          <w:szCs w:val="22"/>
          <w14:ligatures w14:val="none"/>
        </w:rPr>
        <w:t>Ostinelli</w:t>
      </w:r>
      <w:proofErr w:type="spellEnd"/>
      <w:r>
        <w:rPr>
          <w:rFonts w:ascii="Arial" w:hAnsi="Arial" w:cs="Arial"/>
          <w:b w:val="0"/>
          <w:bCs/>
          <w:kern w:val="0"/>
          <w:sz w:val="22"/>
          <w:szCs w:val="22"/>
          <w14:ligatures w14:val="none"/>
        </w:rPr>
        <w:t xml:space="preserve"> et al. (2025) conducted a component network meta-analysis of 113 randomised controlled trials with 14,887 participants and published results for the adult ADHD population. Their results indicated that stimulants and atomoxetine reduced core ADHD symptoms, as reported by </w:t>
      </w:r>
      <w:r w:rsidR="008217E6">
        <w:rPr>
          <w:rFonts w:ascii="Arial" w:hAnsi="Arial" w:cs="Arial"/>
          <w:b w:val="0"/>
          <w:bCs/>
          <w:kern w:val="0"/>
          <w:sz w:val="22"/>
          <w:szCs w:val="22"/>
          <w14:ligatures w14:val="none"/>
        </w:rPr>
        <w:t xml:space="preserve">both </w:t>
      </w:r>
      <w:r>
        <w:rPr>
          <w:rFonts w:ascii="Arial" w:hAnsi="Arial" w:cs="Arial"/>
          <w:b w:val="0"/>
          <w:bCs/>
          <w:kern w:val="0"/>
          <w:sz w:val="22"/>
          <w:szCs w:val="22"/>
          <w14:ligatures w14:val="none"/>
        </w:rPr>
        <w:t xml:space="preserve">participants and clinicians, after 12 weeks. Improvements were reported in clinician-based outcomes </w:t>
      </w:r>
      <w:r w:rsidR="009B6B1D">
        <w:rPr>
          <w:rFonts w:ascii="Arial" w:hAnsi="Arial" w:cs="Arial"/>
          <w:b w:val="0"/>
          <w:bCs/>
          <w:kern w:val="0"/>
          <w:sz w:val="22"/>
          <w:szCs w:val="22"/>
          <w14:ligatures w14:val="none"/>
        </w:rPr>
        <w:t xml:space="preserve">only </w:t>
      </w:r>
      <w:r>
        <w:rPr>
          <w:rFonts w:ascii="Arial" w:hAnsi="Arial" w:cs="Arial"/>
          <w:b w:val="0"/>
          <w:bCs/>
          <w:kern w:val="0"/>
          <w:sz w:val="22"/>
          <w:szCs w:val="22"/>
          <w14:ligatures w14:val="none"/>
        </w:rPr>
        <w:t>for cognitive behavioural therapy (CBT), cognitive remediation therapy (CRT), mindfulness, psychoeducation, and transcranial direct current stimulation (</w:t>
      </w:r>
      <w:proofErr w:type="spellStart"/>
      <w:r>
        <w:rPr>
          <w:rFonts w:ascii="Arial" w:hAnsi="Arial" w:cs="Arial"/>
          <w:b w:val="0"/>
          <w:bCs/>
          <w:kern w:val="0"/>
          <w:sz w:val="22"/>
          <w:szCs w:val="22"/>
          <w14:ligatures w14:val="none"/>
        </w:rPr>
        <w:t>tDCS</w:t>
      </w:r>
      <w:proofErr w:type="spellEnd"/>
      <w:r>
        <w:rPr>
          <w:rFonts w:ascii="Arial" w:hAnsi="Arial" w:cs="Arial"/>
          <w:b w:val="0"/>
          <w:bCs/>
          <w:kern w:val="0"/>
          <w:sz w:val="22"/>
          <w:szCs w:val="22"/>
          <w14:ligatures w14:val="none"/>
        </w:rPr>
        <w:t>). The analysis also showed that atomoxetine was less acceptable than placebo. The distinction between clinician-based and self-reported outcomes is important to consider, as it is possible that the intervention changed how observers perceive difficulties without altering participants' own perceptions.</w:t>
      </w:r>
    </w:p>
    <w:p w14:paraId="39ABFBA3" w14:textId="77777777" w:rsidR="007B7367" w:rsidRPr="00441E08" w:rsidRDefault="007B7367" w:rsidP="00441E08">
      <w:pPr>
        <w:spacing w:line="360" w:lineRule="auto"/>
        <w:rPr>
          <w:rFonts w:ascii="Arial" w:hAnsi="Arial" w:cs="Arial"/>
          <w:b w:val="0"/>
          <w:bCs/>
          <w:sz w:val="22"/>
          <w:szCs w:val="22"/>
        </w:rPr>
      </w:pPr>
    </w:p>
    <w:p w14:paraId="02222F4D" w14:textId="4D42350B" w:rsidR="007B7367" w:rsidRDefault="00633C72" w:rsidP="00441E08">
      <w:pPr>
        <w:spacing w:line="360" w:lineRule="auto"/>
        <w:rPr>
          <w:rFonts w:ascii="Arial" w:hAnsi="Arial" w:cs="Arial"/>
          <w:b w:val="0"/>
          <w:bCs/>
          <w:kern w:val="0"/>
          <w:sz w:val="22"/>
          <w:szCs w:val="22"/>
          <w14:ligatures w14:val="none"/>
        </w:rPr>
      </w:pPr>
      <w:r w:rsidRPr="00633C72">
        <w:rPr>
          <w:rFonts w:ascii="Arial" w:hAnsi="Arial" w:cs="Arial"/>
          <w:b w:val="0"/>
          <w:bCs/>
          <w:kern w:val="0"/>
          <w:sz w:val="22"/>
          <w:szCs w:val="22"/>
          <w14:ligatures w14:val="none"/>
        </w:rPr>
        <w:t xml:space="preserve">ICD-11 embeds functional impairment within the diagnostic requirements themselves, since symptoms must have a direct negative impact on academic, </w:t>
      </w:r>
      <w:proofErr w:type="gramStart"/>
      <w:r w:rsidRPr="00633C72">
        <w:rPr>
          <w:rFonts w:ascii="Arial" w:hAnsi="Arial" w:cs="Arial"/>
          <w:b w:val="0"/>
          <w:bCs/>
          <w:kern w:val="0"/>
          <w:sz w:val="22"/>
          <w:szCs w:val="22"/>
          <w14:ligatures w14:val="none"/>
        </w:rPr>
        <w:t>occupational</w:t>
      </w:r>
      <w:proofErr w:type="gramEnd"/>
      <w:r w:rsidRPr="00633C72">
        <w:rPr>
          <w:rFonts w:ascii="Arial" w:hAnsi="Arial" w:cs="Arial"/>
          <w:b w:val="0"/>
          <w:bCs/>
          <w:kern w:val="0"/>
          <w:sz w:val="22"/>
          <w:szCs w:val="22"/>
          <w14:ligatures w14:val="none"/>
        </w:rPr>
        <w:t xml:space="preserve"> or social functioning in order to warrant diagnosis (World Health Organization, 2025). ICD-11 is, however, a classification system rather than a treatment framework, and it does not set out rehabilitation programmes. In practice, rehabilitation is delivered through environmental modification, educational and workplace </w:t>
      </w:r>
      <w:proofErr w:type="gramStart"/>
      <w:r w:rsidRPr="00633C72">
        <w:rPr>
          <w:rFonts w:ascii="Arial" w:hAnsi="Arial" w:cs="Arial"/>
          <w:b w:val="0"/>
          <w:bCs/>
          <w:kern w:val="0"/>
          <w:sz w:val="22"/>
          <w:szCs w:val="22"/>
          <w14:ligatures w14:val="none"/>
        </w:rPr>
        <w:t>adjustments</w:t>
      </w:r>
      <w:proofErr w:type="gramEnd"/>
      <w:r w:rsidRPr="00633C72">
        <w:rPr>
          <w:rFonts w:ascii="Arial" w:hAnsi="Arial" w:cs="Arial"/>
          <w:b w:val="0"/>
          <w:bCs/>
          <w:kern w:val="0"/>
          <w:sz w:val="22"/>
          <w:szCs w:val="22"/>
          <w14:ligatures w14:val="none"/>
        </w:rPr>
        <w:t xml:space="preserve"> and psychoeducation.</w:t>
      </w:r>
    </w:p>
    <w:p w14:paraId="2C3C59D8" w14:textId="77777777" w:rsidR="00633C72" w:rsidRPr="00441E08" w:rsidRDefault="00633C72" w:rsidP="00441E08">
      <w:pPr>
        <w:spacing w:line="360" w:lineRule="auto"/>
        <w:rPr>
          <w:rFonts w:ascii="Arial" w:hAnsi="Arial" w:cs="Arial"/>
          <w:b w:val="0"/>
          <w:bCs/>
          <w:sz w:val="22"/>
          <w:szCs w:val="22"/>
        </w:rPr>
      </w:pPr>
    </w:p>
    <w:p w14:paraId="156AB53F" w14:textId="720DE35C" w:rsidR="007B7367" w:rsidRPr="00441E08" w:rsidRDefault="001627C9" w:rsidP="00441E08">
      <w:pPr>
        <w:spacing w:line="360" w:lineRule="auto"/>
        <w:rPr>
          <w:rFonts w:ascii="Arial" w:hAnsi="Arial" w:cs="Arial"/>
          <w:b w:val="0"/>
          <w:bCs/>
          <w:sz w:val="22"/>
          <w:szCs w:val="22"/>
        </w:rPr>
      </w:pPr>
      <w:r w:rsidRPr="001627C9">
        <w:rPr>
          <w:rFonts w:ascii="Arial" w:hAnsi="Arial" w:cs="Arial"/>
          <w:b w:val="0"/>
          <w:bCs/>
          <w:kern w:val="0"/>
          <w:sz w:val="22"/>
          <w:szCs w:val="22"/>
          <w14:ligatures w14:val="none"/>
        </w:rPr>
        <w:t>The independent ADHD Taskforce reported that only 15 to 25% of children and adults with ADHD receive pharmacological treatment, and that waiting times for assessment have reached over four years for children and over eight years for adults in some areas (NHS England, 2025a). The evidence base therefore describes treatment that a considerable proportion of the diagnosed population does not currently access.</w:t>
      </w:r>
    </w:p>
    <w:p w14:paraId="73173596" w14:textId="77777777" w:rsidR="00846FAB" w:rsidRDefault="00846FAB">
      <w:pPr>
        <w:rPr>
          <w:rFonts w:ascii="Arial" w:eastAsiaTheme="majorEastAsia" w:hAnsi="Arial" w:cstheme="majorBidi"/>
          <w:sz w:val="22"/>
          <w:szCs w:val="40"/>
        </w:rPr>
      </w:pPr>
      <w:r>
        <w:br w:type="page"/>
      </w:r>
    </w:p>
    <w:p w14:paraId="6298A7E8" w14:textId="7115F9A5" w:rsidR="007B7367" w:rsidRPr="00441E08" w:rsidRDefault="00AB16F2" w:rsidP="005E4202">
      <w:pPr>
        <w:pStyle w:val="Heading1"/>
      </w:pPr>
      <w:bookmarkStart w:id="3" w:name="_Toc237602961"/>
      <w:r w:rsidRPr="00441E08">
        <w:lastRenderedPageBreak/>
        <w:t>Current Debates and Emerging Issues</w:t>
      </w:r>
      <w:bookmarkEnd w:id="3"/>
    </w:p>
    <w:p w14:paraId="02EE9548" w14:textId="77777777" w:rsidR="00AB16F2" w:rsidRPr="00441E08" w:rsidRDefault="00AB16F2" w:rsidP="00441E08">
      <w:pPr>
        <w:spacing w:line="360" w:lineRule="auto"/>
        <w:rPr>
          <w:rFonts w:ascii="Arial" w:hAnsi="Arial" w:cs="Arial"/>
          <w:b w:val="0"/>
          <w:bCs/>
          <w:sz w:val="22"/>
          <w:szCs w:val="22"/>
        </w:rPr>
      </w:pPr>
    </w:p>
    <w:p w14:paraId="08E88424" w14:textId="17ABF948" w:rsidR="00AB16F2"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The main contemporary issue is whether to classify ADHD as a disorder. The neurodiversity perspective critiques the deficit-based system of psychiatric classification. </w:t>
      </w:r>
      <w:proofErr w:type="spellStart"/>
      <w:r>
        <w:rPr>
          <w:rFonts w:ascii="Arial" w:hAnsi="Arial" w:cs="Arial"/>
          <w:b w:val="0"/>
          <w:bCs/>
          <w:kern w:val="0"/>
          <w:sz w:val="22"/>
          <w:szCs w:val="22"/>
          <w14:ligatures w14:val="none"/>
        </w:rPr>
        <w:t>Sonuga-Barke</w:t>
      </w:r>
      <w:proofErr w:type="spellEnd"/>
      <w:r>
        <w:rPr>
          <w:rFonts w:ascii="Arial" w:hAnsi="Arial" w:cs="Arial"/>
          <w:b w:val="0"/>
          <w:bCs/>
          <w:kern w:val="0"/>
          <w:sz w:val="22"/>
          <w:szCs w:val="22"/>
          <w14:ligatures w14:val="none"/>
        </w:rPr>
        <w:t xml:space="preserve"> (2023) posits that ADHD and autism are best viewed as variations in thinking and behaviour caused by atypical brain development and should not be considered brain dysfunctions. Accordingly, </w:t>
      </w:r>
      <w:proofErr w:type="spellStart"/>
      <w:r>
        <w:rPr>
          <w:rFonts w:ascii="Arial" w:hAnsi="Arial" w:cs="Arial"/>
          <w:b w:val="0"/>
          <w:bCs/>
          <w:kern w:val="0"/>
          <w:sz w:val="22"/>
          <w:szCs w:val="22"/>
          <w14:ligatures w14:val="none"/>
        </w:rPr>
        <w:t>Sonuga-Barke</w:t>
      </w:r>
      <w:proofErr w:type="spellEnd"/>
      <w:r>
        <w:rPr>
          <w:rFonts w:ascii="Arial" w:hAnsi="Arial" w:cs="Arial"/>
          <w:b w:val="0"/>
          <w:bCs/>
          <w:kern w:val="0"/>
          <w:sz w:val="22"/>
          <w:szCs w:val="22"/>
          <w14:ligatures w14:val="none"/>
        </w:rPr>
        <w:t xml:space="preserve"> believes the focus of research should be on how different environments affect the diverse range of neurodivergent individuals. Chapman and Botha (2023) elaborate on this in a clinical context. They propose that dysfunction should be viewed as relational rather than individual. Clinical practitioners should adopt an approach of epistemic humility when encountering neurodivergence that differs from their own.</w:t>
      </w:r>
    </w:p>
    <w:p w14:paraId="5B2219F7" w14:textId="77777777" w:rsidR="00AB16F2" w:rsidRPr="00441E08" w:rsidRDefault="00AB16F2" w:rsidP="00441E08">
      <w:pPr>
        <w:spacing w:line="360" w:lineRule="auto"/>
        <w:rPr>
          <w:rFonts w:ascii="Arial" w:hAnsi="Arial" w:cs="Arial"/>
          <w:b w:val="0"/>
          <w:bCs/>
          <w:sz w:val="22"/>
          <w:szCs w:val="22"/>
        </w:rPr>
      </w:pPr>
    </w:p>
    <w:p w14:paraId="464AFE1C" w14:textId="640FBF3D" w:rsidR="00AB16F2"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The opposing view is not simply a wish to preserve the status quo. </w:t>
      </w:r>
      <w:proofErr w:type="spellStart"/>
      <w:r>
        <w:rPr>
          <w:rFonts w:ascii="Arial" w:hAnsi="Arial" w:cs="Arial"/>
          <w:b w:val="0"/>
          <w:bCs/>
          <w:kern w:val="0"/>
          <w:sz w:val="22"/>
          <w:szCs w:val="22"/>
          <w14:ligatures w14:val="none"/>
        </w:rPr>
        <w:t>Faraone</w:t>
      </w:r>
      <w:proofErr w:type="spellEnd"/>
      <w:r>
        <w:rPr>
          <w:rFonts w:ascii="Arial" w:hAnsi="Arial" w:cs="Arial"/>
          <w:b w:val="0"/>
          <w:bCs/>
          <w:kern w:val="0"/>
          <w:sz w:val="22"/>
          <w:szCs w:val="22"/>
          <w14:ligatures w14:val="none"/>
        </w:rPr>
        <w:t xml:space="preserve"> et al. (2021) brought together experts from the World Federation to produce a consensus statement addressing misconceptions about ADHD, reducing </w:t>
      </w:r>
      <w:proofErr w:type="gramStart"/>
      <w:r>
        <w:rPr>
          <w:rFonts w:ascii="Arial" w:hAnsi="Arial" w:cs="Arial"/>
          <w:b w:val="0"/>
          <w:bCs/>
          <w:kern w:val="0"/>
          <w:sz w:val="22"/>
          <w:szCs w:val="22"/>
          <w14:ligatures w14:val="none"/>
        </w:rPr>
        <w:t>stigma</w:t>
      </w:r>
      <w:proofErr w:type="gramEnd"/>
      <w:r>
        <w:rPr>
          <w:rFonts w:ascii="Arial" w:hAnsi="Arial" w:cs="Arial"/>
          <w:b w:val="0"/>
          <w:bCs/>
          <w:kern w:val="0"/>
          <w:sz w:val="22"/>
          <w:szCs w:val="22"/>
          <w14:ligatures w14:val="none"/>
        </w:rPr>
        <w:t xml:space="preserve"> and strengthening the right to treatment. The assertion in this case is that the validated diagnostic category enables the use of medication, mandated educational and occupational adjustments, and legal </w:t>
      </w:r>
      <w:r w:rsidR="00CB3520" w:rsidRPr="00CB3520">
        <w:rPr>
          <w:rFonts w:ascii="Arial" w:hAnsi="Arial" w:cs="Arial"/>
          <w:b w:val="0"/>
          <w:bCs/>
          <w:kern w:val="0"/>
          <w:sz w:val="22"/>
          <w:szCs w:val="22"/>
          <w14:ligatures w14:val="none"/>
        </w:rPr>
        <w:t>protections</w:t>
      </w:r>
      <w:r>
        <w:rPr>
          <w:rFonts w:ascii="Arial" w:hAnsi="Arial" w:cs="Arial"/>
          <w:b w:val="0"/>
          <w:bCs/>
          <w:kern w:val="0"/>
          <w:sz w:val="22"/>
          <w:szCs w:val="22"/>
          <w14:ligatures w14:val="none"/>
        </w:rPr>
        <w:t>, and that jeopardising ADHD’s status as a disorder will eliminate the process through which support is available. Thus, there is a real dilemma: the framing that the neurodiversity paradigm opposes is also the framing that enables support.</w:t>
      </w:r>
    </w:p>
    <w:p w14:paraId="460348CB" w14:textId="77777777" w:rsidR="00AB16F2" w:rsidRPr="00441E08" w:rsidRDefault="00AB16F2" w:rsidP="00441E08">
      <w:pPr>
        <w:spacing w:line="360" w:lineRule="auto"/>
        <w:rPr>
          <w:rFonts w:ascii="Arial" w:hAnsi="Arial" w:cs="Arial"/>
          <w:b w:val="0"/>
          <w:bCs/>
          <w:sz w:val="22"/>
          <w:szCs w:val="22"/>
        </w:rPr>
      </w:pPr>
    </w:p>
    <w:p w14:paraId="070C7EAC" w14:textId="10B38416" w:rsidR="00AB16F2"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ICD-11 may already have ceded some ground. Classifying ADHD as a neurodevelopmental disorder rather than a childhood behaviour disorder frames it as developmental rather than a behavioural or emotional problem, resulting in a more neurodiversity-friendly approach, while still using the word disorder (World Health Orga</w:t>
      </w:r>
      <w:r w:rsidR="00DF7E9B">
        <w:rPr>
          <w:rFonts w:ascii="Arial" w:hAnsi="Arial" w:cs="Arial"/>
          <w:b w:val="0"/>
          <w:bCs/>
          <w:kern w:val="0"/>
          <w:sz w:val="22"/>
          <w:szCs w:val="22"/>
          <w14:ligatures w14:val="none"/>
        </w:rPr>
        <w:t>niza</w:t>
      </w:r>
      <w:r>
        <w:rPr>
          <w:rFonts w:ascii="Arial" w:hAnsi="Arial" w:cs="Arial"/>
          <w:b w:val="0"/>
          <w:bCs/>
          <w:kern w:val="0"/>
          <w:sz w:val="22"/>
          <w:szCs w:val="22"/>
          <w14:ligatures w14:val="none"/>
        </w:rPr>
        <w:t xml:space="preserve">tion, 2025; </w:t>
      </w:r>
      <w:proofErr w:type="spellStart"/>
      <w:r>
        <w:rPr>
          <w:rFonts w:ascii="Arial" w:hAnsi="Arial" w:cs="Arial"/>
          <w:b w:val="0"/>
          <w:bCs/>
          <w:kern w:val="0"/>
          <w:sz w:val="22"/>
          <w:szCs w:val="22"/>
          <w14:ligatures w14:val="none"/>
        </w:rPr>
        <w:t>Doernberg</w:t>
      </w:r>
      <w:proofErr w:type="spellEnd"/>
      <w:r>
        <w:rPr>
          <w:rFonts w:ascii="Arial" w:hAnsi="Arial" w:cs="Arial"/>
          <w:b w:val="0"/>
          <w:bCs/>
          <w:kern w:val="0"/>
          <w:sz w:val="22"/>
          <w:szCs w:val="22"/>
          <w14:ligatures w14:val="none"/>
        </w:rPr>
        <w:t xml:space="preserve"> and Hollander, 2016). Therefore, the classification of ADHD falls between the two approaches and does not fully resolve the issue.</w:t>
      </w:r>
    </w:p>
    <w:p w14:paraId="056447AE" w14:textId="77777777" w:rsidR="00AB16F2" w:rsidRPr="00441E08" w:rsidRDefault="00AB16F2" w:rsidP="00441E08">
      <w:pPr>
        <w:spacing w:line="360" w:lineRule="auto"/>
        <w:rPr>
          <w:rFonts w:ascii="Arial" w:hAnsi="Arial" w:cs="Arial"/>
          <w:b w:val="0"/>
          <w:bCs/>
          <w:sz w:val="22"/>
          <w:szCs w:val="22"/>
        </w:rPr>
      </w:pPr>
    </w:p>
    <w:p w14:paraId="731EA4B7" w14:textId="6DC07E4C" w:rsidR="00AB16F2"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This part of the discussion is surprisingly relevant to treatment research. The study by </w:t>
      </w:r>
      <w:proofErr w:type="spellStart"/>
      <w:r>
        <w:rPr>
          <w:rFonts w:ascii="Arial" w:hAnsi="Arial" w:cs="Arial"/>
          <w:b w:val="0"/>
          <w:bCs/>
          <w:kern w:val="0"/>
          <w:sz w:val="22"/>
          <w:szCs w:val="22"/>
          <w14:ligatures w14:val="none"/>
        </w:rPr>
        <w:t>Ostinelli</w:t>
      </w:r>
      <w:proofErr w:type="spellEnd"/>
      <w:r>
        <w:rPr>
          <w:rFonts w:ascii="Arial" w:hAnsi="Arial" w:cs="Arial"/>
          <w:b w:val="0"/>
          <w:bCs/>
          <w:kern w:val="0"/>
          <w:sz w:val="22"/>
          <w:szCs w:val="22"/>
          <w14:ligatures w14:val="none"/>
        </w:rPr>
        <w:t xml:space="preserve"> et al. (2025) presents an interesting argument. Psychosocial and </w:t>
      </w:r>
      <w:proofErr w:type="spellStart"/>
      <w:r w:rsidR="006F76B4" w:rsidRPr="006F76B4">
        <w:rPr>
          <w:rFonts w:ascii="Arial" w:hAnsi="Arial" w:cs="Arial"/>
          <w:b w:val="0"/>
          <w:bCs/>
          <w:kern w:val="0"/>
          <w:sz w:val="22"/>
          <w:szCs w:val="22"/>
          <w14:ligatures w14:val="none"/>
        </w:rPr>
        <w:t>neurostimulatory</w:t>
      </w:r>
      <w:proofErr w:type="spellEnd"/>
      <w:r w:rsidR="006F76B4" w:rsidRPr="006F76B4">
        <w:rPr>
          <w:rFonts w:ascii="Arial" w:hAnsi="Arial" w:cs="Arial"/>
          <w:b w:val="0"/>
          <w:bCs/>
          <w:kern w:val="0"/>
          <w:sz w:val="22"/>
          <w:szCs w:val="22"/>
          <w14:ligatures w14:val="none"/>
        </w:rPr>
        <w:t xml:space="preserve"> interventions</w:t>
      </w:r>
      <w:r>
        <w:rPr>
          <w:rFonts w:ascii="Arial" w:hAnsi="Arial" w:cs="Arial"/>
          <w:b w:val="0"/>
          <w:bCs/>
          <w:kern w:val="0"/>
          <w:sz w:val="22"/>
          <w:szCs w:val="22"/>
          <w14:ligatures w14:val="none"/>
        </w:rPr>
        <w:t xml:space="preserve"> improved clinicians’ observations but did</w:t>
      </w:r>
      <w:r w:rsidR="006F76B4">
        <w:rPr>
          <w:rFonts w:ascii="Arial" w:hAnsi="Arial" w:cs="Arial"/>
          <w:b w:val="0"/>
          <w:bCs/>
          <w:kern w:val="0"/>
          <w:sz w:val="22"/>
          <w:szCs w:val="22"/>
          <w14:ligatures w14:val="none"/>
        </w:rPr>
        <w:t xml:space="preserve"> not</w:t>
      </w:r>
      <w:r>
        <w:rPr>
          <w:rFonts w:ascii="Arial" w:hAnsi="Arial" w:cs="Arial"/>
          <w:b w:val="0"/>
          <w:bCs/>
          <w:kern w:val="0"/>
          <w:sz w:val="22"/>
          <w:szCs w:val="22"/>
          <w14:ligatures w14:val="none"/>
        </w:rPr>
        <w:t xml:space="preserve"> affect self-observations. This raises the question of whose observations will be used to demonstrate that the therapy was beneficial. </w:t>
      </w:r>
      <w:r w:rsidR="00FF7C7C" w:rsidRPr="00FF7C7C">
        <w:rPr>
          <w:rFonts w:ascii="Arial" w:hAnsi="Arial" w:cs="Arial"/>
          <w:b w:val="0"/>
          <w:bCs/>
          <w:kern w:val="0"/>
          <w:sz w:val="22"/>
          <w:szCs w:val="22"/>
          <w14:ligatures w14:val="none"/>
        </w:rPr>
        <w:t>If improvement is measured largely by how far a person's behaviour approximates a non-divergent norm, then the outcome measures themselves embed the assumption under dispute.</w:t>
      </w:r>
    </w:p>
    <w:p w14:paraId="79A1FDC2" w14:textId="77777777" w:rsidR="00AB16F2" w:rsidRPr="00441E08" w:rsidRDefault="00AB16F2" w:rsidP="00441E08">
      <w:pPr>
        <w:spacing w:line="360" w:lineRule="auto"/>
        <w:rPr>
          <w:rFonts w:ascii="Arial" w:hAnsi="Arial" w:cs="Arial"/>
          <w:b w:val="0"/>
          <w:bCs/>
          <w:sz w:val="22"/>
          <w:szCs w:val="22"/>
        </w:rPr>
      </w:pPr>
    </w:p>
    <w:p w14:paraId="5690F04A" w14:textId="028656A3" w:rsidR="00AB16F2"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lastRenderedPageBreak/>
        <w:t xml:space="preserve">There are other relevant issues regarding demand and recognition. Song et al. (2021) found that adult persistent ADHD was 2.58%, while adult symptomatic ADHD was 6.76%. The gap is contested when discussing overdiagnosis. However, even with research on over-identification, systematic under-identification is evident. Young et al. (2020) show that </w:t>
      </w:r>
      <w:r w:rsidR="00853F95">
        <w:rPr>
          <w:rFonts w:ascii="Arial" w:hAnsi="Arial" w:cs="Arial"/>
          <w:b w:val="0"/>
          <w:bCs/>
          <w:kern w:val="0"/>
          <w:sz w:val="22"/>
          <w:szCs w:val="22"/>
          <w14:ligatures w14:val="none"/>
        </w:rPr>
        <w:t>girls and women</w:t>
      </w:r>
      <w:r>
        <w:rPr>
          <w:rFonts w:ascii="Arial" w:hAnsi="Arial" w:cs="Arial"/>
          <w:b w:val="0"/>
          <w:bCs/>
          <w:kern w:val="0"/>
          <w:sz w:val="22"/>
          <w:szCs w:val="22"/>
          <w14:ligatures w14:val="none"/>
        </w:rPr>
        <w:t xml:space="preserve"> are significantly under-recognised, while </w:t>
      </w:r>
      <w:r w:rsidR="004D47E6" w:rsidRPr="004D47E6">
        <w:rPr>
          <w:rFonts w:ascii="Arial" w:hAnsi="Arial" w:cs="Arial"/>
          <w:b w:val="0"/>
          <w:bCs/>
          <w:kern w:val="0"/>
          <w:sz w:val="22"/>
          <w:szCs w:val="22"/>
          <w14:ligatures w14:val="none"/>
        </w:rPr>
        <w:t>females are more likely to receive an alternative diagnosis first</w:t>
      </w:r>
      <w:r>
        <w:rPr>
          <w:rFonts w:ascii="Arial" w:hAnsi="Arial" w:cs="Arial"/>
          <w:b w:val="0"/>
          <w:bCs/>
          <w:kern w:val="0"/>
          <w:sz w:val="22"/>
          <w:szCs w:val="22"/>
          <w14:ligatures w14:val="none"/>
        </w:rPr>
        <w:t>.</w:t>
      </w:r>
    </w:p>
    <w:p w14:paraId="115F279E" w14:textId="77777777" w:rsidR="00AB16F2" w:rsidRPr="00441E08" w:rsidRDefault="00AB16F2" w:rsidP="00441E08">
      <w:pPr>
        <w:spacing w:line="360" w:lineRule="auto"/>
        <w:rPr>
          <w:rFonts w:ascii="Arial" w:hAnsi="Arial" w:cs="Arial"/>
          <w:b w:val="0"/>
          <w:bCs/>
          <w:sz w:val="22"/>
          <w:szCs w:val="22"/>
        </w:rPr>
      </w:pPr>
    </w:p>
    <w:p w14:paraId="0BC05C55" w14:textId="3BF328F0" w:rsidR="00AB16F2"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These discussions impact policy. The ADHD Independent Taskforce reported that the specialist, single-diagnosis model </w:t>
      </w:r>
      <w:r w:rsidR="00D84C3D">
        <w:rPr>
          <w:rFonts w:ascii="Arial" w:hAnsi="Arial" w:cs="Arial"/>
          <w:b w:val="0"/>
          <w:bCs/>
          <w:kern w:val="0"/>
          <w:sz w:val="22"/>
          <w:szCs w:val="22"/>
          <w14:ligatures w14:val="none"/>
        </w:rPr>
        <w:t xml:space="preserve">is </w:t>
      </w:r>
      <w:r w:rsidR="001472FA" w:rsidRPr="001472FA">
        <w:rPr>
          <w:rFonts w:ascii="Arial" w:hAnsi="Arial" w:cs="Arial"/>
          <w:b w:val="0"/>
          <w:bCs/>
          <w:kern w:val="0"/>
          <w:sz w:val="22"/>
          <w:szCs w:val="22"/>
          <w14:ligatures w14:val="none"/>
        </w:rPr>
        <w:t>unsustainable</w:t>
      </w:r>
      <w:r>
        <w:rPr>
          <w:rFonts w:ascii="Arial" w:hAnsi="Arial" w:cs="Arial"/>
          <w:b w:val="0"/>
          <w:bCs/>
          <w:kern w:val="0"/>
          <w:sz w:val="22"/>
          <w:szCs w:val="22"/>
          <w14:ligatures w14:val="none"/>
        </w:rPr>
        <w:t>, that the two-tier system of private and NHS access has created health inequities, and that the unmet need for ADHD costs the economy £17 billion every year, suggesting ADHD's impact extends beyond the NHS and requires collaboration across education, employment, and criminal justice systems (NHS England, 2025</w:t>
      </w:r>
      <w:r w:rsidR="00EE40D3">
        <w:rPr>
          <w:rFonts w:ascii="Arial" w:hAnsi="Arial" w:cs="Arial"/>
          <w:b w:val="0"/>
          <w:bCs/>
          <w:kern w:val="0"/>
          <w:sz w:val="22"/>
          <w:szCs w:val="22"/>
          <w14:ligatures w14:val="none"/>
        </w:rPr>
        <w:t>a</w:t>
      </w:r>
      <w:r>
        <w:rPr>
          <w:rFonts w:ascii="Arial" w:hAnsi="Arial" w:cs="Arial"/>
          <w:b w:val="0"/>
          <w:bCs/>
          <w:kern w:val="0"/>
          <w:sz w:val="22"/>
          <w:szCs w:val="22"/>
          <w14:ligatures w14:val="none"/>
        </w:rPr>
        <w:t>). The Taskforce published a second report later the same year (NHS England, 2025</w:t>
      </w:r>
      <w:r w:rsidR="00EE40D3">
        <w:rPr>
          <w:rFonts w:ascii="Arial" w:hAnsi="Arial" w:cs="Arial"/>
          <w:b w:val="0"/>
          <w:bCs/>
          <w:kern w:val="0"/>
          <w:sz w:val="22"/>
          <w:szCs w:val="22"/>
          <w14:ligatures w14:val="none"/>
        </w:rPr>
        <w:t>b</w:t>
      </w:r>
      <w:r>
        <w:rPr>
          <w:rFonts w:ascii="Arial" w:hAnsi="Arial" w:cs="Arial"/>
          <w:b w:val="0"/>
          <w:bCs/>
          <w:kern w:val="0"/>
          <w:sz w:val="22"/>
          <w:szCs w:val="22"/>
          <w14:ligatures w14:val="none"/>
        </w:rPr>
        <w:t>). This shift reflects greater alignment with a neurodivergence framework than with a solely medical framework.</w:t>
      </w:r>
    </w:p>
    <w:p w14:paraId="528139DE" w14:textId="77777777" w:rsidR="00AB16F2" w:rsidRPr="00441E08" w:rsidRDefault="00AB16F2" w:rsidP="00441E08">
      <w:pPr>
        <w:spacing w:line="360" w:lineRule="auto"/>
        <w:rPr>
          <w:rFonts w:ascii="Arial" w:hAnsi="Arial" w:cs="Arial"/>
          <w:b w:val="0"/>
          <w:bCs/>
          <w:sz w:val="22"/>
          <w:szCs w:val="22"/>
        </w:rPr>
      </w:pPr>
    </w:p>
    <w:p w14:paraId="09F327AC" w14:textId="336AE4F8" w:rsidR="00AB16F2" w:rsidRPr="00441E08" w:rsidRDefault="000D603F" w:rsidP="005E4202">
      <w:pPr>
        <w:pStyle w:val="Heading1"/>
      </w:pPr>
      <w:bookmarkStart w:id="4" w:name="_Toc237602962"/>
      <w:r w:rsidRPr="00441E08">
        <w:t>Recommendations</w:t>
      </w:r>
      <w:bookmarkEnd w:id="4"/>
    </w:p>
    <w:p w14:paraId="49FE2C50" w14:textId="77777777" w:rsidR="000D603F" w:rsidRPr="00441E08" w:rsidRDefault="000D603F" w:rsidP="00441E08">
      <w:pPr>
        <w:spacing w:line="360" w:lineRule="auto"/>
        <w:rPr>
          <w:rFonts w:ascii="Arial" w:hAnsi="Arial" w:cs="Arial"/>
          <w:b w:val="0"/>
          <w:bCs/>
          <w:sz w:val="22"/>
          <w:szCs w:val="22"/>
        </w:rPr>
      </w:pPr>
    </w:p>
    <w:p w14:paraId="448A1BD0" w14:textId="378821DA" w:rsidR="00BC2CC5"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First, the diagnostic category should remain unchanged, but the language used to describe it may be improved. </w:t>
      </w:r>
      <w:r w:rsidR="00C63F72" w:rsidRPr="00C63F72">
        <w:rPr>
          <w:rFonts w:ascii="Arial" w:hAnsi="Arial" w:cs="Arial"/>
          <w:b w:val="0"/>
          <w:bCs/>
          <w:kern w:val="0"/>
          <w:sz w:val="22"/>
          <w:szCs w:val="22"/>
          <w14:ligatures w14:val="none"/>
        </w:rPr>
        <w:t>Substituting condition for disorder where entitlement to support is unaffected would reduce the implication of individual dysfunction without dismantling the mechanism through which provision is accessed.</w:t>
      </w:r>
    </w:p>
    <w:p w14:paraId="0159C0D9" w14:textId="77777777" w:rsidR="00BC2CC5" w:rsidRPr="00441E08" w:rsidRDefault="00BC2CC5" w:rsidP="00441E08">
      <w:pPr>
        <w:spacing w:line="360" w:lineRule="auto"/>
        <w:rPr>
          <w:rFonts w:ascii="Arial" w:hAnsi="Arial" w:cs="Arial"/>
          <w:b w:val="0"/>
          <w:bCs/>
          <w:sz w:val="22"/>
          <w:szCs w:val="22"/>
        </w:rPr>
      </w:pPr>
    </w:p>
    <w:p w14:paraId="453B6748" w14:textId="0383D8FC" w:rsidR="00BC2CC5" w:rsidRDefault="004C6E05" w:rsidP="00441E08">
      <w:pPr>
        <w:spacing w:line="360" w:lineRule="auto"/>
        <w:rPr>
          <w:rFonts w:ascii="Arial" w:hAnsi="Arial" w:cs="Arial"/>
          <w:b w:val="0"/>
          <w:bCs/>
          <w:kern w:val="0"/>
          <w:sz w:val="22"/>
          <w:szCs w:val="22"/>
          <w14:ligatures w14:val="none"/>
        </w:rPr>
      </w:pPr>
      <w:r w:rsidRPr="004C6E05">
        <w:rPr>
          <w:rFonts w:ascii="Arial" w:hAnsi="Arial" w:cs="Arial"/>
          <w:b w:val="0"/>
          <w:bCs/>
          <w:kern w:val="0"/>
          <w:sz w:val="22"/>
          <w:szCs w:val="22"/>
          <w14:ligatures w14:val="none"/>
        </w:rPr>
        <w:t xml:space="preserve">Second, diagnostic capacity should be widened. The requirement under NG87 that diagnosis be made only by a specialist (National Institute for Health and Care Excellence, 2019) protects diagnostic quality, but contributes to waits </w:t>
      </w:r>
      <w:proofErr w:type="gramStart"/>
      <w:r w:rsidRPr="004C6E05">
        <w:rPr>
          <w:rFonts w:ascii="Arial" w:hAnsi="Arial" w:cs="Arial"/>
          <w:b w:val="0"/>
          <w:bCs/>
          <w:kern w:val="0"/>
          <w:sz w:val="22"/>
          <w:szCs w:val="22"/>
          <w14:ligatures w14:val="none"/>
        </w:rPr>
        <w:t>exceeding</w:t>
      </w:r>
      <w:proofErr w:type="gramEnd"/>
      <w:r w:rsidRPr="004C6E05">
        <w:rPr>
          <w:rFonts w:ascii="Arial" w:hAnsi="Arial" w:cs="Arial"/>
          <w:b w:val="0"/>
          <w:bCs/>
          <w:kern w:val="0"/>
          <w:sz w:val="22"/>
          <w:szCs w:val="22"/>
          <w14:ligatures w14:val="none"/>
        </w:rPr>
        <w:t xml:space="preserve"> eight years for adults (NHS England, 2025a). Extending assessment to trained and supervised practitioners within a shared-care framework would address this without abandoning safeguards.</w:t>
      </w:r>
    </w:p>
    <w:p w14:paraId="3C28FDEB" w14:textId="77777777" w:rsidR="004C6E05" w:rsidRPr="00441E08" w:rsidRDefault="004C6E05" w:rsidP="00441E08">
      <w:pPr>
        <w:spacing w:line="360" w:lineRule="auto"/>
        <w:rPr>
          <w:rFonts w:ascii="Arial" w:hAnsi="Arial" w:cs="Arial"/>
          <w:b w:val="0"/>
          <w:bCs/>
          <w:sz w:val="22"/>
          <w:szCs w:val="22"/>
        </w:rPr>
      </w:pPr>
    </w:p>
    <w:p w14:paraId="12F6203B" w14:textId="40A1F937" w:rsidR="00BC2CC5" w:rsidRPr="00441E08" w:rsidRDefault="00BC2CC5" w:rsidP="00441E08">
      <w:pPr>
        <w:spacing w:line="360" w:lineRule="auto"/>
        <w:rPr>
          <w:rFonts w:ascii="Arial" w:hAnsi="Arial" w:cs="Arial"/>
          <w:b w:val="0"/>
          <w:bCs/>
          <w:sz w:val="22"/>
          <w:szCs w:val="22"/>
        </w:rPr>
      </w:pPr>
      <w:r w:rsidRPr="00441E08">
        <w:rPr>
          <w:rFonts w:ascii="Arial" w:hAnsi="Arial" w:cs="Arial"/>
          <w:b w:val="0"/>
          <w:bCs/>
          <w:sz w:val="22"/>
          <w:szCs w:val="22"/>
        </w:rPr>
        <w:t>Third, there should be greater collaboration amongst the different service sectors. The Taskforce</w:t>
      </w:r>
      <w:r w:rsidR="005E4202">
        <w:rPr>
          <w:rFonts w:ascii="Arial" w:hAnsi="Arial" w:cs="Arial"/>
          <w:b w:val="0"/>
          <w:bCs/>
          <w:sz w:val="22"/>
          <w:szCs w:val="22"/>
        </w:rPr>
        <w:t xml:space="preserve"> report</w:t>
      </w:r>
      <w:r w:rsidRPr="00441E08">
        <w:rPr>
          <w:rFonts w:ascii="Arial" w:hAnsi="Arial" w:cs="Arial"/>
          <w:b w:val="0"/>
          <w:bCs/>
          <w:sz w:val="22"/>
          <w:szCs w:val="22"/>
        </w:rPr>
        <w:t xml:space="preserve"> concluded that ADHD goes beyond the responsibility of the NHS (NHS England, 2025a), </w:t>
      </w:r>
      <w:r w:rsidR="005E4202">
        <w:rPr>
          <w:rFonts w:ascii="Arial" w:hAnsi="Arial" w:cs="Arial"/>
          <w:b w:val="0"/>
          <w:bCs/>
          <w:sz w:val="22"/>
          <w:szCs w:val="22"/>
        </w:rPr>
        <w:t>requiring</w:t>
      </w:r>
      <w:r w:rsidRPr="00441E08">
        <w:rPr>
          <w:rFonts w:ascii="Arial" w:hAnsi="Arial" w:cs="Arial"/>
          <w:b w:val="0"/>
          <w:bCs/>
          <w:sz w:val="22"/>
          <w:szCs w:val="22"/>
        </w:rPr>
        <w:t xml:space="preserve"> collaboration from education, employment, and justice services.</w:t>
      </w:r>
    </w:p>
    <w:p w14:paraId="073F4091" w14:textId="77777777" w:rsidR="00BC2CC5" w:rsidRPr="00441E08" w:rsidRDefault="00BC2CC5" w:rsidP="00441E08">
      <w:pPr>
        <w:spacing w:line="360" w:lineRule="auto"/>
        <w:rPr>
          <w:rFonts w:ascii="Arial" w:hAnsi="Arial" w:cs="Arial"/>
          <w:b w:val="0"/>
          <w:bCs/>
          <w:sz w:val="22"/>
          <w:szCs w:val="22"/>
        </w:rPr>
      </w:pPr>
    </w:p>
    <w:p w14:paraId="209CB8F2" w14:textId="041AD636" w:rsidR="00BC2CC5" w:rsidRPr="00441E08" w:rsidRDefault="00BC2CC5" w:rsidP="00441E08">
      <w:pPr>
        <w:spacing w:line="360" w:lineRule="auto"/>
        <w:rPr>
          <w:rFonts w:ascii="Arial" w:hAnsi="Arial" w:cs="Arial"/>
          <w:b w:val="0"/>
          <w:bCs/>
          <w:sz w:val="22"/>
          <w:szCs w:val="22"/>
        </w:rPr>
      </w:pPr>
      <w:r w:rsidRPr="00441E08">
        <w:rPr>
          <w:rFonts w:ascii="Arial" w:hAnsi="Arial" w:cs="Arial"/>
          <w:b w:val="0"/>
          <w:bCs/>
          <w:sz w:val="22"/>
          <w:szCs w:val="22"/>
        </w:rPr>
        <w:t xml:space="preserve">Fourth, the identification of girls and women should be improved, </w:t>
      </w:r>
      <w:r w:rsidR="005E4202">
        <w:rPr>
          <w:rFonts w:ascii="Arial" w:hAnsi="Arial" w:cs="Arial"/>
          <w:b w:val="0"/>
          <w:bCs/>
          <w:sz w:val="22"/>
          <w:szCs w:val="22"/>
        </w:rPr>
        <w:t>as</w:t>
      </w:r>
      <w:r w:rsidRPr="00441E08">
        <w:rPr>
          <w:rFonts w:ascii="Arial" w:hAnsi="Arial" w:cs="Arial"/>
          <w:b w:val="0"/>
          <w:bCs/>
          <w:sz w:val="22"/>
          <w:szCs w:val="22"/>
        </w:rPr>
        <w:t xml:space="preserve"> the disparity </w:t>
      </w:r>
      <w:r w:rsidR="005E4202">
        <w:rPr>
          <w:rFonts w:ascii="Arial" w:hAnsi="Arial" w:cs="Arial"/>
          <w:b w:val="0"/>
          <w:bCs/>
          <w:sz w:val="22"/>
          <w:szCs w:val="22"/>
        </w:rPr>
        <w:t>report</w:t>
      </w:r>
      <w:r w:rsidRPr="00441E08">
        <w:rPr>
          <w:rFonts w:ascii="Arial" w:hAnsi="Arial" w:cs="Arial"/>
          <w:b w:val="0"/>
          <w:bCs/>
          <w:sz w:val="22"/>
          <w:szCs w:val="22"/>
        </w:rPr>
        <w:t>ed by Young et al. (2020) shows that girls and women are significantly under-referred.</w:t>
      </w:r>
    </w:p>
    <w:p w14:paraId="376FCD38" w14:textId="77777777" w:rsidR="00BC2CC5" w:rsidRPr="00441E08" w:rsidRDefault="00BC2CC5" w:rsidP="00441E08">
      <w:pPr>
        <w:spacing w:line="360" w:lineRule="auto"/>
        <w:rPr>
          <w:rFonts w:ascii="Arial" w:hAnsi="Arial" w:cs="Arial"/>
          <w:b w:val="0"/>
          <w:bCs/>
          <w:sz w:val="22"/>
          <w:szCs w:val="22"/>
        </w:rPr>
      </w:pPr>
    </w:p>
    <w:p w14:paraId="354DC1DE" w14:textId="73158F30" w:rsidR="000D603F" w:rsidRPr="00441E08" w:rsidRDefault="00BC2CC5" w:rsidP="00441E08">
      <w:pPr>
        <w:spacing w:line="360" w:lineRule="auto"/>
        <w:rPr>
          <w:rFonts w:ascii="Arial" w:hAnsi="Arial" w:cs="Arial"/>
          <w:b w:val="0"/>
          <w:bCs/>
          <w:sz w:val="22"/>
          <w:szCs w:val="22"/>
        </w:rPr>
      </w:pPr>
      <w:r w:rsidRPr="00441E08">
        <w:rPr>
          <w:rFonts w:ascii="Arial" w:hAnsi="Arial" w:cs="Arial"/>
          <w:b w:val="0"/>
          <w:bCs/>
          <w:sz w:val="22"/>
          <w:szCs w:val="22"/>
        </w:rPr>
        <w:t xml:space="preserve">Fifth and finally, future research should report both clinician- and self-reported outcomes. This is because divergence </w:t>
      </w:r>
      <w:r w:rsidR="005E4202">
        <w:rPr>
          <w:rFonts w:ascii="Arial" w:hAnsi="Arial" w:cs="Arial"/>
          <w:b w:val="0"/>
          <w:bCs/>
          <w:sz w:val="22"/>
          <w:szCs w:val="22"/>
        </w:rPr>
        <w:t>betwee</w:t>
      </w:r>
      <w:r w:rsidRPr="00441E08">
        <w:rPr>
          <w:rFonts w:ascii="Arial" w:hAnsi="Arial" w:cs="Arial"/>
          <w:b w:val="0"/>
          <w:bCs/>
          <w:sz w:val="22"/>
          <w:szCs w:val="22"/>
        </w:rPr>
        <w:t xml:space="preserve">n the two types of outcomes, as evidenced by </w:t>
      </w:r>
      <w:proofErr w:type="spellStart"/>
      <w:r w:rsidRPr="00441E08">
        <w:rPr>
          <w:rFonts w:ascii="Arial" w:hAnsi="Arial" w:cs="Arial"/>
          <w:b w:val="0"/>
          <w:bCs/>
          <w:sz w:val="22"/>
          <w:szCs w:val="22"/>
        </w:rPr>
        <w:t>Ostinelli</w:t>
      </w:r>
      <w:proofErr w:type="spellEnd"/>
      <w:r w:rsidRPr="00441E08">
        <w:rPr>
          <w:rFonts w:ascii="Arial" w:hAnsi="Arial" w:cs="Arial"/>
          <w:b w:val="0"/>
          <w:bCs/>
          <w:sz w:val="22"/>
          <w:szCs w:val="22"/>
        </w:rPr>
        <w:t xml:space="preserve"> et al. (2025), may indicate that the</w:t>
      </w:r>
      <w:r w:rsidR="005E4202">
        <w:rPr>
          <w:rFonts w:ascii="Arial" w:hAnsi="Arial" w:cs="Arial"/>
          <w:b w:val="0"/>
          <w:bCs/>
          <w:sz w:val="22"/>
          <w:szCs w:val="22"/>
        </w:rPr>
        <w:t>y</w:t>
      </w:r>
      <w:r w:rsidRPr="00441E08">
        <w:rPr>
          <w:rFonts w:ascii="Arial" w:hAnsi="Arial" w:cs="Arial"/>
          <w:b w:val="0"/>
          <w:bCs/>
          <w:sz w:val="22"/>
          <w:szCs w:val="22"/>
        </w:rPr>
        <w:t xml:space="preserve"> are assessing different things.</w:t>
      </w:r>
    </w:p>
    <w:p w14:paraId="052952AD" w14:textId="77777777" w:rsidR="00BC2CC5" w:rsidRPr="00441E08" w:rsidRDefault="00BC2CC5" w:rsidP="00441E08">
      <w:pPr>
        <w:spacing w:line="360" w:lineRule="auto"/>
        <w:rPr>
          <w:rFonts w:ascii="Arial" w:hAnsi="Arial" w:cs="Arial"/>
          <w:b w:val="0"/>
          <w:bCs/>
          <w:sz w:val="22"/>
          <w:szCs w:val="22"/>
        </w:rPr>
      </w:pPr>
    </w:p>
    <w:p w14:paraId="728ED04B" w14:textId="23920C58" w:rsidR="00BC2CC5" w:rsidRPr="00441E08" w:rsidRDefault="00BC2CC5" w:rsidP="005E4202">
      <w:pPr>
        <w:pStyle w:val="Heading1"/>
      </w:pPr>
      <w:bookmarkStart w:id="5" w:name="_Toc237602963"/>
      <w:r w:rsidRPr="00441E08">
        <w:t>Conclusion</w:t>
      </w:r>
      <w:bookmarkEnd w:id="5"/>
    </w:p>
    <w:p w14:paraId="000986BA" w14:textId="77777777" w:rsidR="00BC2CC5" w:rsidRPr="00441E08" w:rsidRDefault="00BC2CC5" w:rsidP="00441E08">
      <w:pPr>
        <w:spacing w:line="360" w:lineRule="auto"/>
        <w:rPr>
          <w:rFonts w:ascii="Arial" w:hAnsi="Arial" w:cs="Arial"/>
          <w:b w:val="0"/>
          <w:bCs/>
          <w:sz w:val="22"/>
          <w:szCs w:val="22"/>
        </w:rPr>
      </w:pPr>
    </w:p>
    <w:p w14:paraId="0925AE1B" w14:textId="65672263" w:rsidR="00BC2CC5" w:rsidRPr="00441E08" w:rsidRDefault="005E4202" w:rsidP="00441E0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For ICD-11, the positioning of ADHD is complex. A shift in position reflects a shift in how we understand and conceptualise ADHD. Retaining the word ‘disorder’ continues to leave the field divided. There is evidence supporting the use of pharmacological interventions for the treatment of ADHD; however, constrained access means the burden of the intervention still falls heavily on the person suffering. </w:t>
      </w:r>
      <w:r w:rsidR="00C63F72" w:rsidRPr="00C63F72">
        <w:rPr>
          <w:rFonts w:ascii="Arial" w:hAnsi="Arial" w:cs="Arial"/>
          <w:b w:val="0"/>
          <w:bCs/>
          <w:kern w:val="0"/>
          <w:sz w:val="22"/>
          <w:szCs w:val="22"/>
          <w14:ligatures w14:val="none"/>
        </w:rPr>
        <w:t>The central issue is therefore not whether ADHD is real, which the evidence establishes, but whether the framework used to classify it adequately reflects what is currently understood about neurodevelopmental difference.</w:t>
      </w:r>
    </w:p>
    <w:p w14:paraId="3788B0B3" w14:textId="77777777" w:rsidR="00FC530A" w:rsidRPr="00441E08" w:rsidRDefault="00FC530A" w:rsidP="00441E08">
      <w:pPr>
        <w:spacing w:line="360" w:lineRule="auto"/>
        <w:rPr>
          <w:rFonts w:ascii="Arial" w:hAnsi="Arial" w:cs="Arial"/>
          <w:b w:val="0"/>
          <w:bCs/>
          <w:sz w:val="22"/>
          <w:szCs w:val="22"/>
        </w:rPr>
      </w:pPr>
    </w:p>
    <w:p w14:paraId="5081BFA9" w14:textId="77777777" w:rsidR="00441E08" w:rsidRPr="00441E08" w:rsidRDefault="00441E08" w:rsidP="00441E08">
      <w:pPr>
        <w:spacing w:line="360" w:lineRule="auto"/>
        <w:rPr>
          <w:rFonts w:ascii="Arial" w:hAnsi="Arial" w:cs="Arial"/>
          <w:b w:val="0"/>
          <w:bCs/>
          <w:sz w:val="22"/>
          <w:szCs w:val="22"/>
        </w:rPr>
      </w:pPr>
      <w:r w:rsidRPr="00441E08">
        <w:rPr>
          <w:rFonts w:ascii="Arial" w:hAnsi="Arial" w:cs="Arial"/>
          <w:b w:val="0"/>
          <w:bCs/>
          <w:sz w:val="22"/>
          <w:szCs w:val="22"/>
        </w:rPr>
        <w:br w:type="page"/>
      </w:r>
    </w:p>
    <w:p w14:paraId="30E03CA2" w14:textId="4DCD1A96" w:rsidR="00FC530A" w:rsidRPr="00441E08" w:rsidRDefault="00FC530A" w:rsidP="00441E08">
      <w:pPr>
        <w:spacing w:line="360" w:lineRule="auto"/>
        <w:rPr>
          <w:rFonts w:ascii="Arial" w:hAnsi="Arial" w:cs="Arial"/>
          <w:b w:val="0"/>
          <w:bCs/>
          <w:sz w:val="22"/>
          <w:szCs w:val="22"/>
        </w:rPr>
      </w:pPr>
      <w:r w:rsidRPr="00441E08">
        <w:rPr>
          <w:rFonts w:ascii="Arial" w:hAnsi="Arial" w:cs="Arial"/>
          <w:b w:val="0"/>
          <w:bCs/>
          <w:sz w:val="22"/>
          <w:szCs w:val="22"/>
        </w:rPr>
        <w:lastRenderedPageBreak/>
        <w:t>Reference List</w:t>
      </w:r>
    </w:p>
    <w:p w14:paraId="714AB8EB" w14:textId="77777777" w:rsidR="00FC530A" w:rsidRPr="00441E08" w:rsidRDefault="00FC530A" w:rsidP="00441E08">
      <w:pPr>
        <w:spacing w:line="360" w:lineRule="auto"/>
        <w:rPr>
          <w:rFonts w:ascii="Arial" w:hAnsi="Arial" w:cs="Arial"/>
          <w:b w:val="0"/>
          <w:bCs/>
          <w:sz w:val="22"/>
          <w:szCs w:val="22"/>
        </w:rPr>
      </w:pPr>
    </w:p>
    <w:p w14:paraId="1BC5B1BC" w14:textId="363A5982"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t xml:space="preserve">Chapman, R. and Botha, M. (2023) 'Neurodivergence-informed therapy', </w:t>
      </w:r>
      <w:r w:rsidRPr="00FC530A">
        <w:rPr>
          <w:rFonts w:ascii="Arial" w:hAnsi="Arial" w:cs="Arial"/>
          <w:b w:val="0"/>
          <w:bCs/>
          <w:i/>
          <w:iCs/>
          <w:sz w:val="22"/>
          <w:szCs w:val="22"/>
        </w:rPr>
        <w:t>Developmental Medicine &amp; Child Neurology</w:t>
      </w:r>
      <w:r w:rsidRPr="00FC530A">
        <w:rPr>
          <w:rFonts w:ascii="Arial" w:hAnsi="Arial" w:cs="Arial"/>
          <w:b w:val="0"/>
          <w:bCs/>
          <w:sz w:val="22"/>
          <w:szCs w:val="22"/>
        </w:rPr>
        <w:t>, 65(3), pp. 310</w:t>
      </w:r>
      <w:r w:rsidR="009D0062" w:rsidRPr="00441E08">
        <w:rPr>
          <w:rFonts w:ascii="Arial" w:hAnsi="Arial" w:cs="Arial"/>
          <w:b w:val="0"/>
          <w:bCs/>
          <w:sz w:val="22"/>
          <w:szCs w:val="22"/>
        </w:rPr>
        <w:t>-</w:t>
      </w:r>
      <w:r w:rsidRPr="00FC530A">
        <w:rPr>
          <w:rFonts w:ascii="Arial" w:hAnsi="Arial" w:cs="Arial"/>
          <w:b w:val="0"/>
          <w:bCs/>
          <w:sz w:val="22"/>
          <w:szCs w:val="22"/>
        </w:rPr>
        <w:t xml:space="preserve">317.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10.1111/dmcn.15384.</w:t>
      </w:r>
    </w:p>
    <w:p w14:paraId="2FA1722D" w14:textId="77777777" w:rsidR="00FC530A" w:rsidRPr="00441E08" w:rsidRDefault="00FC530A" w:rsidP="00441E08">
      <w:pPr>
        <w:spacing w:line="360" w:lineRule="auto"/>
        <w:rPr>
          <w:rFonts w:ascii="Arial" w:hAnsi="Arial" w:cs="Arial"/>
          <w:b w:val="0"/>
          <w:bCs/>
          <w:sz w:val="22"/>
          <w:szCs w:val="22"/>
        </w:rPr>
      </w:pPr>
    </w:p>
    <w:p w14:paraId="0A4029C7" w14:textId="4FFCCAD7"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t xml:space="preserve">Cortese, S. et al. (2018) 'Comparative efficacy and tolerability of medications for attention-deficit hyperactivity disorder in children, adolescents, and adults: a systematic review and network meta-analysis', </w:t>
      </w:r>
      <w:r w:rsidRPr="00FC530A">
        <w:rPr>
          <w:rFonts w:ascii="Arial" w:hAnsi="Arial" w:cs="Arial"/>
          <w:b w:val="0"/>
          <w:bCs/>
          <w:i/>
          <w:iCs/>
          <w:sz w:val="22"/>
          <w:szCs w:val="22"/>
        </w:rPr>
        <w:t>The Lancet Psychiatry</w:t>
      </w:r>
      <w:r w:rsidRPr="00FC530A">
        <w:rPr>
          <w:rFonts w:ascii="Arial" w:hAnsi="Arial" w:cs="Arial"/>
          <w:b w:val="0"/>
          <w:bCs/>
          <w:sz w:val="22"/>
          <w:szCs w:val="22"/>
        </w:rPr>
        <w:t>, 5(9), pp. 727</w:t>
      </w:r>
      <w:r w:rsidR="009D0062" w:rsidRPr="00441E08">
        <w:rPr>
          <w:rFonts w:ascii="Arial" w:hAnsi="Arial" w:cs="Arial"/>
          <w:b w:val="0"/>
          <w:bCs/>
          <w:sz w:val="22"/>
          <w:szCs w:val="22"/>
        </w:rPr>
        <w:t>-</w:t>
      </w:r>
      <w:r w:rsidRPr="00FC530A">
        <w:rPr>
          <w:rFonts w:ascii="Arial" w:hAnsi="Arial" w:cs="Arial"/>
          <w:b w:val="0"/>
          <w:bCs/>
          <w:sz w:val="22"/>
          <w:szCs w:val="22"/>
        </w:rPr>
        <w:t xml:space="preserve">738.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10.1016/S2215-0366(18)30269-4.</w:t>
      </w:r>
    </w:p>
    <w:p w14:paraId="7F0AB8F8" w14:textId="77777777" w:rsidR="00FC530A" w:rsidRPr="00441E08" w:rsidRDefault="00FC530A" w:rsidP="00441E08">
      <w:pPr>
        <w:spacing w:line="360" w:lineRule="auto"/>
        <w:rPr>
          <w:rFonts w:ascii="Arial" w:hAnsi="Arial" w:cs="Arial"/>
          <w:b w:val="0"/>
          <w:bCs/>
          <w:sz w:val="22"/>
          <w:szCs w:val="22"/>
        </w:rPr>
      </w:pPr>
    </w:p>
    <w:p w14:paraId="5A8F7EC6" w14:textId="50651491" w:rsidR="00FC530A" w:rsidRPr="00FC530A" w:rsidRDefault="00FC530A" w:rsidP="00441E08">
      <w:pPr>
        <w:spacing w:line="360" w:lineRule="auto"/>
        <w:rPr>
          <w:rFonts w:ascii="Arial" w:hAnsi="Arial" w:cs="Arial"/>
          <w:b w:val="0"/>
          <w:bCs/>
          <w:sz w:val="22"/>
          <w:szCs w:val="22"/>
        </w:rPr>
      </w:pPr>
      <w:proofErr w:type="spellStart"/>
      <w:r w:rsidRPr="00FC530A">
        <w:rPr>
          <w:rFonts w:ascii="Arial" w:hAnsi="Arial" w:cs="Arial"/>
          <w:b w:val="0"/>
          <w:bCs/>
          <w:sz w:val="22"/>
          <w:szCs w:val="22"/>
        </w:rPr>
        <w:t>Doernberg</w:t>
      </w:r>
      <w:proofErr w:type="spellEnd"/>
      <w:r w:rsidRPr="00FC530A">
        <w:rPr>
          <w:rFonts w:ascii="Arial" w:hAnsi="Arial" w:cs="Arial"/>
          <w:b w:val="0"/>
          <w:bCs/>
          <w:sz w:val="22"/>
          <w:szCs w:val="22"/>
        </w:rPr>
        <w:t xml:space="preserve">, E. and Hollander, E. (2016) 'Neurodevelopmental disorders (ASD and ADHD): DSM-5, ICD-10, and ICD-11', </w:t>
      </w:r>
      <w:r w:rsidRPr="00FC530A">
        <w:rPr>
          <w:rFonts w:ascii="Arial" w:hAnsi="Arial" w:cs="Arial"/>
          <w:b w:val="0"/>
          <w:bCs/>
          <w:i/>
          <w:iCs/>
          <w:sz w:val="22"/>
          <w:szCs w:val="22"/>
        </w:rPr>
        <w:t>CNS Spectrums</w:t>
      </w:r>
      <w:r w:rsidRPr="00FC530A">
        <w:rPr>
          <w:rFonts w:ascii="Arial" w:hAnsi="Arial" w:cs="Arial"/>
          <w:b w:val="0"/>
          <w:bCs/>
          <w:sz w:val="22"/>
          <w:szCs w:val="22"/>
        </w:rPr>
        <w:t>, 21(4), pp. 295</w:t>
      </w:r>
      <w:r w:rsidR="009D0062" w:rsidRPr="00441E08">
        <w:rPr>
          <w:rFonts w:ascii="Arial" w:hAnsi="Arial" w:cs="Arial"/>
          <w:b w:val="0"/>
          <w:bCs/>
          <w:sz w:val="22"/>
          <w:szCs w:val="22"/>
        </w:rPr>
        <w:t>-</w:t>
      </w:r>
      <w:r w:rsidRPr="00FC530A">
        <w:rPr>
          <w:rFonts w:ascii="Arial" w:hAnsi="Arial" w:cs="Arial"/>
          <w:b w:val="0"/>
          <w:bCs/>
          <w:sz w:val="22"/>
          <w:szCs w:val="22"/>
        </w:rPr>
        <w:t xml:space="preserve">299.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10.1017/S1092852916000262.</w:t>
      </w:r>
    </w:p>
    <w:p w14:paraId="5D3ACD1A" w14:textId="77777777" w:rsidR="00FC530A" w:rsidRPr="00441E08" w:rsidRDefault="00FC530A" w:rsidP="00441E08">
      <w:pPr>
        <w:spacing w:line="360" w:lineRule="auto"/>
        <w:rPr>
          <w:rFonts w:ascii="Arial" w:hAnsi="Arial" w:cs="Arial"/>
          <w:b w:val="0"/>
          <w:bCs/>
          <w:sz w:val="22"/>
          <w:szCs w:val="22"/>
        </w:rPr>
      </w:pPr>
    </w:p>
    <w:p w14:paraId="4DFF56B5" w14:textId="45ABFBE6" w:rsidR="00FC530A" w:rsidRPr="00FC530A" w:rsidRDefault="00FC530A" w:rsidP="00441E08">
      <w:pPr>
        <w:spacing w:line="360" w:lineRule="auto"/>
        <w:rPr>
          <w:rFonts w:ascii="Arial" w:hAnsi="Arial" w:cs="Arial"/>
          <w:b w:val="0"/>
          <w:bCs/>
          <w:sz w:val="22"/>
          <w:szCs w:val="22"/>
        </w:rPr>
      </w:pPr>
      <w:proofErr w:type="spellStart"/>
      <w:r w:rsidRPr="00FC530A">
        <w:rPr>
          <w:rFonts w:ascii="Arial" w:hAnsi="Arial" w:cs="Arial"/>
          <w:b w:val="0"/>
          <w:bCs/>
          <w:sz w:val="22"/>
          <w:szCs w:val="22"/>
        </w:rPr>
        <w:t>Faraone</w:t>
      </w:r>
      <w:proofErr w:type="spellEnd"/>
      <w:r w:rsidRPr="00FC530A">
        <w:rPr>
          <w:rFonts w:ascii="Arial" w:hAnsi="Arial" w:cs="Arial"/>
          <w:b w:val="0"/>
          <w:bCs/>
          <w:sz w:val="22"/>
          <w:szCs w:val="22"/>
        </w:rPr>
        <w:t xml:space="preserve">, S.V. et al. (2021) 'The World Federation of ADHD International Consensus Statement: 208 evidence-based conclusions about the disorder', </w:t>
      </w:r>
      <w:r w:rsidRPr="00FC530A">
        <w:rPr>
          <w:rFonts w:ascii="Arial" w:hAnsi="Arial" w:cs="Arial"/>
          <w:b w:val="0"/>
          <w:bCs/>
          <w:i/>
          <w:iCs/>
          <w:sz w:val="22"/>
          <w:szCs w:val="22"/>
        </w:rPr>
        <w:t xml:space="preserve">Neuroscience &amp; </w:t>
      </w:r>
      <w:proofErr w:type="spellStart"/>
      <w:r w:rsidRPr="00FC530A">
        <w:rPr>
          <w:rFonts w:ascii="Arial" w:hAnsi="Arial" w:cs="Arial"/>
          <w:b w:val="0"/>
          <w:bCs/>
          <w:i/>
          <w:iCs/>
          <w:sz w:val="22"/>
          <w:szCs w:val="22"/>
        </w:rPr>
        <w:t>Biobehavioral</w:t>
      </w:r>
      <w:proofErr w:type="spellEnd"/>
      <w:r w:rsidRPr="00FC530A">
        <w:rPr>
          <w:rFonts w:ascii="Arial" w:hAnsi="Arial" w:cs="Arial"/>
          <w:b w:val="0"/>
          <w:bCs/>
          <w:i/>
          <w:iCs/>
          <w:sz w:val="22"/>
          <w:szCs w:val="22"/>
        </w:rPr>
        <w:t xml:space="preserve"> Reviews</w:t>
      </w:r>
      <w:r w:rsidRPr="00FC530A">
        <w:rPr>
          <w:rFonts w:ascii="Arial" w:hAnsi="Arial" w:cs="Arial"/>
          <w:b w:val="0"/>
          <w:bCs/>
          <w:sz w:val="22"/>
          <w:szCs w:val="22"/>
        </w:rPr>
        <w:t>, 128, pp. 789</w:t>
      </w:r>
      <w:r w:rsidR="009D0062" w:rsidRPr="00441E08">
        <w:rPr>
          <w:rFonts w:ascii="Arial" w:hAnsi="Arial" w:cs="Arial"/>
          <w:b w:val="0"/>
          <w:bCs/>
          <w:sz w:val="22"/>
          <w:szCs w:val="22"/>
        </w:rPr>
        <w:t>-</w:t>
      </w:r>
      <w:r w:rsidRPr="00FC530A">
        <w:rPr>
          <w:rFonts w:ascii="Arial" w:hAnsi="Arial" w:cs="Arial"/>
          <w:b w:val="0"/>
          <w:bCs/>
          <w:sz w:val="22"/>
          <w:szCs w:val="22"/>
        </w:rPr>
        <w:t xml:space="preserve">818.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10.1016/j.neubiorev.2021.01.022.</w:t>
      </w:r>
    </w:p>
    <w:p w14:paraId="32A50943" w14:textId="77777777" w:rsidR="00FC530A" w:rsidRPr="00441E08" w:rsidRDefault="00FC530A" w:rsidP="00441E08">
      <w:pPr>
        <w:spacing w:line="360" w:lineRule="auto"/>
        <w:rPr>
          <w:rFonts w:ascii="Arial" w:hAnsi="Arial" w:cs="Arial"/>
          <w:b w:val="0"/>
          <w:bCs/>
          <w:sz w:val="22"/>
          <w:szCs w:val="22"/>
        </w:rPr>
      </w:pPr>
    </w:p>
    <w:p w14:paraId="57AE435B" w14:textId="2B18C749"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t xml:space="preserve">National Institute for Health and Care Excellence (2019) </w:t>
      </w:r>
      <w:proofErr w:type="gramStart"/>
      <w:r w:rsidRPr="00FC530A">
        <w:rPr>
          <w:rFonts w:ascii="Arial" w:hAnsi="Arial" w:cs="Arial"/>
          <w:b w:val="0"/>
          <w:bCs/>
          <w:i/>
          <w:iCs/>
          <w:sz w:val="22"/>
          <w:szCs w:val="22"/>
        </w:rPr>
        <w:t>Attention deficit hyperactivity disorder</w:t>
      </w:r>
      <w:proofErr w:type="gramEnd"/>
      <w:r w:rsidRPr="00FC530A">
        <w:rPr>
          <w:rFonts w:ascii="Arial" w:hAnsi="Arial" w:cs="Arial"/>
          <w:b w:val="0"/>
          <w:bCs/>
          <w:i/>
          <w:iCs/>
          <w:sz w:val="22"/>
          <w:szCs w:val="22"/>
        </w:rPr>
        <w:t>: diagnosis and management</w:t>
      </w:r>
      <w:r w:rsidRPr="00FC530A">
        <w:rPr>
          <w:rFonts w:ascii="Arial" w:hAnsi="Arial" w:cs="Arial"/>
          <w:b w:val="0"/>
          <w:bCs/>
          <w:sz w:val="22"/>
          <w:szCs w:val="22"/>
        </w:rPr>
        <w:t xml:space="preserve">. NICE guideline NG87. Available at: </w:t>
      </w:r>
      <w:hyperlink r:id="rId5" w:history="1">
        <w:r w:rsidRPr="00FC530A">
          <w:rPr>
            <w:rStyle w:val="Hyperlink"/>
            <w:rFonts w:ascii="Arial" w:hAnsi="Arial" w:cs="Arial"/>
            <w:b w:val="0"/>
            <w:bCs/>
            <w:sz w:val="22"/>
            <w:szCs w:val="22"/>
          </w:rPr>
          <w:t>https://www.nice.org.uk/guidance/ng87</w:t>
        </w:r>
      </w:hyperlink>
      <w:r w:rsidRPr="00FC530A">
        <w:rPr>
          <w:rFonts w:ascii="Arial" w:hAnsi="Arial" w:cs="Arial"/>
          <w:b w:val="0"/>
          <w:bCs/>
          <w:sz w:val="22"/>
          <w:szCs w:val="22"/>
        </w:rPr>
        <w:t xml:space="preserve"> (Accessed: 1</w:t>
      </w:r>
      <w:r w:rsidRPr="00441E08">
        <w:rPr>
          <w:rFonts w:ascii="Arial" w:hAnsi="Arial" w:cs="Arial"/>
          <w:b w:val="0"/>
          <w:bCs/>
          <w:sz w:val="22"/>
          <w:szCs w:val="22"/>
        </w:rPr>
        <w:t>3</w:t>
      </w:r>
      <w:r w:rsidRPr="00FC530A">
        <w:rPr>
          <w:rFonts w:ascii="Arial" w:hAnsi="Arial" w:cs="Arial"/>
          <w:b w:val="0"/>
          <w:bCs/>
          <w:sz w:val="22"/>
          <w:szCs w:val="22"/>
        </w:rPr>
        <w:t xml:space="preserve"> August 2026).</w:t>
      </w:r>
    </w:p>
    <w:p w14:paraId="2B3072FA" w14:textId="77777777" w:rsidR="00FC530A" w:rsidRPr="00441E08" w:rsidRDefault="00FC530A" w:rsidP="00441E08">
      <w:pPr>
        <w:spacing w:line="360" w:lineRule="auto"/>
        <w:rPr>
          <w:rFonts w:ascii="Arial" w:hAnsi="Arial" w:cs="Arial"/>
          <w:b w:val="0"/>
          <w:bCs/>
          <w:sz w:val="22"/>
          <w:szCs w:val="22"/>
        </w:rPr>
      </w:pPr>
    </w:p>
    <w:p w14:paraId="535ADF96" w14:textId="3B33FB09"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t xml:space="preserve">NHS England (2025a) </w:t>
      </w:r>
      <w:r w:rsidRPr="00FC530A">
        <w:rPr>
          <w:rFonts w:ascii="Arial" w:hAnsi="Arial" w:cs="Arial"/>
          <w:b w:val="0"/>
          <w:bCs/>
          <w:i/>
          <w:iCs/>
          <w:sz w:val="22"/>
          <w:szCs w:val="22"/>
        </w:rPr>
        <w:t>Report of the independent ADHD Taskforce: Part 1</w:t>
      </w:r>
      <w:r w:rsidRPr="00FC530A">
        <w:rPr>
          <w:rFonts w:ascii="Arial" w:hAnsi="Arial" w:cs="Arial"/>
          <w:b w:val="0"/>
          <w:bCs/>
          <w:sz w:val="22"/>
          <w:szCs w:val="22"/>
        </w:rPr>
        <w:t xml:space="preserve">. Available at: </w:t>
      </w:r>
      <w:hyperlink r:id="rId6" w:history="1">
        <w:r w:rsidRPr="00FC530A">
          <w:rPr>
            <w:rStyle w:val="Hyperlink"/>
            <w:rFonts w:ascii="Arial" w:hAnsi="Arial" w:cs="Arial"/>
            <w:b w:val="0"/>
            <w:bCs/>
            <w:sz w:val="22"/>
            <w:szCs w:val="22"/>
          </w:rPr>
          <w:t>https://www.england.nhs.uk/long-read/report-of-the-independent-adhd-taskforce-part-1/</w:t>
        </w:r>
      </w:hyperlink>
      <w:r w:rsidRPr="00FC530A">
        <w:rPr>
          <w:rFonts w:ascii="Arial" w:hAnsi="Arial" w:cs="Arial"/>
          <w:b w:val="0"/>
          <w:bCs/>
          <w:sz w:val="22"/>
          <w:szCs w:val="22"/>
        </w:rPr>
        <w:t xml:space="preserve"> (Accessed: 1</w:t>
      </w:r>
      <w:r w:rsidRPr="00441E08">
        <w:rPr>
          <w:rFonts w:ascii="Arial" w:hAnsi="Arial" w:cs="Arial"/>
          <w:b w:val="0"/>
          <w:bCs/>
          <w:sz w:val="22"/>
          <w:szCs w:val="22"/>
        </w:rPr>
        <w:t>3</w:t>
      </w:r>
      <w:r w:rsidRPr="00FC530A">
        <w:rPr>
          <w:rFonts w:ascii="Arial" w:hAnsi="Arial" w:cs="Arial"/>
          <w:b w:val="0"/>
          <w:bCs/>
          <w:sz w:val="22"/>
          <w:szCs w:val="22"/>
        </w:rPr>
        <w:t xml:space="preserve"> August 2026).</w:t>
      </w:r>
    </w:p>
    <w:p w14:paraId="2F896511" w14:textId="77777777" w:rsidR="00FC530A" w:rsidRPr="00441E08" w:rsidRDefault="00FC530A" w:rsidP="00441E08">
      <w:pPr>
        <w:spacing w:line="360" w:lineRule="auto"/>
        <w:rPr>
          <w:rFonts w:ascii="Arial" w:hAnsi="Arial" w:cs="Arial"/>
          <w:b w:val="0"/>
          <w:bCs/>
          <w:sz w:val="22"/>
          <w:szCs w:val="22"/>
        </w:rPr>
      </w:pPr>
    </w:p>
    <w:p w14:paraId="60405C0D" w14:textId="03538877"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t xml:space="preserve">NHS England (2025b) </w:t>
      </w:r>
      <w:r w:rsidRPr="00FC530A">
        <w:rPr>
          <w:rFonts w:ascii="Arial" w:hAnsi="Arial" w:cs="Arial"/>
          <w:b w:val="0"/>
          <w:bCs/>
          <w:i/>
          <w:iCs/>
          <w:sz w:val="22"/>
          <w:szCs w:val="22"/>
        </w:rPr>
        <w:t>Report of the independent ADHD Taskforce: Part 2</w:t>
      </w:r>
      <w:r w:rsidRPr="00FC530A">
        <w:rPr>
          <w:rFonts w:ascii="Arial" w:hAnsi="Arial" w:cs="Arial"/>
          <w:b w:val="0"/>
          <w:bCs/>
          <w:sz w:val="22"/>
          <w:szCs w:val="22"/>
        </w:rPr>
        <w:t xml:space="preserve">. Available at: </w:t>
      </w:r>
      <w:hyperlink r:id="rId7" w:history="1">
        <w:r w:rsidRPr="00FC530A">
          <w:rPr>
            <w:rStyle w:val="Hyperlink"/>
            <w:rFonts w:ascii="Arial" w:hAnsi="Arial" w:cs="Arial"/>
            <w:b w:val="0"/>
            <w:bCs/>
            <w:sz w:val="22"/>
            <w:szCs w:val="22"/>
          </w:rPr>
          <w:t>https://www.england.nhs.uk/long-read/report-of-the-independent-adhd-taskforce-part-2/</w:t>
        </w:r>
      </w:hyperlink>
      <w:r w:rsidRPr="00FC530A">
        <w:rPr>
          <w:rFonts w:ascii="Arial" w:hAnsi="Arial" w:cs="Arial"/>
          <w:b w:val="0"/>
          <w:bCs/>
          <w:sz w:val="22"/>
          <w:szCs w:val="22"/>
        </w:rPr>
        <w:t xml:space="preserve"> (Accessed: 1</w:t>
      </w:r>
      <w:r w:rsidRPr="00441E08">
        <w:rPr>
          <w:rFonts w:ascii="Arial" w:hAnsi="Arial" w:cs="Arial"/>
          <w:b w:val="0"/>
          <w:bCs/>
          <w:sz w:val="22"/>
          <w:szCs w:val="22"/>
        </w:rPr>
        <w:t>3</w:t>
      </w:r>
      <w:r w:rsidRPr="00FC530A">
        <w:rPr>
          <w:rFonts w:ascii="Arial" w:hAnsi="Arial" w:cs="Arial"/>
          <w:b w:val="0"/>
          <w:bCs/>
          <w:sz w:val="22"/>
          <w:szCs w:val="22"/>
        </w:rPr>
        <w:t xml:space="preserve"> August 2026).</w:t>
      </w:r>
    </w:p>
    <w:p w14:paraId="539A2463" w14:textId="77777777" w:rsidR="00FC530A" w:rsidRPr="00441E08" w:rsidRDefault="00FC530A" w:rsidP="00441E08">
      <w:pPr>
        <w:spacing w:line="360" w:lineRule="auto"/>
        <w:rPr>
          <w:rFonts w:ascii="Arial" w:hAnsi="Arial" w:cs="Arial"/>
          <w:b w:val="0"/>
          <w:bCs/>
          <w:sz w:val="22"/>
          <w:szCs w:val="22"/>
        </w:rPr>
      </w:pPr>
    </w:p>
    <w:p w14:paraId="20184168" w14:textId="4C13367A" w:rsidR="00FC530A" w:rsidRPr="00FC530A" w:rsidRDefault="00FC530A" w:rsidP="00441E08">
      <w:pPr>
        <w:spacing w:line="360" w:lineRule="auto"/>
        <w:rPr>
          <w:rFonts w:ascii="Arial" w:hAnsi="Arial" w:cs="Arial"/>
          <w:b w:val="0"/>
          <w:bCs/>
          <w:sz w:val="22"/>
          <w:szCs w:val="22"/>
        </w:rPr>
      </w:pPr>
      <w:proofErr w:type="spellStart"/>
      <w:r w:rsidRPr="00FC530A">
        <w:rPr>
          <w:rFonts w:ascii="Arial" w:hAnsi="Arial" w:cs="Arial"/>
          <w:b w:val="0"/>
          <w:bCs/>
          <w:sz w:val="22"/>
          <w:szCs w:val="22"/>
        </w:rPr>
        <w:t>Ostinelli</w:t>
      </w:r>
      <w:proofErr w:type="spellEnd"/>
      <w:r w:rsidRPr="00FC530A">
        <w:rPr>
          <w:rFonts w:ascii="Arial" w:hAnsi="Arial" w:cs="Arial"/>
          <w:b w:val="0"/>
          <w:bCs/>
          <w:sz w:val="22"/>
          <w:szCs w:val="22"/>
        </w:rPr>
        <w:t xml:space="preserve">, E.G. et al. (2025) 'Comparative efficacy and acceptability of pharmacological, psychological, and </w:t>
      </w:r>
      <w:proofErr w:type="spellStart"/>
      <w:r w:rsidRPr="00FC530A">
        <w:rPr>
          <w:rFonts w:ascii="Arial" w:hAnsi="Arial" w:cs="Arial"/>
          <w:b w:val="0"/>
          <w:bCs/>
          <w:sz w:val="22"/>
          <w:szCs w:val="22"/>
        </w:rPr>
        <w:t>neurostimulatory</w:t>
      </w:r>
      <w:proofErr w:type="spellEnd"/>
      <w:r w:rsidRPr="00FC530A">
        <w:rPr>
          <w:rFonts w:ascii="Arial" w:hAnsi="Arial" w:cs="Arial"/>
          <w:b w:val="0"/>
          <w:bCs/>
          <w:sz w:val="22"/>
          <w:szCs w:val="22"/>
        </w:rPr>
        <w:t xml:space="preserve"> interventions for ADHD in adults: a systematic review and component network meta-analysis', </w:t>
      </w:r>
      <w:r w:rsidRPr="00FC530A">
        <w:rPr>
          <w:rFonts w:ascii="Arial" w:hAnsi="Arial" w:cs="Arial"/>
          <w:b w:val="0"/>
          <w:bCs/>
          <w:i/>
          <w:iCs/>
          <w:sz w:val="22"/>
          <w:szCs w:val="22"/>
        </w:rPr>
        <w:t>The Lancet Psychiatry</w:t>
      </w:r>
      <w:r w:rsidRPr="00FC530A">
        <w:rPr>
          <w:rFonts w:ascii="Arial" w:hAnsi="Arial" w:cs="Arial"/>
          <w:b w:val="0"/>
          <w:bCs/>
          <w:sz w:val="22"/>
          <w:szCs w:val="22"/>
        </w:rPr>
        <w:t>, 12(1), pp. 32</w:t>
      </w:r>
      <w:r w:rsidR="009D0062" w:rsidRPr="00441E08">
        <w:rPr>
          <w:rFonts w:ascii="Arial" w:hAnsi="Arial" w:cs="Arial"/>
          <w:b w:val="0"/>
          <w:bCs/>
          <w:sz w:val="22"/>
          <w:szCs w:val="22"/>
        </w:rPr>
        <w:t>-</w:t>
      </w:r>
      <w:r w:rsidRPr="00FC530A">
        <w:rPr>
          <w:rFonts w:ascii="Arial" w:hAnsi="Arial" w:cs="Arial"/>
          <w:b w:val="0"/>
          <w:bCs/>
          <w:sz w:val="22"/>
          <w:szCs w:val="22"/>
        </w:rPr>
        <w:t xml:space="preserve">43.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10.1016/S2215-0366(24)00360-2.</w:t>
      </w:r>
    </w:p>
    <w:p w14:paraId="5D867F3B" w14:textId="77777777" w:rsidR="00FC530A" w:rsidRPr="00441E08" w:rsidRDefault="00FC530A" w:rsidP="00441E08">
      <w:pPr>
        <w:spacing w:line="360" w:lineRule="auto"/>
        <w:rPr>
          <w:rFonts w:ascii="Arial" w:hAnsi="Arial" w:cs="Arial"/>
          <w:b w:val="0"/>
          <w:bCs/>
          <w:sz w:val="22"/>
          <w:szCs w:val="22"/>
        </w:rPr>
      </w:pPr>
    </w:p>
    <w:p w14:paraId="5D91EEB9" w14:textId="5B72C899"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lastRenderedPageBreak/>
        <w:t xml:space="preserve">Song, P. et al. (2021) 'The prevalence of adult attention-deficit hyperactivity disorder: a global systematic review and meta-analysis', </w:t>
      </w:r>
      <w:r w:rsidRPr="00FC530A">
        <w:rPr>
          <w:rFonts w:ascii="Arial" w:hAnsi="Arial" w:cs="Arial"/>
          <w:b w:val="0"/>
          <w:bCs/>
          <w:i/>
          <w:iCs/>
          <w:sz w:val="22"/>
          <w:szCs w:val="22"/>
        </w:rPr>
        <w:t>Journal of Global Health</w:t>
      </w:r>
      <w:r w:rsidRPr="00FC530A">
        <w:rPr>
          <w:rFonts w:ascii="Arial" w:hAnsi="Arial" w:cs="Arial"/>
          <w:b w:val="0"/>
          <w:bCs/>
          <w:sz w:val="22"/>
          <w:szCs w:val="22"/>
        </w:rPr>
        <w:t xml:space="preserve">, 11, 04009.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10.7189/jogh.11.04009.</w:t>
      </w:r>
    </w:p>
    <w:p w14:paraId="26420B9A" w14:textId="77777777" w:rsidR="00FC530A" w:rsidRPr="00441E08" w:rsidRDefault="00FC530A" w:rsidP="00441E08">
      <w:pPr>
        <w:spacing w:line="360" w:lineRule="auto"/>
        <w:rPr>
          <w:rFonts w:ascii="Arial" w:hAnsi="Arial" w:cs="Arial"/>
          <w:b w:val="0"/>
          <w:bCs/>
          <w:sz w:val="22"/>
          <w:szCs w:val="22"/>
        </w:rPr>
      </w:pPr>
    </w:p>
    <w:p w14:paraId="42801509" w14:textId="4A6FBEE6" w:rsidR="00FC530A" w:rsidRPr="00FC530A" w:rsidRDefault="00FC530A" w:rsidP="00441E08">
      <w:pPr>
        <w:spacing w:line="360" w:lineRule="auto"/>
        <w:rPr>
          <w:rFonts w:ascii="Arial" w:hAnsi="Arial" w:cs="Arial"/>
          <w:b w:val="0"/>
          <w:bCs/>
          <w:sz w:val="22"/>
          <w:szCs w:val="22"/>
        </w:rPr>
      </w:pPr>
      <w:proofErr w:type="spellStart"/>
      <w:r w:rsidRPr="00FC530A">
        <w:rPr>
          <w:rFonts w:ascii="Arial" w:hAnsi="Arial" w:cs="Arial"/>
          <w:b w:val="0"/>
          <w:bCs/>
          <w:sz w:val="22"/>
          <w:szCs w:val="22"/>
        </w:rPr>
        <w:t>Sonuga-Barke</w:t>
      </w:r>
      <w:proofErr w:type="spellEnd"/>
      <w:r w:rsidRPr="00FC530A">
        <w:rPr>
          <w:rFonts w:ascii="Arial" w:hAnsi="Arial" w:cs="Arial"/>
          <w:b w:val="0"/>
          <w:bCs/>
          <w:sz w:val="22"/>
          <w:szCs w:val="22"/>
        </w:rPr>
        <w:t xml:space="preserve">, E.J.S. (2023) 'Paradigm "flipping" to reinvigorate translational science: outlining a neurodevelopmental science framework from a "neurodiversity" perspective', </w:t>
      </w:r>
      <w:r w:rsidRPr="00FC530A">
        <w:rPr>
          <w:rFonts w:ascii="Arial" w:hAnsi="Arial" w:cs="Arial"/>
          <w:b w:val="0"/>
          <w:bCs/>
          <w:i/>
          <w:iCs/>
          <w:sz w:val="22"/>
          <w:szCs w:val="22"/>
        </w:rPr>
        <w:t>Journal of Child Psychology and Psychiatry</w:t>
      </w:r>
      <w:r w:rsidRPr="00FC530A">
        <w:rPr>
          <w:rFonts w:ascii="Arial" w:hAnsi="Arial" w:cs="Arial"/>
          <w:b w:val="0"/>
          <w:bCs/>
          <w:sz w:val="22"/>
          <w:szCs w:val="22"/>
        </w:rPr>
        <w:t>, 64(10), pp. 1405</w:t>
      </w:r>
      <w:r w:rsidR="009D0062" w:rsidRPr="00441E08">
        <w:rPr>
          <w:rFonts w:ascii="Arial" w:hAnsi="Arial" w:cs="Arial"/>
          <w:b w:val="0"/>
          <w:bCs/>
          <w:sz w:val="22"/>
          <w:szCs w:val="22"/>
        </w:rPr>
        <w:t>-</w:t>
      </w:r>
      <w:r w:rsidRPr="00FC530A">
        <w:rPr>
          <w:rFonts w:ascii="Arial" w:hAnsi="Arial" w:cs="Arial"/>
          <w:b w:val="0"/>
          <w:bCs/>
          <w:sz w:val="22"/>
          <w:szCs w:val="22"/>
        </w:rPr>
        <w:t xml:space="preserve">1408.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10.1111/jcpp.13886.</w:t>
      </w:r>
    </w:p>
    <w:p w14:paraId="46B3CE57" w14:textId="0B7C22AB"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t>World Health Orga</w:t>
      </w:r>
      <w:r w:rsidR="00DF7E9B">
        <w:rPr>
          <w:rFonts w:ascii="Arial" w:hAnsi="Arial" w:cs="Arial"/>
          <w:b w:val="0"/>
          <w:bCs/>
          <w:sz w:val="22"/>
          <w:szCs w:val="22"/>
        </w:rPr>
        <w:t>niza</w:t>
      </w:r>
      <w:r w:rsidRPr="00FC530A">
        <w:rPr>
          <w:rFonts w:ascii="Arial" w:hAnsi="Arial" w:cs="Arial"/>
          <w:b w:val="0"/>
          <w:bCs/>
          <w:sz w:val="22"/>
          <w:szCs w:val="22"/>
        </w:rPr>
        <w:t xml:space="preserve">tion (2025) </w:t>
      </w:r>
      <w:r w:rsidRPr="00FC530A">
        <w:rPr>
          <w:rFonts w:ascii="Arial" w:hAnsi="Arial" w:cs="Arial"/>
          <w:b w:val="0"/>
          <w:bCs/>
          <w:i/>
          <w:iCs/>
          <w:sz w:val="22"/>
          <w:szCs w:val="22"/>
        </w:rPr>
        <w:t xml:space="preserve">ICD-11 for Mortality and Morbidity Statistics: 6A05 </w:t>
      </w:r>
      <w:proofErr w:type="gramStart"/>
      <w:r w:rsidRPr="00FC530A">
        <w:rPr>
          <w:rFonts w:ascii="Arial" w:hAnsi="Arial" w:cs="Arial"/>
          <w:b w:val="0"/>
          <w:bCs/>
          <w:i/>
          <w:iCs/>
          <w:sz w:val="22"/>
          <w:szCs w:val="22"/>
        </w:rPr>
        <w:t>Attention deficit hyperactivity disorder</w:t>
      </w:r>
      <w:proofErr w:type="gramEnd"/>
      <w:r w:rsidRPr="00FC530A">
        <w:rPr>
          <w:rFonts w:ascii="Arial" w:hAnsi="Arial" w:cs="Arial"/>
          <w:b w:val="0"/>
          <w:bCs/>
          <w:sz w:val="22"/>
          <w:szCs w:val="22"/>
        </w:rPr>
        <w:t>. Geneva: World Health Orga</w:t>
      </w:r>
      <w:r w:rsidR="00DF7E9B">
        <w:rPr>
          <w:rFonts w:ascii="Arial" w:hAnsi="Arial" w:cs="Arial"/>
          <w:b w:val="0"/>
          <w:bCs/>
          <w:sz w:val="22"/>
          <w:szCs w:val="22"/>
        </w:rPr>
        <w:t>niza</w:t>
      </w:r>
      <w:r w:rsidRPr="00FC530A">
        <w:rPr>
          <w:rFonts w:ascii="Arial" w:hAnsi="Arial" w:cs="Arial"/>
          <w:b w:val="0"/>
          <w:bCs/>
          <w:sz w:val="22"/>
          <w:szCs w:val="22"/>
        </w:rPr>
        <w:t xml:space="preserve">tion. Available at: </w:t>
      </w:r>
      <w:hyperlink r:id="rId8" w:history="1">
        <w:r w:rsidRPr="00FC530A">
          <w:rPr>
            <w:rStyle w:val="Hyperlink"/>
            <w:rFonts w:ascii="Arial" w:hAnsi="Arial" w:cs="Arial"/>
            <w:b w:val="0"/>
            <w:bCs/>
            <w:sz w:val="22"/>
            <w:szCs w:val="22"/>
          </w:rPr>
          <w:t>https://icd.who.int/browse/2025-01/mms/en</w:t>
        </w:r>
      </w:hyperlink>
      <w:r w:rsidRPr="00FC530A">
        <w:rPr>
          <w:rFonts w:ascii="Arial" w:hAnsi="Arial" w:cs="Arial"/>
          <w:b w:val="0"/>
          <w:bCs/>
          <w:sz w:val="22"/>
          <w:szCs w:val="22"/>
        </w:rPr>
        <w:t xml:space="preserve"> (Accessed: 1</w:t>
      </w:r>
      <w:r w:rsidRPr="00441E08">
        <w:rPr>
          <w:rFonts w:ascii="Arial" w:hAnsi="Arial" w:cs="Arial"/>
          <w:b w:val="0"/>
          <w:bCs/>
          <w:sz w:val="22"/>
          <w:szCs w:val="22"/>
        </w:rPr>
        <w:t>3</w:t>
      </w:r>
      <w:r w:rsidRPr="00FC530A">
        <w:rPr>
          <w:rFonts w:ascii="Arial" w:hAnsi="Arial" w:cs="Arial"/>
          <w:b w:val="0"/>
          <w:bCs/>
          <w:sz w:val="22"/>
          <w:szCs w:val="22"/>
        </w:rPr>
        <w:t xml:space="preserve"> August 2026).</w:t>
      </w:r>
    </w:p>
    <w:p w14:paraId="4BFB3CBA" w14:textId="77777777" w:rsidR="00FC530A" w:rsidRPr="00441E08" w:rsidRDefault="00FC530A" w:rsidP="00441E08">
      <w:pPr>
        <w:spacing w:line="360" w:lineRule="auto"/>
        <w:rPr>
          <w:rFonts w:ascii="Arial" w:hAnsi="Arial" w:cs="Arial"/>
          <w:b w:val="0"/>
          <w:bCs/>
          <w:sz w:val="22"/>
          <w:szCs w:val="22"/>
        </w:rPr>
      </w:pPr>
    </w:p>
    <w:p w14:paraId="7AFFB1CC" w14:textId="4EC3E37E" w:rsidR="00FC530A" w:rsidRPr="00FC530A" w:rsidRDefault="00FC530A" w:rsidP="00441E08">
      <w:pPr>
        <w:spacing w:line="360" w:lineRule="auto"/>
        <w:rPr>
          <w:rFonts w:ascii="Arial" w:hAnsi="Arial" w:cs="Arial"/>
          <w:b w:val="0"/>
          <w:bCs/>
          <w:sz w:val="22"/>
          <w:szCs w:val="22"/>
        </w:rPr>
      </w:pPr>
      <w:r w:rsidRPr="00FC530A">
        <w:rPr>
          <w:rFonts w:ascii="Arial" w:hAnsi="Arial" w:cs="Arial"/>
          <w:b w:val="0"/>
          <w:bCs/>
          <w:sz w:val="22"/>
          <w:szCs w:val="22"/>
        </w:rPr>
        <w:t xml:space="preserve">Young, S. et al. (2020) 'Females with ADHD: an expert consensus statement taking a lifespan approach providing guidance for the identification and treatment of attention-deficit/hyperactivity disorder in girls and women', </w:t>
      </w:r>
      <w:r w:rsidRPr="00FC530A">
        <w:rPr>
          <w:rFonts w:ascii="Arial" w:hAnsi="Arial" w:cs="Arial"/>
          <w:b w:val="0"/>
          <w:bCs/>
          <w:i/>
          <w:iCs/>
          <w:sz w:val="22"/>
          <w:szCs w:val="22"/>
        </w:rPr>
        <w:t>BMC Psychiatry</w:t>
      </w:r>
      <w:r w:rsidRPr="00FC530A">
        <w:rPr>
          <w:rFonts w:ascii="Arial" w:hAnsi="Arial" w:cs="Arial"/>
          <w:b w:val="0"/>
          <w:bCs/>
          <w:sz w:val="22"/>
          <w:szCs w:val="22"/>
        </w:rPr>
        <w:t xml:space="preserve">, 20, 404. </w:t>
      </w:r>
      <w:proofErr w:type="spellStart"/>
      <w:r w:rsidRPr="00FC530A">
        <w:rPr>
          <w:rFonts w:ascii="Arial" w:hAnsi="Arial" w:cs="Arial"/>
          <w:b w:val="0"/>
          <w:bCs/>
          <w:sz w:val="22"/>
          <w:szCs w:val="22"/>
        </w:rPr>
        <w:t>doi</w:t>
      </w:r>
      <w:proofErr w:type="spellEnd"/>
      <w:r w:rsidRPr="00FC530A">
        <w:rPr>
          <w:rFonts w:ascii="Arial" w:hAnsi="Arial" w:cs="Arial"/>
          <w:b w:val="0"/>
          <w:bCs/>
          <w:sz w:val="22"/>
          <w:szCs w:val="22"/>
        </w:rPr>
        <w:t>: 10.1186/s12888-020-02707-9.</w:t>
      </w:r>
    </w:p>
    <w:p w14:paraId="05C13547" w14:textId="77777777" w:rsidR="00FC530A" w:rsidRPr="00441E08" w:rsidRDefault="00FC530A" w:rsidP="00441E08">
      <w:pPr>
        <w:spacing w:line="360" w:lineRule="auto"/>
        <w:rPr>
          <w:rFonts w:ascii="Arial" w:hAnsi="Arial" w:cs="Arial"/>
          <w:b w:val="0"/>
          <w:bCs/>
          <w:sz w:val="22"/>
          <w:szCs w:val="22"/>
        </w:rPr>
      </w:pPr>
    </w:p>
    <w:sectPr w:rsidR="00FC530A" w:rsidRPr="00441E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381"/>
    <w:rsid w:val="000208C7"/>
    <w:rsid w:val="00075396"/>
    <w:rsid w:val="000B0544"/>
    <w:rsid w:val="000D603F"/>
    <w:rsid w:val="001143DF"/>
    <w:rsid w:val="001472FA"/>
    <w:rsid w:val="001627C9"/>
    <w:rsid w:val="00237CB1"/>
    <w:rsid w:val="002E0A1C"/>
    <w:rsid w:val="00307B94"/>
    <w:rsid w:val="00333381"/>
    <w:rsid w:val="0033377E"/>
    <w:rsid w:val="004179CD"/>
    <w:rsid w:val="00441E08"/>
    <w:rsid w:val="00471153"/>
    <w:rsid w:val="004C6E05"/>
    <w:rsid w:val="004D47E6"/>
    <w:rsid w:val="00587F27"/>
    <w:rsid w:val="005E4202"/>
    <w:rsid w:val="00633C72"/>
    <w:rsid w:val="00677765"/>
    <w:rsid w:val="006855F0"/>
    <w:rsid w:val="006F76B4"/>
    <w:rsid w:val="00750847"/>
    <w:rsid w:val="007B7367"/>
    <w:rsid w:val="008217E6"/>
    <w:rsid w:val="00846FAB"/>
    <w:rsid w:val="00853F95"/>
    <w:rsid w:val="00971A7D"/>
    <w:rsid w:val="009B6B1D"/>
    <w:rsid w:val="009D0062"/>
    <w:rsid w:val="00A46662"/>
    <w:rsid w:val="00AB16F2"/>
    <w:rsid w:val="00B436AB"/>
    <w:rsid w:val="00B95B8E"/>
    <w:rsid w:val="00BC2CC5"/>
    <w:rsid w:val="00C41880"/>
    <w:rsid w:val="00C63F72"/>
    <w:rsid w:val="00CB3520"/>
    <w:rsid w:val="00D012CF"/>
    <w:rsid w:val="00D84C3D"/>
    <w:rsid w:val="00DD3146"/>
    <w:rsid w:val="00DD7D15"/>
    <w:rsid w:val="00DF4B19"/>
    <w:rsid w:val="00DF7E9B"/>
    <w:rsid w:val="00E16949"/>
    <w:rsid w:val="00E45DAB"/>
    <w:rsid w:val="00EE40D3"/>
    <w:rsid w:val="00FA0DFE"/>
    <w:rsid w:val="00FC530A"/>
    <w:rsid w:val="00FF6EB7"/>
    <w:rsid w:val="00FF7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CD2D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REAL"/>
    <w:qFormat/>
    <w:rsid w:val="00471153"/>
    <w:rPr>
      <w:rFonts w:ascii="Times New Roman" w:hAnsi="Times New Roman"/>
      <w:b/>
    </w:rPr>
  </w:style>
  <w:style w:type="paragraph" w:styleId="Heading1">
    <w:name w:val="heading 1"/>
    <w:basedOn w:val="Normal"/>
    <w:next w:val="Normal"/>
    <w:link w:val="Heading1Char"/>
    <w:uiPriority w:val="9"/>
    <w:qFormat/>
    <w:rsid w:val="00441E08"/>
    <w:pPr>
      <w:keepNext/>
      <w:keepLines/>
      <w:spacing w:before="360" w:after="80" w:line="360" w:lineRule="auto"/>
      <w:outlineLvl w:val="0"/>
    </w:pPr>
    <w:rPr>
      <w:rFonts w:ascii="Arial" w:eastAsiaTheme="majorEastAsia" w:hAnsi="Arial" w:cstheme="majorBidi"/>
      <w:sz w:val="22"/>
      <w:szCs w:val="40"/>
    </w:rPr>
  </w:style>
  <w:style w:type="paragraph" w:styleId="Heading2">
    <w:name w:val="heading 2"/>
    <w:basedOn w:val="Normal"/>
    <w:next w:val="Normal"/>
    <w:link w:val="Heading2Char"/>
    <w:uiPriority w:val="9"/>
    <w:semiHidden/>
    <w:unhideWhenUsed/>
    <w:qFormat/>
    <w:rsid w:val="00333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338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38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3338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3338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3338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3338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3338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662"/>
    <w:pPr>
      <w:spacing w:line="360" w:lineRule="auto"/>
      <w:contextualSpacing/>
    </w:pPr>
    <w:rPr>
      <w:rFonts w:ascii="Arial" w:eastAsiaTheme="majorEastAsia" w:hAnsi="Arial" w:cstheme="majorBidi"/>
      <w:spacing w:val="-10"/>
      <w:kern w:val="28"/>
      <w:szCs w:val="56"/>
    </w:rPr>
  </w:style>
  <w:style w:type="character" w:customStyle="1" w:styleId="TitleChar">
    <w:name w:val="Title Char"/>
    <w:basedOn w:val="DefaultParagraphFont"/>
    <w:link w:val="Title"/>
    <w:uiPriority w:val="10"/>
    <w:rsid w:val="00A46662"/>
    <w:rPr>
      <w:rFonts w:ascii="Arial" w:eastAsiaTheme="majorEastAsia" w:hAnsi="Arial" w:cstheme="majorBidi"/>
      <w:b/>
      <w:spacing w:val="-10"/>
      <w:kern w:val="28"/>
      <w:szCs w:val="56"/>
    </w:rPr>
  </w:style>
  <w:style w:type="character" w:customStyle="1" w:styleId="Heading1Char">
    <w:name w:val="Heading 1 Char"/>
    <w:basedOn w:val="DefaultParagraphFont"/>
    <w:link w:val="Heading1"/>
    <w:uiPriority w:val="9"/>
    <w:rsid w:val="00441E08"/>
    <w:rPr>
      <w:rFonts w:ascii="Arial" w:eastAsiaTheme="majorEastAsia" w:hAnsi="Arial" w:cstheme="majorBidi"/>
      <w:b/>
      <w:sz w:val="22"/>
      <w:szCs w:val="40"/>
    </w:rPr>
  </w:style>
  <w:style w:type="character" w:customStyle="1" w:styleId="Heading2Char">
    <w:name w:val="Heading 2 Char"/>
    <w:basedOn w:val="DefaultParagraphFont"/>
    <w:link w:val="Heading2"/>
    <w:uiPriority w:val="9"/>
    <w:semiHidden/>
    <w:rsid w:val="00333381"/>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333381"/>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333381"/>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333381"/>
    <w:rPr>
      <w:rFonts w:eastAsiaTheme="majorEastAsia" w:cstheme="majorBidi"/>
      <w:b/>
      <w:color w:val="0F4761" w:themeColor="accent1" w:themeShade="BF"/>
    </w:rPr>
  </w:style>
  <w:style w:type="character" w:customStyle="1" w:styleId="Heading6Char">
    <w:name w:val="Heading 6 Char"/>
    <w:basedOn w:val="DefaultParagraphFont"/>
    <w:link w:val="Heading6"/>
    <w:uiPriority w:val="9"/>
    <w:semiHidden/>
    <w:rsid w:val="00333381"/>
    <w:rPr>
      <w:rFonts w:eastAsiaTheme="majorEastAsia" w:cstheme="majorBidi"/>
      <w:b/>
      <w:i/>
      <w:iCs/>
      <w:color w:val="595959" w:themeColor="text1" w:themeTint="A6"/>
    </w:rPr>
  </w:style>
  <w:style w:type="character" w:customStyle="1" w:styleId="Heading7Char">
    <w:name w:val="Heading 7 Char"/>
    <w:basedOn w:val="DefaultParagraphFont"/>
    <w:link w:val="Heading7"/>
    <w:uiPriority w:val="9"/>
    <w:semiHidden/>
    <w:rsid w:val="00333381"/>
    <w:rPr>
      <w:rFonts w:eastAsiaTheme="majorEastAsia" w:cstheme="majorBidi"/>
      <w:b/>
      <w:color w:val="595959" w:themeColor="text1" w:themeTint="A6"/>
    </w:rPr>
  </w:style>
  <w:style w:type="character" w:customStyle="1" w:styleId="Heading8Char">
    <w:name w:val="Heading 8 Char"/>
    <w:basedOn w:val="DefaultParagraphFont"/>
    <w:link w:val="Heading8"/>
    <w:uiPriority w:val="9"/>
    <w:semiHidden/>
    <w:rsid w:val="00333381"/>
    <w:rPr>
      <w:rFonts w:eastAsiaTheme="majorEastAsia" w:cstheme="majorBidi"/>
      <w:b/>
      <w:i/>
      <w:iCs/>
      <w:color w:val="272727" w:themeColor="text1" w:themeTint="D8"/>
    </w:rPr>
  </w:style>
  <w:style w:type="character" w:customStyle="1" w:styleId="Heading9Char">
    <w:name w:val="Heading 9 Char"/>
    <w:basedOn w:val="DefaultParagraphFont"/>
    <w:link w:val="Heading9"/>
    <w:uiPriority w:val="9"/>
    <w:semiHidden/>
    <w:rsid w:val="00333381"/>
    <w:rPr>
      <w:rFonts w:eastAsiaTheme="majorEastAsia" w:cstheme="majorBidi"/>
      <w:b/>
      <w:color w:val="272727" w:themeColor="text1" w:themeTint="D8"/>
    </w:rPr>
  </w:style>
  <w:style w:type="paragraph" w:styleId="Subtitle">
    <w:name w:val="Subtitle"/>
    <w:basedOn w:val="Normal"/>
    <w:next w:val="Normal"/>
    <w:link w:val="SubtitleChar"/>
    <w:uiPriority w:val="11"/>
    <w:qFormat/>
    <w:rsid w:val="0033338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381"/>
    <w:rPr>
      <w:rFonts w:eastAsiaTheme="majorEastAsia" w:cstheme="majorBidi"/>
      <w:b/>
      <w:color w:val="595959" w:themeColor="text1" w:themeTint="A6"/>
      <w:spacing w:val="15"/>
      <w:sz w:val="28"/>
      <w:szCs w:val="28"/>
    </w:rPr>
  </w:style>
  <w:style w:type="paragraph" w:styleId="Quote">
    <w:name w:val="Quote"/>
    <w:basedOn w:val="Normal"/>
    <w:next w:val="Normal"/>
    <w:link w:val="QuoteChar"/>
    <w:uiPriority w:val="29"/>
    <w:qFormat/>
    <w:rsid w:val="003333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3381"/>
    <w:rPr>
      <w:rFonts w:ascii="Times New Roman" w:hAnsi="Times New Roman"/>
      <w:b/>
      <w:i/>
      <w:iCs/>
      <w:color w:val="404040" w:themeColor="text1" w:themeTint="BF"/>
    </w:rPr>
  </w:style>
  <w:style w:type="paragraph" w:styleId="ListParagraph">
    <w:name w:val="List Paragraph"/>
    <w:basedOn w:val="Normal"/>
    <w:uiPriority w:val="34"/>
    <w:qFormat/>
    <w:rsid w:val="00333381"/>
    <w:pPr>
      <w:ind w:left="720"/>
      <w:contextualSpacing/>
    </w:pPr>
  </w:style>
  <w:style w:type="character" w:styleId="IntenseEmphasis">
    <w:name w:val="Intense Emphasis"/>
    <w:basedOn w:val="DefaultParagraphFont"/>
    <w:uiPriority w:val="21"/>
    <w:qFormat/>
    <w:rsid w:val="00333381"/>
    <w:rPr>
      <w:i/>
      <w:iCs/>
      <w:color w:val="0F4761" w:themeColor="accent1" w:themeShade="BF"/>
    </w:rPr>
  </w:style>
  <w:style w:type="paragraph" w:styleId="IntenseQuote">
    <w:name w:val="Intense Quote"/>
    <w:basedOn w:val="Normal"/>
    <w:next w:val="Normal"/>
    <w:link w:val="IntenseQuoteChar"/>
    <w:uiPriority w:val="30"/>
    <w:qFormat/>
    <w:rsid w:val="00333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3381"/>
    <w:rPr>
      <w:rFonts w:ascii="Times New Roman" w:hAnsi="Times New Roman"/>
      <w:b/>
      <w:i/>
      <w:iCs/>
      <w:color w:val="0F4761" w:themeColor="accent1" w:themeShade="BF"/>
    </w:rPr>
  </w:style>
  <w:style w:type="character" w:styleId="IntenseReference">
    <w:name w:val="Intense Reference"/>
    <w:basedOn w:val="DefaultParagraphFont"/>
    <w:uiPriority w:val="32"/>
    <w:qFormat/>
    <w:rsid w:val="00333381"/>
    <w:rPr>
      <w:b/>
      <w:bCs/>
      <w:smallCaps/>
      <w:color w:val="0F4761" w:themeColor="accent1" w:themeShade="BF"/>
      <w:spacing w:val="5"/>
    </w:rPr>
  </w:style>
  <w:style w:type="paragraph" w:customStyle="1" w:styleId="font-claude-response-body">
    <w:name w:val="font-claude-response-body"/>
    <w:basedOn w:val="Normal"/>
    <w:rsid w:val="00333381"/>
    <w:pPr>
      <w:spacing w:before="100" w:beforeAutospacing="1" w:after="100" w:afterAutospacing="1"/>
    </w:pPr>
    <w:rPr>
      <w:rFonts w:eastAsia="Times New Roman" w:cs="Times New Roman"/>
      <w:b w:val="0"/>
      <w:kern w:val="0"/>
      <w:lang w:eastAsia="en-GB"/>
      <w14:ligatures w14:val="none"/>
    </w:rPr>
  </w:style>
  <w:style w:type="character" w:styleId="Strong">
    <w:name w:val="Strong"/>
    <w:basedOn w:val="DefaultParagraphFont"/>
    <w:uiPriority w:val="22"/>
    <w:qFormat/>
    <w:rsid w:val="00333381"/>
    <w:rPr>
      <w:b/>
      <w:bCs/>
    </w:rPr>
  </w:style>
  <w:style w:type="character" w:styleId="Hyperlink">
    <w:name w:val="Hyperlink"/>
    <w:basedOn w:val="DefaultParagraphFont"/>
    <w:uiPriority w:val="99"/>
    <w:unhideWhenUsed/>
    <w:rsid w:val="00FC530A"/>
    <w:rPr>
      <w:color w:val="467886" w:themeColor="hyperlink"/>
      <w:u w:val="single"/>
    </w:rPr>
  </w:style>
  <w:style w:type="character" w:styleId="UnresolvedMention">
    <w:name w:val="Unresolved Mention"/>
    <w:basedOn w:val="DefaultParagraphFont"/>
    <w:uiPriority w:val="99"/>
    <w:semiHidden/>
    <w:unhideWhenUsed/>
    <w:rsid w:val="00FC530A"/>
    <w:rPr>
      <w:color w:val="605E5C"/>
      <w:shd w:val="clear" w:color="auto" w:fill="E1DFDD"/>
    </w:rPr>
  </w:style>
  <w:style w:type="paragraph" w:styleId="TOCHeading">
    <w:name w:val="TOC Heading"/>
    <w:basedOn w:val="Heading1"/>
    <w:next w:val="Normal"/>
    <w:uiPriority w:val="39"/>
    <w:unhideWhenUsed/>
    <w:qFormat/>
    <w:rsid w:val="001143DF"/>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1143DF"/>
    <w:pPr>
      <w:spacing w:before="120"/>
    </w:pPr>
    <w:rPr>
      <w:rFonts w:asciiTheme="minorHAnsi" w:hAnsiTheme="minorHAnsi"/>
      <w:bCs/>
      <w:i/>
      <w:iCs/>
    </w:rPr>
  </w:style>
  <w:style w:type="paragraph" w:styleId="TOC2">
    <w:name w:val="toc 2"/>
    <w:basedOn w:val="Normal"/>
    <w:next w:val="Normal"/>
    <w:autoRedefine/>
    <w:uiPriority w:val="39"/>
    <w:semiHidden/>
    <w:unhideWhenUsed/>
    <w:rsid w:val="001143DF"/>
    <w:pPr>
      <w:spacing w:before="120"/>
      <w:ind w:left="240"/>
    </w:pPr>
    <w:rPr>
      <w:rFonts w:asciiTheme="minorHAnsi" w:hAnsiTheme="minorHAnsi"/>
      <w:bCs/>
      <w:sz w:val="22"/>
      <w:szCs w:val="22"/>
    </w:rPr>
  </w:style>
  <w:style w:type="paragraph" w:styleId="TOC3">
    <w:name w:val="toc 3"/>
    <w:basedOn w:val="Normal"/>
    <w:next w:val="Normal"/>
    <w:autoRedefine/>
    <w:uiPriority w:val="39"/>
    <w:semiHidden/>
    <w:unhideWhenUsed/>
    <w:rsid w:val="001143DF"/>
    <w:pPr>
      <w:ind w:left="480"/>
    </w:pPr>
    <w:rPr>
      <w:rFonts w:asciiTheme="minorHAnsi" w:hAnsiTheme="minorHAnsi"/>
      <w:b w:val="0"/>
      <w:sz w:val="20"/>
      <w:szCs w:val="20"/>
    </w:rPr>
  </w:style>
  <w:style w:type="paragraph" w:styleId="TOC4">
    <w:name w:val="toc 4"/>
    <w:basedOn w:val="Normal"/>
    <w:next w:val="Normal"/>
    <w:autoRedefine/>
    <w:uiPriority w:val="39"/>
    <w:semiHidden/>
    <w:unhideWhenUsed/>
    <w:rsid w:val="001143DF"/>
    <w:pPr>
      <w:ind w:left="720"/>
    </w:pPr>
    <w:rPr>
      <w:rFonts w:asciiTheme="minorHAnsi" w:hAnsiTheme="minorHAnsi"/>
      <w:b w:val="0"/>
      <w:sz w:val="20"/>
      <w:szCs w:val="20"/>
    </w:rPr>
  </w:style>
  <w:style w:type="paragraph" w:styleId="TOC5">
    <w:name w:val="toc 5"/>
    <w:basedOn w:val="Normal"/>
    <w:next w:val="Normal"/>
    <w:autoRedefine/>
    <w:uiPriority w:val="39"/>
    <w:semiHidden/>
    <w:unhideWhenUsed/>
    <w:rsid w:val="001143DF"/>
    <w:pPr>
      <w:ind w:left="960"/>
    </w:pPr>
    <w:rPr>
      <w:rFonts w:asciiTheme="minorHAnsi" w:hAnsiTheme="minorHAnsi"/>
      <w:b w:val="0"/>
      <w:sz w:val="20"/>
      <w:szCs w:val="20"/>
    </w:rPr>
  </w:style>
  <w:style w:type="paragraph" w:styleId="TOC6">
    <w:name w:val="toc 6"/>
    <w:basedOn w:val="Normal"/>
    <w:next w:val="Normal"/>
    <w:autoRedefine/>
    <w:uiPriority w:val="39"/>
    <w:semiHidden/>
    <w:unhideWhenUsed/>
    <w:rsid w:val="001143DF"/>
    <w:pPr>
      <w:ind w:left="1200"/>
    </w:pPr>
    <w:rPr>
      <w:rFonts w:asciiTheme="minorHAnsi" w:hAnsiTheme="minorHAnsi"/>
      <w:b w:val="0"/>
      <w:sz w:val="20"/>
      <w:szCs w:val="20"/>
    </w:rPr>
  </w:style>
  <w:style w:type="paragraph" w:styleId="TOC7">
    <w:name w:val="toc 7"/>
    <w:basedOn w:val="Normal"/>
    <w:next w:val="Normal"/>
    <w:autoRedefine/>
    <w:uiPriority w:val="39"/>
    <w:semiHidden/>
    <w:unhideWhenUsed/>
    <w:rsid w:val="001143DF"/>
    <w:pPr>
      <w:ind w:left="1440"/>
    </w:pPr>
    <w:rPr>
      <w:rFonts w:asciiTheme="minorHAnsi" w:hAnsiTheme="minorHAnsi"/>
      <w:b w:val="0"/>
      <w:sz w:val="20"/>
      <w:szCs w:val="20"/>
    </w:rPr>
  </w:style>
  <w:style w:type="paragraph" w:styleId="TOC8">
    <w:name w:val="toc 8"/>
    <w:basedOn w:val="Normal"/>
    <w:next w:val="Normal"/>
    <w:autoRedefine/>
    <w:uiPriority w:val="39"/>
    <w:semiHidden/>
    <w:unhideWhenUsed/>
    <w:rsid w:val="001143DF"/>
    <w:pPr>
      <w:ind w:left="1680"/>
    </w:pPr>
    <w:rPr>
      <w:rFonts w:asciiTheme="minorHAnsi" w:hAnsiTheme="minorHAnsi"/>
      <w:b w:val="0"/>
      <w:sz w:val="20"/>
      <w:szCs w:val="20"/>
    </w:rPr>
  </w:style>
  <w:style w:type="paragraph" w:styleId="TOC9">
    <w:name w:val="toc 9"/>
    <w:basedOn w:val="Normal"/>
    <w:next w:val="Normal"/>
    <w:autoRedefine/>
    <w:uiPriority w:val="39"/>
    <w:semiHidden/>
    <w:unhideWhenUsed/>
    <w:rsid w:val="001143DF"/>
    <w:pPr>
      <w:ind w:left="1920"/>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666292">
      <w:bodyDiv w:val="1"/>
      <w:marLeft w:val="0"/>
      <w:marRight w:val="0"/>
      <w:marTop w:val="0"/>
      <w:marBottom w:val="0"/>
      <w:divBdr>
        <w:top w:val="none" w:sz="0" w:space="0" w:color="auto"/>
        <w:left w:val="none" w:sz="0" w:space="0" w:color="auto"/>
        <w:bottom w:val="none" w:sz="0" w:space="0" w:color="auto"/>
        <w:right w:val="none" w:sz="0" w:space="0" w:color="auto"/>
      </w:divBdr>
    </w:div>
    <w:div w:id="590358839">
      <w:bodyDiv w:val="1"/>
      <w:marLeft w:val="0"/>
      <w:marRight w:val="0"/>
      <w:marTop w:val="0"/>
      <w:marBottom w:val="0"/>
      <w:divBdr>
        <w:top w:val="none" w:sz="0" w:space="0" w:color="auto"/>
        <w:left w:val="none" w:sz="0" w:space="0" w:color="auto"/>
        <w:bottom w:val="none" w:sz="0" w:space="0" w:color="auto"/>
        <w:right w:val="none" w:sz="0" w:space="0" w:color="auto"/>
      </w:divBdr>
    </w:div>
    <w:div w:id="143825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d.who.int/browse/2025-01/mms/en" TargetMode="External"/><Relationship Id="rId3" Type="http://schemas.openxmlformats.org/officeDocument/2006/relationships/settings" Target="settings.xml"/><Relationship Id="rId7" Type="http://schemas.openxmlformats.org/officeDocument/2006/relationships/hyperlink" Target="https://www.england.nhs.uk/long-read/report-of-the-independent-adhd-taskforce-part-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ngland.nhs.uk/long-read/report-of-the-independent-adhd-taskforce-part-1/" TargetMode="External"/><Relationship Id="rId5" Type="http://schemas.openxmlformats.org/officeDocument/2006/relationships/hyperlink" Target="https://www.nice.org.uk/guidance/ng8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FB44CA-904E-9B4B-B113-B6B1B1D657FF}">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2</TotalTime>
  <Pages>10</Pages>
  <Words>2500</Words>
  <Characters>14256</Characters>
  <Application>Microsoft Office Word</Application>
  <DocSecurity>0</DocSecurity>
  <Lines>118</Lines>
  <Paragraphs>33</Paragraphs>
  <ScaleCrop>false</ScaleCrop>
  <Company/>
  <LinksUpToDate>false</LinksUpToDate>
  <CharactersWithSpaces>16723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2026-08-14T10:28:00Z</dcterms:created>
  <dcterms:modified xsi:type="dcterms:W3CDTF">2026-08-14T11:38:00Z</dcterms:modified>
</cp:coreProperties>
</file>