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25035" w14:textId="7F5C135E" w:rsidR="004C1460" w:rsidRPr="001054F9" w:rsidRDefault="004C1460" w:rsidP="004C1460">
      <w:pPr>
        <w:jc w:val="center"/>
        <w:rPr>
          <w:b/>
          <w:sz w:val="24"/>
          <w:u w:val="single"/>
        </w:rPr>
      </w:pPr>
      <w:bookmarkStart w:id="0" w:name="_GoBack"/>
      <w:r w:rsidRPr="001054F9">
        <w:rPr>
          <w:b/>
          <w:sz w:val="24"/>
          <w:u w:val="single"/>
        </w:rPr>
        <w:t>A</w:t>
      </w:r>
      <w:r w:rsidR="00B74936">
        <w:rPr>
          <w:b/>
          <w:sz w:val="24"/>
          <w:u w:val="single"/>
        </w:rPr>
        <w:t xml:space="preserve"> discussion on</w:t>
      </w:r>
      <w:r w:rsidR="006451FD">
        <w:rPr>
          <w:b/>
          <w:sz w:val="24"/>
          <w:u w:val="single"/>
        </w:rPr>
        <w:t xml:space="preserve"> the impact </w:t>
      </w:r>
      <w:r w:rsidRPr="001054F9">
        <w:rPr>
          <w:b/>
          <w:sz w:val="24"/>
          <w:u w:val="single"/>
        </w:rPr>
        <w:t xml:space="preserve">the classical understanding of ancient medicine </w:t>
      </w:r>
      <w:r w:rsidR="006451FD">
        <w:rPr>
          <w:b/>
          <w:sz w:val="24"/>
          <w:u w:val="single"/>
        </w:rPr>
        <w:t>had on medical practice of</w:t>
      </w:r>
      <w:r w:rsidRPr="001054F9">
        <w:rPr>
          <w:b/>
          <w:sz w:val="24"/>
          <w:u w:val="single"/>
        </w:rPr>
        <w:t xml:space="preserve"> the Roman military</w:t>
      </w:r>
    </w:p>
    <w:bookmarkEnd w:id="0"/>
    <w:p w14:paraId="448A0D08" w14:textId="15D4783E" w:rsidR="00454B6B" w:rsidRPr="00454B6B" w:rsidRDefault="00F20D3E" w:rsidP="00454B6B">
      <w:pPr>
        <w:rPr>
          <w:i/>
          <w:sz w:val="24"/>
        </w:rPr>
      </w:pPr>
      <w:proofErr w:type="gramStart"/>
      <w:r>
        <w:rPr>
          <w:sz w:val="24"/>
        </w:rPr>
        <w:t>In order to</w:t>
      </w:r>
      <w:proofErr w:type="gramEnd"/>
      <w:r>
        <w:rPr>
          <w:sz w:val="24"/>
        </w:rPr>
        <w:t xml:space="preserve"> discuss the </w:t>
      </w:r>
      <w:r w:rsidR="00C92E05">
        <w:rPr>
          <w:sz w:val="24"/>
        </w:rPr>
        <w:t>impact that</w:t>
      </w:r>
      <w:r>
        <w:rPr>
          <w:sz w:val="24"/>
        </w:rPr>
        <w:t xml:space="preserve"> the classical understanding of ancient medicine had on medical practice in the Roman military this paper will focus on the medical staff and their training as well as the wounds common to the battlefield as well as their treatment, from surgery to their understanding of pharmacological substances.</w:t>
      </w:r>
      <w:r w:rsidR="00C92E05">
        <w:rPr>
          <w:sz w:val="24"/>
        </w:rPr>
        <w:t xml:space="preserve"> The Hippocratic corpus, a collection of works primarily compiled by Hippocrates, was considered the last great innovation in medical texts until the time of Galen. The Galenic works approached the topic from a perspective that focused on the anatomy and the science behind the human body. Galen used the Hippocratic works to allow his further study. Galen served for a time as a medic to the gladiators of Rome, the wounds would be the same, if not similar, to those </w:t>
      </w:r>
      <w:r w:rsidR="000C6D01">
        <w:rPr>
          <w:sz w:val="24"/>
        </w:rPr>
        <w:t xml:space="preserve">from the battlefield but the number of wounded would be significantly less, reducing the pressure to complete the surgeries as quickly as possible to move on to the next one. </w:t>
      </w:r>
    </w:p>
    <w:p w14:paraId="5888E710" w14:textId="3B4A2BC6" w:rsidR="00197F92" w:rsidRDefault="00197F92" w:rsidP="00197F92">
      <w:pPr>
        <w:rPr>
          <w:sz w:val="24"/>
        </w:rPr>
      </w:pPr>
      <w:r>
        <w:rPr>
          <w:sz w:val="24"/>
        </w:rPr>
        <w:t>In the ancient world, the battlefield functioned as an experimenting ground for surgery techniques as well as new medical compounds. With the number of wounded available requiring attention, they medical staff of the military were able to take full advantage of the variation of wounds as well as to assess the reactions of different patients with different compounds. Galen comments that the medics present in the German War “who had the opportunity of dissecting barbarian bodies”</w:t>
      </w:r>
      <w:r>
        <w:rPr>
          <w:rStyle w:val="FootnoteReference"/>
          <w:sz w:val="24"/>
        </w:rPr>
        <w:footnoteReference w:id="1"/>
      </w:r>
      <w:r>
        <w:rPr>
          <w:sz w:val="24"/>
        </w:rPr>
        <w:t xml:space="preserve"> to gain a better understanding of human anatomy yet failed to do so, stating they learned nothing by not doing so. Suggesting the methodical view he had towards instances of ‘lower’ life forms as well as the need to understand the function of the human body extended to those outside the gladiatorial arena.</w:t>
      </w:r>
    </w:p>
    <w:p w14:paraId="277E303C" w14:textId="64E2E180" w:rsidR="00364765" w:rsidRPr="00197F92" w:rsidRDefault="00364765" w:rsidP="00197F92">
      <w:pPr>
        <w:rPr>
          <w:i/>
          <w:sz w:val="24"/>
        </w:rPr>
      </w:pPr>
      <w:r>
        <w:rPr>
          <w:sz w:val="24"/>
        </w:rPr>
        <w:t>Before this paper explores the medical issues presented to the military it is important to note the ancient view of the distinction between the sick and wounded as well as the Roman attitude to injury. While the sick are defined as those who contract what a modern reader would identify as a virus or bacterial infection, the Romans would see these preventable with good hygiene, diet and exercise</w:t>
      </w:r>
      <w:r>
        <w:rPr>
          <w:rStyle w:val="FootnoteReference"/>
          <w:sz w:val="24"/>
        </w:rPr>
        <w:footnoteReference w:id="2"/>
      </w:r>
      <w:r>
        <w:rPr>
          <w:sz w:val="24"/>
        </w:rPr>
        <w:t>, similarly to how the modern reader would attempt to prevent illness. The wounded that will be the focus of this paper refers to those injured on the battlefield in the service if the Roman military. It is also worth discussing that even after receiving medical treatment, a day of exercise, practicing with a sword for example, to be of much more benefit to the sick or wounded than the care of the medics</w:t>
      </w:r>
      <w:r>
        <w:rPr>
          <w:rStyle w:val="FootnoteReference"/>
          <w:sz w:val="24"/>
        </w:rPr>
        <w:footnoteReference w:id="3"/>
      </w:r>
      <w:r>
        <w:rPr>
          <w:sz w:val="24"/>
        </w:rPr>
        <w:t xml:space="preserve">.  </w:t>
      </w:r>
    </w:p>
    <w:p w14:paraId="7CF0F501" w14:textId="1919BB7B" w:rsidR="004C1460" w:rsidRPr="001054F9" w:rsidRDefault="004C1460" w:rsidP="004C1460">
      <w:pPr>
        <w:rPr>
          <w:sz w:val="24"/>
        </w:rPr>
      </w:pPr>
      <w:r w:rsidRPr="001054F9">
        <w:rPr>
          <w:sz w:val="24"/>
        </w:rPr>
        <w:t>The primary issue created for the medical field in the Roman military was the expansion of the Rom</w:t>
      </w:r>
      <w:r w:rsidR="00D04A6C" w:rsidRPr="001054F9">
        <w:rPr>
          <w:sz w:val="24"/>
        </w:rPr>
        <w:t xml:space="preserve">an Empire, when the borders of </w:t>
      </w:r>
      <w:r w:rsidRPr="001054F9">
        <w:rPr>
          <w:sz w:val="24"/>
        </w:rPr>
        <w:t>the empire had expanded beyond a po</w:t>
      </w:r>
      <w:r w:rsidR="00D04A6C" w:rsidRPr="001054F9">
        <w:rPr>
          <w:sz w:val="24"/>
        </w:rPr>
        <w:t xml:space="preserve">int, it was no longer a feasible option to transport the wounded back to Rome. The impact of this was that there was now a need for facilities, both temporary and fixed stricter where legionaries and </w:t>
      </w:r>
      <w:r w:rsidR="006437F5" w:rsidRPr="001054F9">
        <w:rPr>
          <w:sz w:val="24"/>
        </w:rPr>
        <w:t>auxiliary</w:t>
      </w:r>
      <w:r w:rsidR="00D04A6C" w:rsidRPr="001054F9">
        <w:rPr>
          <w:sz w:val="24"/>
        </w:rPr>
        <w:t xml:space="preserve"> forces were based, to both treat the wounded and allow them a place within </w:t>
      </w:r>
      <w:r w:rsidR="00D04A6C" w:rsidRPr="001054F9">
        <w:rPr>
          <w:sz w:val="24"/>
        </w:rPr>
        <w:lastRenderedPageBreak/>
        <w:t>the camp with trained staff to monitor and maintain the facility. This paper will explore the developments of the medical field in the context of battlefield medicine to be able to accommodate the changing circumstances of the empire.</w:t>
      </w:r>
    </w:p>
    <w:p w14:paraId="2ADC01D2" w14:textId="5D4AA506" w:rsidR="00D04A6C" w:rsidRPr="001054F9" w:rsidRDefault="00D04A6C" w:rsidP="004C1460">
      <w:pPr>
        <w:rPr>
          <w:sz w:val="24"/>
        </w:rPr>
      </w:pPr>
      <w:r w:rsidRPr="001054F9">
        <w:rPr>
          <w:sz w:val="24"/>
        </w:rPr>
        <w:t xml:space="preserve">To accurately discuss the types of wounds common to the soldier on the battlefield it is first important to discuss the medical ability of the staff as well as training provided to counter the sheer number of wounded. To classify those with medical training it is key to look at the terminology used in works such as the </w:t>
      </w:r>
      <w:r w:rsidRPr="001054F9">
        <w:rPr>
          <w:i/>
          <w:sz w:val="24"/>
        </w:rPr>
        <w:t>Immunes</w:t>
      </w:r>
      <w:r w:rsidRPr="001054F9">
        <w:rPr>
          <w:rStyle w:val="FootnoteReference"/>
          <w:i/>
          <w:sz w:val="24"/>
        </w:rPr>
        <w:footnoteReference w:id="4"/>
      </w:r>
      <w:r w:rsidRPr="001054F9">
        <w:rPr>
          <w:i/>
          <w:sz w:val="24"/>
        </w:rPr>
        <w:t>.</w:t>
      </w:r>
      <w:r w:rsidRPr="001054F9">
        <w:rPr>
          <w:sz w:val="24"/>
        </w:rPr>
        <w:t xml:space="preserve"> While the immunes are defined as a man responsible for the care of the sick and wounded there are several distinctions between different types of medical staff and the functions they performed. For any medic within the Roman military the title </w:t>
      </w:r>
      <w:r w:rsidRPr="001054F9">
        <w:rPr>
          <w:i/>
          <w:sz w:val="24"/>
        </w:rPr>
        <w:t>medici militum</w:t>
      </w:r>
      <w:r w:rsidR="00BD789B" w:rsidRPr="001054F9">
        <w:rPr>
          <w:rStyle w:val="FootnoteReference"/>
          <w:i/>
          <w:sz w:val="24"/>
        </w:rPr>
        <w:footnoteReference w:id="5"/>
      </w:r>
      <w:r w:rsidRPr="001054F9">
        <w:rPr>
          <w:i/>
          <w:sz w:val="24"/>
        </w:rPr>
        <w:t>,</w:t>
      </w:r>
      <w:r w:rsidRPr="001054F9">
        <w:rPr>
          <w:sz w:val="24"/>
        </w:rPr>
        <w:t xml:space="preserve"> meaning army medic in its most basic translation is applicable, however in order to discuss the other specialist titles this paper will briefly note the definition of </w:t>
      </w:r>
      <w:r w:rsidRPr="001054F9">
        <w:rPr>
          <w:i/>
          <w:sz w:val="24"/>
        </w:rPr>
        <w:t>medicus</w:t>
      </w:r>
      <w:r w:rsidRPr="001054F9">
        <w:rPr>
          <w:sz w:val="24"/>
        </w:rPr>
        <w:t>, which originated from the verb ‘</w:t>
      </w:r>
      <w:proofErr w:type="spellStart"/>
      <w:r w:rsidRPr="001054F9">
        <w:rPr>
          <w:sz w:val="24"/>
        </w:rPr>
        <w:t>medeor</w:t>
      </w:r>
      <w:proofErr w:type="spellEnd"/>
      <w:r w:rsidRPr="001054F9">
        <w:rPr>
          <w:sz w:val="24"/>
        </w:rPr>
        <w:t xml:space="preserve">’ </w:t>
      </w:r>
      <w:r w:rsidR="006437F5" w:rsidRPr="001054F9">
        <w:rPr>
          <w:sz w:val="24"/>
        </w:rPr>
        <w:t>meaning</w:t>
      </w:r>
      <w:r w:rsidRPr="001054F9">
        <w:rPr>
          <w:sz w:val="24"/>
        </w:rPr>
        <w:t xml:space="preserve"> ‘to heal’</w:t>
      </w:r>
      <w:r w:rsidRPr="001054F9">
        <w:rPr>
          <w:rStyle w:val="FootnoteReference"/>
          <w:sz w:val="24"/>
        </w:rPr>
        <w:footnoteReference w:id="6"/>
      </w:r>
      <w:r w:rsidRPr="001054F9">
        <w:rPr>
          <w:sz w:val="24"/>
        </w:rPr>
        <w:t>, at its basest form. The term medicus also refers to those with any medical training and the ability to care for the wounded.</w:t>
      </w:r>
    </w:p>
    <w:p w14:paraId="3B42017A" w14:textId="7831601E" w:rsidR="00D04A6C" w:rsidRPr="001054F9" w:rsidRDefault="00D04A6C" w:rsidP="004C1460">
      <w:pPr>
        <w:rPr>
          <w:sz w:val="24"/>
        </w:rPr>
      </w:pPr>
      <w:r w:rsidRPr="001054F9">
        <w:rPr>
          <w:sz w:val="24"/>
        </w:rPr>
        <w:t xml:space="preserve">The terms are then branched upon, for example the title </w:t>
      </w:r>
      <w:r w:rsidRPr="001054F9">
        <w:rPr>
          <w:i/>
          <w:sz w:val="24"/>
        </w:rPr>
        <w:t>medicus duplicarius</w:t>
      </w:r>
      <w:r w:rsidRPr="001054F9">
        <w:rPr>
          <w:sz w:val="24"/>
        </w:rPr>
        <w:t xml:space="preserve"> refers to a medic who received double pay for the extra responsibilities he carried out under the umbrella term of </w:t>
      </w:r>
      <w:r w:rsidRPr="001054F9">
        <w:rPr>
          <w:i/>
          <w:sz w:val="24"/>
        </w:rPr>
        <w:t>principales</w:t>
      </w:r>
      <w:r w:rsidRPr="001054F9">
        <w:rPr>
          <w:rStyle w:val="FootnoteReference"/>
          <w:i/>
          <w:sz w:val="24"/>
        </w:rPr>
        <w:footnoteReference w:id="7"/>
      </w:r>
      <w:r w:rsidRPr="001054F9">
        <w:rPr>
          <w:i/>
          <w:sz w:val="24"/>
        </w:rPr>
        <w:t xml:space="preserve"> </w:t>
      </w:r>
      <w:r w:rsidRPr="001054F9">
        <w:rPr>
          <w:sz w:val="24"/>
        </w:rPr>
        <w:t>w</w:t>
      </w:r>
      <w:r w:rsidR="006437F5" w:rsidRPr="001054F9">
        <w:rPr>
          <w:sz w:val="24"/>
        </w:rPr>
        <w:t>h</w:t>
      </w:r>
      <w:r w:rsidRPr="001054F9">
        <w:rPr>
          <w:sz w:val="24"/>
        </w:rPr>
        <w:t xml:space="preserve">ich applied to any who received increased pay for carrying out further duties, the example provided by Simpson was Marcus Satrius Longinus who was listed as the </w:t>
      </w:r>
      <w:r w:rsidRPr="001054F9">
        <w:rPr>
          <w:i/>
          <w:sz w:val="24"/>
        </w:rPr>
        <w:t xml:space="preserve">medicus duplicarius </w:t>
      </w:r>
      <w:r w:rsidRPr="001054F9">
        <w:rPr>
          <w:sz w:val="24"/>
        </w:rPr>
        <w:t>of the trireme designated ‘Cupid’</w:t>
      </w:r>
      <w:r w:rsidRPr="001054F9">
        <w:rPr>
          <w:rStyle w:val="FootnoteReference"/>
          <w:sz w:val="24"/>
        </w:rPr>
        <w:footnoteReference w:id="8"/>
      </w:r>
      <w:r w:rsidRPr="001054F9">
        <w:rPr>
          <w:sz w:val="24"/>
        </w:rPr>
        <w:t>.</w:t>
      </w:r>
    </w:p>
    <w:p w14:paraId="3644017F" w14:textId="745F33B6" w:rsidR="00D04A6C" w:rsidRPr="001054F9" w:rsidRDefault="00D04A6C" w:rsidP="004C1460">
      <w:pPr>
        <w:rPr>
          <w:sz w:val="24"/>
        </w:rPr>
      </w:pPr>
      <w:r w:rsidRPr="001054F9">
        <w:rPr>
          <w:sz w:val="24"/>
        </w:rPr>
        <w:t xml:space="preserve">The next term of note recorded is the </w:t>
      </w:r>
      <w:r w:rsidRPr="001054F9">
        <w:rPr>
          <w:i/>
          <w:sz w:val="24"/>
        </w:rPr>
        <w:t>medicus legionis</w:t>
      </w:r>
      <w:r w:rsidRPr="001054F9">
        <w:rPr>
          <w:sz w:val="24"/>
        </w:rPr>
        <w:t xml:space="preserve"> which signified the man held a short military commission before moving into the field of private medical practice</w:t>
      </w:r>
      <w:r w:rsidRPr="001054F9">
        <w:rPr>
          <w:rStyle w:val="FootnoteReference"/>
          <w:sz w:val="24"/>
        </w:rPr>
        <w:footnoteReference w:id="9"/>
      </w:r>
      <w:r w:rsidRPr="001054F9">
        <w:rPr>
          <w:sz w:val="24"/>
        </w:rPr>
        <w:t xml:space="preserve"> which differs slightly from the </w:t>
      </w:r>
      <w:r w:rsidRPr="001054F9">
        <w:rPr>
          <w:i/>
          <w:sz w:val="24"/>
        </w:rPr>
        <w:t>miles medicus</w:t>
      </w:r>
      <w:r w:rsidRPr="001054F9">
        <w:rPr>
          <w:sz w:val="24"/>
        </w:rPr>
        <w:t xml:space="preserve"> which signifies that while the medic has taken and operated under an active military oath, they were a non-combatant</w:t>
      </w:r>
      <w:r w:rsidR="00E84B75" w:rsidRPr="001054F9">
        <w:rPr>
          <w:rStyle w:val="FootnoteReference"/>
          <w:sz w:val="24"/>
        </w:rPr>
        <w:footnoteReference w:id="10"/>
      </w:r>
      <w:r w:rsidRPr="001054F9">
        <w:rPr>
          <w:sz w:val="24"/>
        </w:rPr>
        <w:t xml:space="preserve">. In addition to the primary title of </w:t>
      </w:r>
      <w:r w:rsidRPr="001054F9">
        <w:rPr>
          <w:i/>
          <w:sz w:val="24"/>
        </w:rPr>
        <w:t>medicus</w:t>
      </w:r>
      <w:r w:rsidRPr="001054F9">
        <w:rPr>
          <w:sz w:val="24"/>
        </w:rPr>
        <w:t xml:space="preserve">, there was a distinction of the </w:t>
      </w:r>
      <w:r w:rsidRPr="001054F9">
        <w:rPr>
          <w:i/>
          <w:sz w:val="24"/>
        </w:rPr>
        <w:t>medicus ordinari</w:t>
      </w:r>
      <w:r w:rsidR="00CC5326" w:rsidRPr="001054F9">
        <w:rPr>
          <w:i/>
          <w:sz w:val="24"/>
        </w:rPr>
        <w:t>u</w:t>
      </w:r>
      <w:r w:rsidRPr="001054F9">
        <w:rPr>
          <w:i/>
          <w:sz w:val="24"/>
        </w:rPr>
        <w:t>s</w:t>
      </w:r>
      <w:r w:rsidRPr="001054F9">
        <w:rPr>
          <w:sz w:val="24"/>
        </w:rPr>
        <w:t xml:space="preserve"> indicating service as a medical orderly within the ranks, with little to no elevated status from his position, such as on par with the centurions for example</w:t>
      </w:r>
      <w:r w:rsidR="00CC5326" w:rsidRPr="001054F9">
        <w:rPr>
          <w:rStyle w:val="FootnoteReference"/>
          <w:sz w:val="24"/>
        </w:rPr>
        <w:footnoteReference w:id="11"/>
      </w:r>
      <w:r w:rsidRPr="001054F9">
        <w:rPr>
          <w:sz w:val="24"/>
        </w:rPr>
        <w:t>.</w:t>
      </w:r>
      <w:r w:rsidR="00CC5326" w:rsidRPr="001054F9">
        <w:rPr>
          <w:sz w:val="24"/>
        </w:rPr>
        <w:t xml:space="preserve"> Campbell discusses the title of </w:t>
      </w:r>
      <w:r w:rsidR="00CC5326" w:rsidRPr="001054F9">
        <w:rPr>
          <w:i/>
          <w:sz w:val="24"/>
        </w:rPr>
        <w:t>medicus ordinarius</w:t>
      </w:r>
      <w:r w:rsidR="00CC5326" w:rsidRPr="001054F9">
        <w:rPr>
          <w:sz w:val="24"/>
        </w:rPr>
        <w:t xml:space="preserve"> as an unnecessary distinction</w:t>
      </w:r>
      <w:r w:rsidR="00CC5326" w:rsidRPr="001054F9">
        <w:rPr>
          <w:rStyle w:val="FootnoteReference"/>
          <w:sz w:val="24"/>
        </w:rPr>
        <w:footnoteReference w:id="12"/>
      </w:r>
      <w:r w:rsidR="00CC5326" w:rsidRPr="001054F9">
        <w:rPr>
          <w:sz w:val="24"/>
        </w:rPr>
        <w:t xml:space="preserve"> which this paper would be inclined to agree however, the uses of these distinctions enable a modern reader to determine if a rank structure ever existed within the medical staff of the Roman military.</w:t>
      </w:r>
    </w:p>
    <w:p w14:paraId="4FE7B349" w14:textId="1001D099" w:rsidR="00CC5326" w:rsidRPr="001054F9" w:rsidRDefault="00CC5326" w:rsidP="004C1460">
      <w:pPr>
        <w:rPr>
          <w:sz w:val="24"/>
        </w:rPr>
      </w:pPr>
      <w:r w:rsidRPr="001054F9">
        <w:rPr>
          <w:sz w:val="24"/>
        </w:rPr>
        <w:t xml:space="preserve">Another </w:t>
      </w:r>
      <w:r w:rsidR="00D1393E" w:rsidRPr="001054F9">
        <w:rPr>
          <w:sz w:val="24"/>
        </w:rPr>
        <w:t>distinction</w:t>
      </w:r>
      <w:r w:rsidRPr="001054F9">
        <w:rPr>
          <w:sz w:val="24"/>
        </w:rPr>
        <w:t xml:space="preserve"> that is provided is the detachment physician, from what appears to be a medic attached to a specific detachment of soldiers within a legion whether they are mobile forces or based in auxiliary outposts, the title used in this instance is the </w:t>
      </w:r>
      <w:r w:rsidRPr="001054F9">
        <w:rPr>
          <w:i/>
          <w:sz w:val="24"/>
        </w:rPr>
        <w:t>medicus vexillationis</w:t>
      </w:r>
      <w:r w:rsidRPr="001054F9">
        <w:rPr>
          <w:rStyle w:val="FootnoteReference"/>
          <w:i/>
          <w:sz w:val="24"/>
        </w:rPr>
        <w:footnoteReference w:id="13"/>
      </w:r>
      <w:r w:rsidRPr="001054F9">
        <w:rPr>
          <w:i/>
          <w:sz w:val="24"/>
        </w:rPr>
        <w:t>.</w:t>
      </w:r>
      <w:r w:rsidRPr="001054F9">
        <w:rPr>
          <w:sz w:val="24"/>
        </w:rPr>
        <w:t xml:space="preserve"> These titles tend to be </w:t>
      </w:r>
      <w:r w:rsidR="000D163A" w:rsidRPr="001054F9">
        <w:rPr>
          <w:sz w:val="24"/>
        </w:rPr>
        <w:t>primarily</w:t>
      </w:r>
      <w:r w:rsidRPr="001054F9">
        <w:rPr>
          <w:sz w:val="24"/>
        </w:rPr>
        <w:t xml:space="preserve"> applicable to fully trained medical staff. Of </w:t>
      </w:r>
      <w:r w:rsidRPr="001054F9">
        <w:rPr>
          <w:sz w:val="24"/>
        </w:rPr>
        <w:lastRenderedPageBreak/>
        <w:t>which their services were provided for a number of reasons, in some cases Campbell records the tendency for a medic to retire from the service of the military to start a private practice after using the experience gained in service to the army and the renown the service added to his reputation</w:t>
      </w:r>
      <w:r w:rsidRPr="001054F9">
        <w:rPr>
          <w:rStyle w:val="FootnoteReference"/>
          <w:sz w:val="24"/>
        </w:rPr>
        <w:footnoteReference w:id="14"/>
      </w:r>
      <w:r w:rsidRPr="001054F9">
        <w:rPr>
          <w:sz w:val="24"/>
        </w:rPr>
        <w:t>.</w:t>
      </w:r>
    </w:p>
    <w:p w14:paraId="42F3A0C4" w14:textId="1B48EBB1" w:rsidR="00CC5326" w:rsidRPr="001054F9" w:rsidRDefault="00CC5326" w:rsidP="004C1460">
      <w:pPr>
        <w:rPr>
          <w:sz w:val="24"/>
        </w:rPr>
      </w:pPr>
      <w:r w:rsidRPr="001054F9">
        <w:rPr>
          <w:sz w:val="24"/>
        </w:rPr>
        <w:t xml:space="preserve">In addition </w:t>
      </w:r>
      <w:r w:rsidR="000D163A" w:rsidRPr="001054F9">
        <w:rPr>
          <w:sz w:val="24"/>
        </w:rPr>
        <w:t xml:space="preserve">to the main medical staff there were also cases of training for the common soldier on the job as wound dressers, this meant that with basic first aid training the fully trained medics were able to focus on the more grievously wounded or those who were potentially on the verge of death. The common soldier being able to perform basic first aid, such as treating minor flesh wounds, would encourage comradery as well as lessen the work load for those with more specialised training and ability to carry out surgery. The term </w:t>
      </w:r>
      <w:r w:rsidR="000D163A" w:rsidRPr="001054F9">
        <w:rPr>
          <w:i/>
          <w:sz w:val="24"/>
        </w:rPr>
        <w:t>discentes capsariourum</w:t>
      </w:r>
      <w:r w:rsidR="000D163A" w:rsidRPr="001054F9">
        <w:rPr>
          <w:sz w:val="24"/>
        </w:rPr>
        <w:t xml:space="preserve"> was used to </w:t>
      </w:r>
      <w:r w:rsidR="00D1393E" w:rsidRPr="001054F9">
        <w:rPr>
          <w:sz w:val="24"/>
        </w:rPr>
        <w:t>signify</w:t>
      </w:r>
      <w:r w:rsidR="000D163A" w:rsidRPr="001054F9">
        <w:rPr>
          <w:sz w:val="24"/>
        </w:rPr>
        <w:t xml:space="preserve"> a trainee to the medics</w:t>
      </w:r>
      <w:r w:rsidR="00BD789B" w:rsidRPr="001054F9">
        <w:rPr>
          <w:rStyle w:val="FootnoteReference"/>
          <w:sz w:val="24"/>
        </w:rPr>
        <w:footnoteReference w:id="15"/>
      </w:r>
      <w:r w:rsidR="000D163A" w:rsidRPr="001054F9">
        <w:rPr>
          <w:sz w:val="24"/>
        </w:rPr>
        <w:t xml:space="preserve"> as well as the title </w:t>
      </w:r>
      <w:r w:rsidR="000D163A" w:rsidRPr="001054F9">
        <w:rPr>
          <w:i/>
          <w:sz w:val="24"/>
        </w:rPr>
        <w:t>capsarii</w:t>
      </w:r>
      <w:r w:rsidR="000D163A" w:rsidRPr="001054F9">
        <w:rPr>
          <w:sz w:val="24"/>
        </w:rPr>
        <w:t xml:space="preserve"> which referred to</w:t>
      </w:r>
      <w:r w:rsidR="00E84B75" w:rsidRPr="001054F9">
        <w:rPr>
          <w:sz w:val="24"/>
        </w:rPr>
        <w:t xml:space="preserve"> a hospital assistant</w:t>
      </w:r>
      <w:r w:rsidR="00E84B75" w:rsidRPr="001054F9">
        <w:rPr>
          <w:rStyle w:val="FootnoteReference"/>
          <w:sz w:val="24"/>
        </w:rPr>
        <w:footnoteReference w:id="16"/>
      </w:r>
      <w:r w:rsidR="00E84B75" w:rsidRPr="001054F9">
        <w:rPr>
          <w:sz w:val="24"/>
        </w:rPr>
        <w:t xml:space="preserve">. The origin of the term </w:t>
      </w:r>
      <w:r w:rsidR="00E84B75" w:rsidRPr="001054F9">
        <w:rPr>
          <w:i/>
          <w:sz w:val="24"/>
        </w:rPr>
        <w:t xml:space="preserve">capsarii </w:t>
      </w:r>
      <w:r w:rsidR="00E84B75" w:rsidRPr="001054F9">
        <w:rPr>
          <w:sz w:val="24"/>
        </w:rPr>
        <w:t xml:space="preserve">originated from the term </w:t>
      </w:r>
      <w:r w:rsidR="00E84B75" w:rsidRPr="001054F9">
        <w:rPr>
          <w:i/>
          <w:sz w:val="24"/>
        </w:rPr>
        <w:t>capsarius</w:t>
      </w:r>
      <w:r w:rsidR="00E84B75" w:rsidRPr="001054F9">
        <w:rPr>
          <w:sz w:val="24"/>
        </w:rPr>
        <w:t xml:space="preserve"> which referred to</w:t>
      </w:r>
      <w:r w:rsidR="000D163A" w:rsidRPr="001054F9">
        <w:rPr>
          <w:sz w:val="24"/>
        </w:rPr>
        <w:t xml:space="preserve">, usually a slave, ‘carrier of </w:t>
      </w:r>
      <w:r w:rsidR="00D1393E" w:rsidRPr="001054F9">
        <w:rPr>
          <w:sz w:val="24"/>
        </w:rPr>
        <w:t>boy’s</w:t>
      </w:r>
      <w:r w:rsidR="000D163A" w:rsidRPr="001054F9">
        <w:rPr>
          <w:sz w:val="24"/>
        </w:rPr>
        <w:t xml:space="preserve"> school bag’ in civilian life. The parallel of this terms application in the medical field could have referred to a ‘carrier of bandages’ or more likely a ‘wound dresser’ in the context of battlefield medical care it is a logical assumption the medics capable of surgery would conduct the </w:t>
      </w:r>
      <w:r w:rsidR="006437F5" w:rsidRPr="001054F9">
        <w:rPr>
          <w:sz w:val="24"/>
        </w:rPr>
        <w:t>procedure and leave the dressing of the wounds to the assistants while they moved on to the next patient, suggesting an understanding that time was of the essence in preventing loss of life within the ranks.</w:t>
      </w:r>
    </w:p>
    <w:p w14:paraId="79FDB726" w14:textId="45A8B61C" w:rsidR="006437F5" w:rsidRPr="001054F9" w:rsidRDefault="006437F5" w:rsidP="004C1460">
      <w:pPr>
        <w:rPr>
          <w:sz w:val="24"/>
        </w:rPr>
      </w:pPr>
      <w:r w:rsidRPr="001054F9">
        <w:rPr>
          <w:sz w:val="24"/>
        </w:rPr>
        <w:t>Further it became increasingly common for the officers of the army to bring their private physicians to the camp with them as well as accompanying them on the battlefield</w:t>
      </w:r>
      <w:r w:rsidRPr="001054F9">
        <w:rPr>
          <w:rStyle w:val="FootnoteReference"/>
          <w:sz w:val="24"/>
        </w:rPr>
        <w:footnoteReference w:id="17"/>
      </w:r>
      <w:r w:rsidRPr="001054F9">
        <w:rPr>
          <w:sz w:val="24"/>
        </w:rPr>
        <w:t xml:space="preserve">, with the roman conquest of the classical Greek world, several of the physicians were of Greek origin, hired </w:t>
      </w:r>
      <w:r w:rsidR="00E84B75" w:rsidRPr="001054F9">
        <w:rPr>
          <w:sz w:val="24"/>
        </w:rPr>
        <w:t>into the service of the Roman elite for their abilities as medical personnel. There are recorded instances of the officers allowing their private physicians to carry out medical services for the other soldiers, Velleius Paterculus a soldier in the first century AD commented on the Emperor sharing his private physician with the common soldier</w:t>
      </w:r>
      <w:r w:rsidR="00E84B75" w:rsidRPr="001054F9">
        <w:rPr>
          <w:rStyle w:val="FootnoteReference"/>
          <w:sz w:val="24"/>
        </w:rPr>
        <w:footnoteReference w:id="18"/>
      </w:r>
      <w:r w:rsidR="00E84B75" w:rsidRPr="001054F9">
        <w:rPr>
          <w:sz w:val="24"/>
        </w:rPr>
        <w:t xml:space="preserve"> as well as the comments of Ammianus Marcellinus from the fourth century AD suggesting the number of doctors available in the field hospitals were vastly insufficient and this negatively impacted the medical services provided to the soldiers</w:t>
      </w:r>
      <w:r w:rsidR="00E84B75" w:rsidRPr="001054F9">
        <w:rPr>
          <w:rStyle w:val="FootnoteReference"/>
          <w:sz w:val="24"/>
        </w:rPr>
        <w:footnoteReference w:id="19"/>
      </w:r>
      <w:r w:rsidR="00E84B75" w:rsidRPr="001054F9">
        <w:rPr>
          <w:sz w:val="24"/>
        </w:rPr>
        <w:t>. These texts show that even with the number of distinctive titles held by the medical personnel in the Roman military they were still insufficient in number, supporting the ideas presented in Campbell’s article that the common soldiers were almost expected to provide a level of aid to their fellow soldier</w:t>
      </w:r>
      <w:r w:rsidR="00E84B75" w:rsidRPr="001054F9">
        <w:rPr>
          <w:rStyle w:val="FootnoteReference"/>
          <w:sz w:val="24"/>
        </w:rPr>
        <w:footnoteReference w:id="20"/>
      </w:r>
      <w:r w:rsidR="00E84B75" w:rsidRPr="001054F9">
        <w:rPr>
          <w:sz w:val="24"/>
        </w:rPr>
        <w:t xml:space="preserve"> and the term </w:t>
      </w:r>
      <w:r w:rsidR="00E84B75" w:rsidRPr="001054F9">
        <w:rPr>
          <w:i/>
          <w:sz w:val="24"/>
        </w:rPr>
        <w:t>medicus</w:t>
      </w:r>
      <w:r w:rsidR="00E84B75" w:rsidRPr="001054F9">
        <w:rPr>
          <w:sz w:val="24"/>
        </w:rPr>
        <w:t xml:space="preserve"> could be applied to any who held even a rudimentary understanding of medicine. Cicero comments however that “the experienced soldier was confident in treatment in the field, but the novice despaired at the slightest hurt”</w:t>
      </w:r>
      <w:r w:rsidR="00E84B75" w:rsidRPr="001054F9">
        <w:rPr>
          <w:rStyle w:val="FootnoteReference"/>
          <w:sz w:val="24"/>
        </w:rPr>
        <w:footnoteReference w:id="21"/>
      </w:r>
      <w:r w:rsidR="00E84B75" w:rsidRPr="001054F9">
        <w:rPr>
          <w:sz w:val="24"/>
        </w:rPr>
        <w:t xml:space="preserve">. The issue presented with this is that the quality of the medical care provided in these instances would be greatly </w:t>
      </w:r>
      <w:r w:rsidR="00E84B75" w:rsidRPr="001054F9">
        <w:rPr>
          <w:sz w:val="24"/>
        </w:rPr>
        <w:lastRenderedPageBreak/>
        <w:t xml:space="preserve">reduced by the medic’s level of experience and exposure to the potential horrors of the battlefield. </w:t>
      </w:r>
    </w:p>
    <w:p w14:paraId="64AABF0A" w14:textId="1BFD6EF6" w:rsidR="00E84B75" w:rsidRPr="001054F9" w:rsidRDefault="00E84B75" w:rsidP="004C1460">
      <w:pPr>
        <w:rPr>
          <w:sz w:val="24"/>
        </w:rPr>
      </w:pPr>
      <w:r w:rsidRPr="001054F9">
        <w:rPr>
          <w:sz w:val="24"/>
        </w:rPr>
        <w:t>While the terminology is useful in identifying the level of importance the medical field was to the military it is also clear there is little to no formal organisation, in many cases the medical ability came secondary to the individuals role as a soldier, the rank structure while present is rudimentary at best.</w:t>
      </w:r>
    </w:p>
    <w:p w14:paraId="151D2B94" w14:textId="5E443DC3" w:rsidR="006E514B" w:rsidRPr="001054F9" w:rsidRDefault="00B2432E">
      <w:pPr>
        <w:rPr>
          <w:sz w:val="24"/>
        </w:rPr>
      </w:pPr>
      <w:r w:rsidRPr="001054F9">
        <w:rPr>
          <w:sz w:val="24"/>
        </w:rPr>
        <w:t xml:space="preserve">This section of the paper will discuss the most common </w:t>
      </w:r>
      <w:r w:rsidR="009E0005" w:rsidRPr="001054F9">
        <w:rPr>
          <w:sz w:val="24"/>
        </w:rPr>
        <w:t>categories</w:t>
      </w:r>
      <w:r w:rsidRPr="001054F9">
        <w:rPr>
          <w:sz w:val="24"/>
        </w:rPr>
        <w:t xml:space="preserve"> of wounding that occurs on the battlefield as well as the complications and </w:t>
      </w:r>
      <w:r w:rsidR="009E0005" w:rsidRPr="001054F9">
        <w:rPr>
          <w:sz w:val="24"/>
        </w:rPr>
        <w:t>treatments employed by the medical staff in an attempt to determine the classical understanding of medical care. Using the commentary by Salazar as well as the works of ancient authors such as Galen, Celsus and Plutarch, a reader can identify five distinct categories of wound on the classical battlefield.</w:t>
      </w:r>
    </w:p>
    <w:p w14:paraId="1B1D76A7" w14:textId="77777777" w:rsidR="009E0005" w:rsidRPr="001054F9" w:rsidRDefault="009E0005">
      <w:pPr>
        <w:rPr>
          <w:sz w:val="24"/>
        </w:rPr>
      </w:pPr>
      <w:r w:rsidRPr="001054F9">
        <w:rPr>
          <w:sz w:val="24"/>
        </w:rPr>
        <w:t>The initial and potentially most common would be those categorised as flesh wounds. Paulibus stated the Roman soldiers trained and adapted to the training of the Gaul’s that used a sword in cutting motions rather than a thrusting movement as it was more effective in some instances</w:t>
      </w:r>
      <w:r w:rsidRPr="001054F9">
        <w:rPr>
          <w:rStyle w:val="FootnoteReference"/>
          <w:sz w:val="24"/>
        </w:rPr>
        <w:footnoteReference w:id="22"/>
      </w:r>
      <w:r w:rsidRPr="001054F9">
        <w:rPr>
          <w:sz w:val="24"/>
        </w:rPr>
        <w:t>. Vegetius also comments that flesh wounds can also be created by deflected spears</w:t>
      </w:r>
      <w:r w:rsidRPr="001054F9">
        <w:rPr>
          <w:rStyle w:val="FootnoteReference"/>
          <w:sz w:val="24"/>
        </w:rPr>
        <w:footnoteReference w:id="23"/>
      </w:r>
      <w:r w:rsidRPr="001054F9">
        <w:rPr>
          <w:sz w:val="24"/>
        </w:rPr>
        <w:t xml:space="preserve">. Literary sources such as Homer’s </w:t>
      </w:r>
      <w:r w:rsidRPr="001054F9">
        <w:rPr>
          <w:i/>
          <w:sz w:val="24"/>
        </w:rPr>
        <w:t>Iliad</w:t>
      </w:r>
      <w:r w:rsidRPr="001054F9">
        <w:rPr>
          <w:sz w:val="24"/>
        </w:rPr>
        <w:t xml:space="preserve"> can be used, although with caution in the attempt to avoid literary exaggeration, to determine the types of flesh wounds that can be obtained during battle however it does not lend the ability to determine the frequency these wounds occurred. Celsus records the </w:t>
      </w:r>
      <w:r w:rsidR="00FD35EE" w:rsidRPr="001054F9">
        <w:rPr>
          <w:sz w:val="24"/>
        </w:rPr>
        <w:t>risk of what is defined as tetanus, while different to the modern definition of the affliction. Treatment of these wounds were often carried out by the common soldier with his comrades as it required little medical skill to apply bandages, which according the Galen, were made of varying materials primarily of dry linen or sponges</w:t>
      </w:r>
      <w:r w:rsidR="00FD35EE" w:rsidRPr="001054F9">
        <w:rPr>
          <w:rStyle w:val="FootnoteReference"/>
          <w:sz w:val="24"/>
        </w:rPr>
        <w:footnoteReference w:id="24"/>
      </w:r>
      <w:r w:rsidR="00FD35EE" w:rsidRPr="001054F9">
        <w:rPr>
          <w:sz w:val="24"/>
        </w:rPr>
        <w:t>. These could also be soaked in a number of liquid remedies, more commonly wine, oil and water. Bandages made from wool, either washed or greased slightly, were also common however Salazar comments the greased bandages in these cases were preferred for keeping the wound warm</w:t>
      </w:r>
      <w:r w:rsidR="00FD35EE" w:rsidRPr="001054F9">
        <w:rPr>
          <w:rStyle w:val="FootnoteReference"/>
          <w:sz w:val="24"/>
        </w:rPr>
        <w:footnoteReference w:id="25"/>
      </w:r>
      <w:r w:rsidR="00FD35EE" w:rsidRPr="001054F9">
        <w:rPr>
          <w:sz w:val="24"/>
        </w:rPr>
        <w:t>.  Larger wounds may have required sutures, these were made commonly from linen thread or a flax material</w:t>
      </w:r>
      <w:r w:rsidR="00B5590F" w:rsidRPr="001054F9">
        <w:rPr>
          <w:rStyle w:val="FootnoteReference"/>
          <w:sz w:val="24"/>
        </w:rPr>
        <w:footnoteReference w:id="26"/>
      </w:r>
      <w:r w:rsidR="00FD35EE" w:rsidRPr="001054F9">
        <w:rPr>
          <w:sz w:val="24"/>
        </w:rPr>
        <w:t xml:space="preserve">. </w:t>
      </w:r>
      <w:r w:rsidR="00F316A0" w:rsidRPr="001054F9">
        <w:rPr>
          <w:sz w:val="24"/>
        </w:rPr>
        <w:t>These surgeries were performed by medical staff and sutures</w:t>
      </w:r>
      <w:r w:rsidR="00FD35EE" w:rsidRPr="001054F9">
        <w:rPr>
          <w:sz w:val="24"/>
        </w:rPr>
        <w:t xml:space="preserve"> were used in the same way as modern stitches in an attempt to encourage the wound to coagulate</w:t>
      </w:r>
      <w:r w:rsidR="00F316A0" w:rsidRPr="001054F9">
        <w:rPr>
          <w:sz w:val="24"/>
        </w:rPr>
        <w:t xml:space="preserve"> suggesting the medics understanding that the wounds required assistance in closing and being able to begin the healing process.</w:t>
      </w:r>
      <w:r w:rsidR="00B5590F" w:rsidRPr="001054F9">
        <w:rPr>
          <w:sz w:val="24"/>
        </w:rPr>
        <w:t xml:space="preserve"> There is little recording in the way of the removal of these sutures, the materials would however, rot which  could in turn create its own issues however there is little evidence to support this assumption.</w:t>
      </w:r>
    </w:p>
    <w:p w14:paraId="545DACC0" w14:textId="11A5684E" w:rsidR="00F316A0" w:rsidRPr="001054F9" w:rsidRDefault="00F316A0">
      <w:pPr>
        <w:rPr>
          <w:sz w:val="24"/>
        </w:rPr>
      </w:pPr>
      <w:r w:rsidRPr="001054F9">
        <w:rPr>
          <w:sz w:val="24"/>
        </w:rPr>
        <w:t>The second category identified links well with the first, complications created by foreign bodies within the wound typically arrow heads or the ammunition from sling shots, such as pebbles and general debris</w:t>
      </w:r>
      <w:r w:rsidR="000F740B" w:rsidRPr="001054F9">
        <w:rPr>
          <w:rStyle w:val="FootnoteReference"/>
          <w:sz w:val="24"/>
        </w:rPr>
        <w:footnoteReference w:id="27"/>
      </w:r>
      <w:r w:rsidRPr="001054F9">
        <w:rPr>
          <w:sz w:val="24"/>
        </w:rPr>
        <w:t xml:space="preserve">. This sub category has been commented on by Salazar to be </w:t>
      </w:r>
      <w:r w:rsidRPr="001054F9">
        <w:rPr>
          <w:sz w:val="24"/>
        </w:rPr>
        <w:lastRenderedPageBreak/>
        <w:t>one that requires one of the highest degrees of surgical skill, exceeding the help the common soldier could provide to one another</w:t>
      </w:r>
      <w:r w:rsidRPr="001054F9">
        <w:rPr>
          <w:rStyle w:val="FootnoteReference"/>
          <w:sz w:val="24"/>
        </w:rPr>
        <w:footnoteReference w:id="28"/>
      </w:r>
      <w:r w:rsidRPr="001054F9">
        <w:rPr>
          <w:sz w:val="24"/>
        </w:rPr>
        <w:t>. Plutarch comments that while the wound itself may not be problematic, the removal of the foreign object could create a whole realm of issues</w:t>
      </w:r>
      <w:r w:rsidR="000F740B" w:rsidRPr="001054F9">
        <w:rPr>
          <w:rStyle w:val="FootnoteReference"/>
          <w:sz w:val="24"/>
        </w:rPr>
        <w:footnoteReference w:id="29"/>
      </w:r>
      <w:r w:rsidRPr="001054F9">
        <w:rPr>
          <w:sz w:val="24"/>
        </w:rPr>
        <w:t>. The primary complication with this category is the process of removing them, with the development of warfare the job of the field medic increased tenfold. Ammanius Marcellinus records arrows created with barbs attached via a type of hinge that is designed to tear large chunks of flesh from the body should they be attempted to be removed by the route of entry</w:t>
      </w:r>
      <w:r w:rsidR="000F740B" w:rsidRPr="001054F9">
        <w:rPr>
          <w:rStyle w:val="FootnoteReference"/>
          <w:sz w:val="24"/>
        </w:rPr>
        <w:footnoteReference w:id="30"/>
      </w:r>
      <w:r w:rsidRPr="001054F9">
        <w:rPr>
          <w:sz w:val="24"/>
        </w:rPr>
        <w:t>, essentially pulling the arrow back out. Paul and Dio Cassius record arrow heads with grooves to contain metal shavings that are designed to deposit the debris into the wound even afte</w:t>
      </w:r>
      <w:r w:rsidR="001743E1" w:rsidRPr="001054F9">
        <w:rPr>
          <w:sz w:val="24"/>
        </w:rPr>
        <w:t>r the main arrowhead is removed</w:t>
      </w:r>
      <w:r w:rsidR="000F740B" w:rsidRPr="001054F9">
        <w:rPr>
          <w:rStyle w:val="FootnoteReference"/>
          <w:sz w:val="24"/>
        </w:rPr>
        <w:footnoteReference w:id="31"/>
      </w:r>
      <w:r w:rsidR="001743E1" w:rsidRPr="001054F9">
        <w:rPr>
          <w:sz w:val="24"/>
        </w:rPr>
        <w:t>, causing more internal damage especially if smaller segments were to make it into the blood stream.</w:t>
      </w:r>
      <w:r w:rsidR="00E31DE4" w:rsidRPr="001054F9">
        <w:rPr>
          <w:sz w:val="24"/>
        </w:rPr>
        <w:t xml:space="preserve"> Salazar comments from his research that soldiers were encouraged to leave the arrows in their wounds as long as possible to allow time for a medic to remove them properly</w:t>
      </w:r>
      <w:r w:rsidR="000F740B" w:rsidRPr="001054F9">
        <w:rPr>
          <w:rStyle w:val="FootnoteReference"/>
          <w:sz w:val="24"/>
        </w:rPr>
        <w:footnoteReference w:id="32"/>
      </w:r>
      <w:r w:rsidR="00E31DE4" w:rsidRPr="001054F9">
        <w:rPr>
          <w:sz w:val="24"/>
        </w:rPr>
        <w:t>. By probing the wound the depth of t</w:t>
      </w:r>
      <w:r w:rsidR="00C57649" w:rsidRPr="001054F9">
        <w:rPr>
          <w:sz w:val="24"/>
        </w:rPr>
        <w:t>he arrow could be determined as well as the direction of entry, the type of arrow head that was used as well as to determine the correct place to make an incision along the path of travel to remove the foreign body with as little damage to the wounded as possible, primarily by avoiding vital organs as well as the arteries</w:t>
      </w:r>
      <w:r w:rsidR="000F740B" w:rsidRPr="001054F9">
        <w:rPr>
          <w:rStyle w:val="FootnoteReference"/>
          <w:sz w:val="24"/>
        </w:rPr>
        <w:footnoteReference w:id="33"/>
      </w:r>
      <w:r w:rsidR="00C57649" w:rsidRPr="001054F9">
        <w:rPr>
          <w:sz w:val="24"/>
        </w:rPr>
        <w:t xml:space="preserve">. </w:t>
      </w:r>
      <w:r w:rsidR="00BF7321" w:rsidRPr="001054F9">
        <w:rPr>
          <w:sz w:val="24"/>
        </w:rPr>
        <w:t>Sepsis and gangrene was also of concern, gangrene could only be cured at this point by the afflicted limb being amputated from the body as the medics could offer little help with these complications and the cures tended to end in disfigurement</w:t>
      </w:r>
      <w:r w:rsidR="000F740B" w:rsidRPr="001054F9">
        <w:rPr>
          <w:rStyle w:val="FootnoteReference"/>
          <w:sz w:val="24"/>
        </w:rPr>
        <w:footnoteReference w:id="34"/>
      </w:r>
      <w:r w:rsidR="00BF7321" w:rsidRPr="001054F9">
        <w:rPr>
          <w:sz w:val="24"/>
        </w:rPr>
        <w:t xml:space="preserve">. </w:t>
      </w:r>
    </w:p>
    <w:p w14:paraId="28B9118D" w14:textId="7A20CCF5" w:rsidR="00C57649" w:rsidRPr="001054F9" w:rsidRDefault="00C57649">
      <w:pPr>
        <w:rPr>
          <w:sz w:val="24"/>
        </w:rPr>
      </w:pPr>
      <w:r w:rsidRPr="001054F9">
        <w:rPr>
          <w:sz w:val="24"/>
        </w:rPr>
        <w:t>The third category is another branch of the first, where there are penetrating chest and abdominal wounds. These were recorded as fatal in a lot of cases, spears, swords and arrows were common causes while the symptoms described by Plutarch</w:t>
      </w:r>
      <w:r w:rsidR="000F740B" w:rsidRPr="001054F9">
        <w:rPr>
          <w:rStyle w:val="FootnoteReference"/>
          <w:sz w:val="24"/>
        </w:rPr>
        <w:footnoteReference w:id="35"/>
      </w:r>
      <w:r w:rsidRPr="001054F9">
        <w:rPr>
          <w:sz w:val="24"/>
        </w:rPr>
        <w:t xml:space="preserve"> can lead a modern reader to identify one of the most common causes of death in this instance was in fact, shock. Survival of these wounds can be seen in the Hippocratic Corpus</w:t>
      </w:r>
      <w:r w:rsidR="000F740B" w:rsidRPr="001054F9">
        <w:rPr>
          <w:rStyle w:val="FootnoteReference"/>
          <w:sz w:val="24"/>
        </w:rPr>
        <w:footnoteReference w:id="36"/>
      </w:r>
      <w:r w:rsidRPr="001054F9">
        <w:rPr>
          <w:sz w:val="24"/>
        </w:rPr>
        <w:t xml:space="preserve"> while Galen also records instances of the wound healing externally while pus is collecting internally in the chest</w:t>
      </w:r>
      <w:r w:rsidR="000F740B" w:rsidRPr="001054F9">
        <w:rPr>
          <w:rStyle w:val="FootnoteReference"/>
          <w:sz w:val="24"/>
        </w:rPr>
        <w:footnoteReference w:id="37"/>
      </w:r>
      <w:r w:rsidRPr="001054F9">
        <w:rPr>
          <w:sz w:val="24"/>
        </w:rPr>
        <w:t>. The complications recorded by Galen primarily is the risk to the vital organs, for obvious reasons as well as the risk of haemorrhaging, especially internally in the event the medics did not possess the means to deal with it</w:t>
      </w:r>
      <w:r w:rsidR="000F740B" w:rsidRPr="001054F9">
        <w:rPr>
          <w:rStyle w:val="FootnoteReference"/>
          <w:sz w:val="24"/>
        </w:rPr>
        <w:footnoteReference w:id="38"/>
      </w:r>
      <w:r w:rsidRPr="001054F9">
        <w:rPr>
          <w:sz w:val="24"/>
        </w:rPr>
        <w:t>. Treatment in these instances lean towards sutures, in the case where the intestines are outside the body the medic is required to return them to their proper place before continuing with surgery, suggesting an understanding of the human anatomy</w:t>
      </w:r>
      <w:r w:rsidR="000F740B" w:rsidRPr="001054F9">
        <w:rPr>
          <w:rStyle w:val="FootnoteReference"/>
          <w:sz w:val="24"/>
        </w:rPr>
        <w:footnoteReference w:id="39"/>
      </w:r>
      <w:r w:rsidRPr="001054F9">
        <w:rPr>
          <w:sz w:val="24"/>
        </w:rPr>
        <w:t xml:space="preserve">. Controlling haemorrhaging was of primary importance to the medics and it seems the primary identifying factor was a difference in the </w:t>
      </w:r>
      <w:r w:rsidRPr="001054F9">
        <w:rPr>
          <w:sz w:val="24"/>
        </w:rPr>
        <w:lastRenderedPageBreak/>
        <w:t>quality of the blood. Paul records that by raising the limb and applying pressure enabled the medic to determine if, in cases where the wound continued to bleed, a compound of his choice needed to be applied to the wound until it coagulated</w:t>
      </w:r>
      <w:r w:rsidR="000F740B" w:rsidRPr="001054F9">
        <w:rPr>
          <w:rStyle w:val="FootnoteReference"/>
          <w:sz w:val="24"/>
        </w:rPr>
        <w:footnoteReference w:id="40"/>
      </w:r>
      <w:r w:rsidRPr="001054F9">
        <w:rPr>
          <w:sz w:val="24"/>
        </w:rPr>
        <w:t xml:space="preserve">. </w:t>
      </w:r>
    </w:p>
    <w:p w14:paraId="5EE312DB" w14:textId="6307E818" w:rsidR="00C57649" w:rsidRPr="001054F9" w:rsidRDefault="00C57649">
      <w:pPr>
        <w:rPr>
          <w:sz w:val="24"/>
        </w:rPr>
      </w:pPr>
      <w:r w:rsidRPr="001054F9">
        <w:rPr>
          <w:sz w:val="24"/>
        </w:rPr>
        <w:t xml:space="preserve">The fourth category </w:t>
      </w:r>
      <w:r w:rsidR="00BF7321" w:rsidRPr="001054F9">
        <w:rPr>
          <w:sz w:val="24"/>
        </w:rPr>
        <w:t xml:space="preserve">focuses on wounds sustained </w:t>
      </w:r>
      <w:r w:rsidRPr="001054F9">
        <w:rPr>
          <w:sz w:val="24"/>
        </w:rPr>
        <w:t>to the head. Usually occurring by the helmet being cracked by the force of a blow according to the works of Plutarch</w:t>
      </w:r>
      <w:r w:rsidR="000F740B" w:rsidRPr="001054F9">
        <w:rPr>
          <w:rStyle w:val="FootnoteReference"/>
          <w:sz w:val="24"/>
        </w:rPr>
        <w:footnoteReference w:id="41"/>
      </w:r>
      <w:r w:rsidRPr="001054F9">
        <w:rPr>
          <w:sz w:val="24"/>
        </w:rPr>
        <w:t>. While not necessarily fatal, eye inj</w:t>
      </w:r>
      <w:r w:rsidR="00BF7321" w:rsidRPr="001054F9">
        <w:rPr>
          <w:sz w:val="24"/>
        </w:rPr>
        <w:t>uries were also common, cranial fractures could potentially be fatal if swelling affected the brain but it is unclear as to how well this was understood. The primary complication here was when the wounded fainted</w:t>
      </w:r>
      <w:r w:rsidR="000F740B" w:rsidRPr="001054F9">
        <w:rPr>
          <w:rStyle w:val="FootnoteReference"/>
          <w:sz w:val="24"/>
        </w:rPr>
        <w:footnoteReference w:id="42"/>
      </w:r>
      <w:r w:rsidR="00BF7321" w:rsidRPr="001054F9">
        <w:rPr>
          <w:sz w:val="24"/>
        </w:rPr>
        <w:t>. Galen records the instance where the wounded should faint is to be avoided as much as possible however, it is clear from an antiquity perspective that shock was not an understood concept, being a higher ranking cause of death than infection</w:t>
      </w:r>
      <w:r w:rsidR="000F740B" w:rsidRPr="001054F9">
        <w:rPr>
          <w:rStyle w:val="FootnoteReference"/>
          <w:sz w:val="24"/>
        </w:rPr>
        <w:footnoteReference w:id="43"/>
      </w:r>
      <w:r w:rsidR="00BF7321" w:rsidRPr="001054F9">
        <w:rPr>
          <w:sz w:val="24"/>
        </w:rPr>
        <w:t>. Celsus records that incisions into the scalp to expose the skull were common to determine the extent of the damage however he was clear that these incisions were never to be made at the temple</w:t>
      </w:r>
      <w:r w:rsidR="000F740B" w:rsidRPr="001054F9">
        <w:rPr>
          <w:rStyle w:val="FootnoteReference"/>
          <w:sz w:val="24"/>
        </w:rPr>
        <w:footnoteReference w:id="44"/>
      </w:r>
      <w:r w:rsidR="00BF7321" w:rsidRPr="001054F9">
        <w:rPr>
          <w:sz w:val="24"/>
        </w:rPr>
        <w:t>. If fractures were suspected, Celsus records ink was poured onto the skull and the next day, the surface was scrapped away leaving ink in the cracked bone</w:t>
      </w:r>
      <w:r w:rsidR="00364765">
        <w:rPr>
          <w:sz w:val="24"/>
        </w:rPr>
        <w:t xml:space="preserve"> to determine where the fracture was located</w:t>
      </w:r>
      <w:r w:rsidR="000F740B" w:rsidRPr="001054F9">
        <w:rPr>
          <w:rStyle w:val="FootnoteReference"/>
          <w:sz w:val="24"/>
        </w:rPr>
        <w:footnoteReference w:id="45"/>
      </w:r>
      <w:r w:rsidR="00BF7321" w:rsidRPr="001054F9">
        <w:rPr>
          <w:sz w:val="24"/>
        </w:rPr>
        <w:t>. If the wound was deep, then it was trepanned, a process that removed the broken part of the bone</w:t>
      </w:r>
      <w:r w:rsidR="000F740B" w:rsidRPr="001054F9">
        <w:rPr>
          <w:rStyle w:val="FootnoteReference"/>
          <w:sz w:val="24"/>
        </w:rPr>
        <w:footnoteReference w:id="46"/>
      </w:r>
      <w:r w:rsidR="00BF7321" w:rsidRPr="001054F9">
        <w:rPr>
          <w:sz w:val="24"/>
        </w:rPr>
        <w:t>.</w:t>
      </w:r>
    </w:p>
    <w:p w14:paraId="48574415" w14:textId="552A0250" w:rsidR="00BF7321" w:rsidRPr="001054F9" w:rsidRDefault="00BF7321">
      <w:pPr>
        <w:rPr>
          <w:sz w:val="24"/>
        </w:rPr>
      </w:pPr>
      <w:r w:rsidRPr="001054F9">
        <w:rPr>
          <w:sz w:val="24"/>
        </w:rPr>
        <w:t>Archaeological evidence that lends support to these distinctions can be found in the skeletal remains uncovered as well as the arms and armour discovered, as the bones show both healed wounds as well as corroborate the damage done to armour plating that has survived until excavation. The article written by D. Massey records practical experiments where arrows were shot at armour designed to the specifications of those uncovered by excavation in order to determine the practicality of ancient warfare as well as providing insights into how particular wounds can occur</w:t>
      </w:r>
      <w:r w:rsidR="000F740B" w:rsidRPr="001054F9">
        <w:rPr>
          <w:rStyle w:val="FootnoteReference"/>
          <w:sz w:val="24"/>
        </w:rPr>
        <w:footnoteReference w:id="47"/>
      </w:r>
      <w:r w:rsidRPr="001054F9">
        <w:rPr>
          <w:sz w:val="24"/>
        </w:rPr>
        <w:t>.</w:t>
      </w:r>
    </w:p>
    <w:p w14:paraId="75383269" w14:textId="07BE9FD1" w:rsidR="00560272" w:rsidRPr="001054F9" w:rsidRDefault="00560272">
      <w:pPr>
        <w:rPr>
          <w:sz w:val="24"/>
        </w:rPr>
      </w:pPr>
      <w:r w:rsidRPr="001054F9">
        <w:rPr>
          <w:sz w:val="24"/>
        </w:rPr>
        <w:t>The final category is bone injuries, usually achieved through blunt force trauma it is theorised that slashing strikes could cause fractures in areas there were not a lot of tissue</w:t>
      </w:r>
      <w:r w:rsidR="000F740B" w:rsidRPr="001054F9">
        <w:rPr>
          <w:rStyle w:val="FootnoteReference"/>
          <w:sz w:val="24"/>
        </w:rPr>
        <w:footnoteReference w:id="48"/>
      </w:r>
      <w:r w:rsidRPr="001054F9">
        <w:rPr>
          <w:sz w:val="24"/>
        </w:rPr>
        <w:t>. It is recorded that these types of wounds would more likely be caused by a spear or projectile due to the speed in which they can be wielded causing a bigger impact</w:t>
      </w:r>
      <w:r w:rsidR="000F740B" w:rsidRPr="001054F9">
        <w:rPr>
          <w:rStyle w:val="FootnoteReference"/>
          <w:sz w:val="24"/>
        </w:rPr>
        <w:footnoteReference w:id="49"/>
      </w:r>
      <w:r w:rsidRPr="001054F9">
        <w:rPr>
          <w:sz w:val="24"/>
        </w:rPr>
        <w:t>. Livy records that it was uncommon for swords to cut through bone however there are instance where it had occurred</w:t>
      </w:r>
      <w:r w:rsidR="000F740B" w:rsidRPr="001054F9">
        <w:rPr>
          <w:rStyle w:val="FootnoteReference"/>
          <w:sz w:val="24"/>
        </w:rPr>
        <w:footnoteReference w:id="50"/>
      </w:r>
      <w:r w:rsidRPr="001054F9">
        <w:rPr>
          <w:sz w:val="24"/>
        </w:rPr>
        <w:t xml:space="preserve">. The primary complication with this category is the risk of permanent disfigurement and disablement, mainly lameness, such as losing a hand. There is </w:t>
      </w:r>
      <w:r w:rsidRPr="001054F9">
        <w:rPr>
          <w:sz w:val="24"/>
        </w:rPr>
        <w:lastRenderedPageBreak/>
        <w:t>little recorded on the treatment of these wounds however it is safe to assume that where a bone was broken, the medic would attempt to set it back into place.</w:t>
      </w:r>
    </w:p>
    <w:p w14:paraId="0964EC0F" w14:textId="2BDD9E4A" w:rsidR="00560272" w:rsidRPr="001054F9" w:rsidRDefault="00560272">
      <w:pPr>
        <w:rPr>
          <w:sz w:val="24"/>
        </w:rPr>
      </w:pPr>
      <w:r w:rsidRPr="001054F9">
        <w:rPr>
          <w:sz w:val="24"/>
        </w:rPr>
        <w:t>The classical medical field also contained the pharmaka. Pharmacological treatment was considered more common knowledge that the ability to carry out surgery</w:t>
      </w:r>
      <w:r w:rsidR="000F740B" w:rsidRPr="001054F9">
        <w:rPr>
          <w:rStyle w:val="FootnoteReference"/>
          <w:sz w:val="24"/>
        </w:rPr>
        <w:footnoteReference w:id="51"/>
      </w:r>
      <w:r w:rsidRPr="001054F9">
        <w:rPr>
          <w:sz w:val="24"/>
        </w:rPr>
        <w:t>, it is also inferred that while a number of wounds may not require surgery, substances were applied and used during surgery</w:t>
      </w:r>
      <w:r w:rsidR="000F740B" w:rsidRPr="001054F9">
        <w:rPr>
          <w:rStyle w:val="FootnoteReference"/>
          <w:sz w:val="24"/>
        </w:rPr>
        <w:footnoteReference w:id="52"/>
      </w:r>
      <w:r w:rsidRPr="001054F9">
        <w:rPr>
          <w:sz w:val="24"/>
        </w:rPr>
        <w:t>. Th</w:t>
      </w:r>
      <w:r w:rsidR="000F740B" w:rsidRPr="001054F9">
        <w:rPr>
          <w:sz w:val="24"/>
        </w:rPr>
        <w:t>e</w:t>
      </w:r>
      <w:r w:rsidRPr="001054F9">
        <w:rPr>
          <w:sz w:val="24"/>
        </w:rPr>
        <w:t xml:space="preserve"> term</w:t>
      </w:r>
      <w:r w:rsidR="000F740B" w:rsidRPr="001054F9">
        <w:rPr>
          <w:sz w:val="24"/>
        </w:rPr>
        <w:t xml:space="preserve"> </w:t>
      </w:r>
      <w:proofErr w:type="spellStart"/>
      <w:r w:rsidR="000F740B" w:rsidRPr="001054F9">
        <w:rPr>
          <w:sz w:val="24"/>
        </w:rPr>
        <w:t>pharmaka</w:t>
      </w:r>
      <w:proofErr w:type="spellEnd"/>
      <w:r w:rsidRPr="001054F9">
        <w:rPr>
          <w:sz w:val="24"/>
        </w:rPr>
        <w:t xml:space="preserve"> refers to medical substances which extends far more than the common definition of medical drugs. The description of the substance differed depending upon the author’s medical theory</w:t>
      </w:r>
      <w:r w:rsidR="000F740B" w:rsidRPr="001054F9">
        <w:rPr>
          <w:rStyle w:val="FootnoteReference"/>
          <w:sz w:val="24"/>
        </w:rPr>
        <w:footnoteReference w:id="53"/>
      </w:r>
      <w:r w:rsidRPr="001054F9">
        <w:rPr>
          <w:sz w:val="24"/>
        </w:rPr>
        <w:t>. Dioscorides lists wine, oil and vinegar among what is considered a pharmaka substance, he also categorised the substances based upon the type of effect they possessed; styptic, purity, empherical basis, dispersing or detergent</w:t>
      </w:r>
      <w:r w:rsidR="000F740B" w:rsidRPr="001054F9">
        <w:rPr>
          <w:rStyle w:val="FootnoteReference"/>
          <w:sz w:val="24"/>
        </w:rPr>
        <w:footnoteReference w:id="54"/>
      </w:r>
      <w:r w:rsidRPr="001054F9">
        <w:rPr>
          <w:sz w:val="24"/>
        </w:rPr>
        <w:t>. Galen ignored this categorisation based on his interpretations of the Hippocratic works. He believed everything had an active and passive faculty, for example the active faculty of warmth or cold was paired with the passive faculty of dry or wet respectively and that all the substances used possessed an active and passive property</w:t>
      </w:r>
      <w:r w:rsidR="000F740B" w:rsidRPr="001054F9">
        <w:rPr>
          <w:rStyle w:val="FootnoteReference"/>
          <w:sz w:val="24"/>
        </w:rPr>
        <w:footnoteReference w:id="55"/>
      </w:r>
      <w:r w:rsidRPr="001054F9">
        <w:rPr>
          <w:sz w:val="24"/>
        </w:rPr>
        <w:t>. Celsus seems to have three categories; styptics that staunch bleeding, agglutinants that close a wound and anti-inflammatory substances</w:t>
      </w:r>
      <w:r w:rsidR="00B43F74" w:rsidRPr="001054F9">
        <w:rPr>
          <w:rStyle w:val="FootnoteReference"/>
          <w:sz w:val="24"/>
        </w:rPr>
        <w:footnoteReference w:id="56"/>
      </w:r>
      <w:r w:rsidRPr="001054F9">
        <w:rPr>
          <w:sz w:val="24"/>
        </w:rPr>
        <w:t>.</w:t>
      </w:r>
      <w:r w:rsidR="00B43F74" w:rsidRPr="001054F9">
        <w:rPr>
          <w:sz w:val="24"/>
        </w:rPr>
        <w:t xml:space="preserve"> These examples clearly show an understanding of the practical applications of these substances but there does not appear to be a standardised form of classification.</w:t>
      </w:r>
      <w:r w:rsidRPr="001054F9">
        <w:rPr>
          <w:sz w:val="24"/>
        </w:rPr>
        <w:t xml:space="preserve"> There are a number of substances that Salazar comments have no modern equivalent</w:t>
      </w:r>
      <w:r w:rsidR="00B43F74" w:rsidRPr="001054F9">
        <w:rPr>
          <w:rStyle w:val="FootnoteReference"/>
          <w:sz w:val="24"/>
        </w:rPr>
        <w:footnoteReference w:id="57"/>
      </w:r>
      <w:r w:rsidRPr="001054F9">
        <w:rPr>
          <w:sz w:val="24"/>
        </w:rPr>
        <w:t>. While there is evidence of substances meant to cure septic conditions there was evidence of suppuration being considered a cleansing process, there is also no evidence of any anaesthesia but there were records of patients needing to be held down</w:t>
      </w:r>
      <w:r w:rsidR="00B43F74" w:rsidRPr="001054F9">
        <w:rPr>
          <w:rStyle w:val="FootnoteReference"/>
          <w:sz w:val="24"/>
        </w:rPr>
        <w:footnoteReference w:id="58"/>
      </w:r>
      <w:r w:rsidRPr="001054F9">
        <w:rPr>
          <w:sz w:val="24"/>
        </w:rPr>
        <w:t xml:space="preserve">. </w:t>
      </w:r>
    </w:p>
    <w:p w14:paraId="5052B589" w14:textId="39D7149A" w:rsidR="00454B6B" w:rsidRDefault="00E172C4">
      <w:pPr>
        <w:rPr>
          <w:sz w:val="24"/>
        </w:rPr>
      </w:pPr>
      <w:r w:rsidRPr="001054F9">
        <w:rPr>
          <w:sz w:val="24"/>
        </w:rPr>
        <w:t xml:space="preserve">The classical understanding of </w:t>
      </w:r>
      <w:r w:rsidR="00B43F74" w:rsidRPr="001054F9">
        <w:rPr>
          <w:sz w:val="24"/>
        </w:rPr>
        <w:t>wounding and the medicinal substances that could be used to reduce the chances of infection and promote healing</w:t>
      </w:r>
      <w:r w:rsidRPr="001054F9">
        <w:rPr>
          <w:sz w:val="24"/>
        </w:rPr>
        <w:t xml:space="preserve"> was extensive for its period, without the more modern technologies</w:t>
      </w:r>
      <w:r w:rsidR="00113E43" w:rsidRPr="001054F9">
        <w:rPr>
          <w:sz w:val="24"/>
        </w:rPr>
        <w:t xml:space="preserve"> that enable a more thorough understanding of the human anatomy as well as more advanced techniques to prevent loss of life</w:t>
      </w:r>
      <w:r w:rsidR="00B43F74" w:rsidRPr="001054F9">
        <w:rPr>
          <w:sz w:val="24"/>
        </w:rPr>
        <w:t>,</w:t>
      </w:r>
      <w:r w:rsidR="00113E43" w:rsidRPr="001054F9">
        <w:rPr>
          <w:sz w:val="24"/>
        </w:rPr>
        <w:t xml:space="preserve"> the medical practice of the Roman military</w:t>
      </w:r>
      <w:r w:rsidR="00B43F74" w:rsidRPr="001054F9">
        <w:rPr>
          <w:sz w:val="24"/>
        </w:rPr>
        <w:t xml:space="preserve"> medics</w:t>
      </w:r>
      <w:r w:rsidR="00113E43" w:rsidRPr="001054F9">
        <w:rPr>
          <w:sz w:val="24"/>
        </w:rPr>
        <w:t xml:space="preserve"> was well developed. </w:t>
      </w:r>
      <w:r w:rsidR="000C6D01">
        <w:rPr>
          <w:sz w:val="24"/>
        </w:rPr>
        <w:t>While the medical techniques were advanced for their period, the science that is near common knowledge to a modern reader today was not the case in the classical period. For example, the modern reader knows the blood carries oxygen around the body, the classical interpretation of the blood while they were aware you would die if you lost it all was that it represented the spirit. Showing the understanding they have yet without the base science common to us today.</w:t>
      </w:r>
      <w:r w:rsidR="00985FD4">
        <w:rPr>
          <w:sz w:val="24"/>
        </w:rPr>
        <w:t xml:space="preserve"> The impact on the military was that they understood how to prevent loss of life. This was important to the army that was victorious however in the case of the army being defeated it was not as often the case. </w:t>
      </w:r>
    </w:p>
    <w:p w14:paraId="22A1CE29" w14:textId="073684D0" w:rsidR="00177275" w:rsidRPr="00177275" w:rsidRDefault="00177275">
      <w:pPr>
        <w:rPr>
          <w:b/>
          <w:sz w:val="24"/>
          <w:u w:val="single"/>
        </w:rPr>
      </w:pPr>
      <w:r w:rsidRPr="00177275">
        <w:rPr>
          <w:b/>
          <w:sz w:val="24"/>
          <w:u w:val="single"/>
        </w:rPr>
        <w:lastRenderedPageBreak/>
        <w:t>Bibliography</w:t>
      </w:r>
    </w:p>
    <w:p w14:paraId="09F247C6" w14:textId="77777777" w:rsidR="00177275" w:rsidRDefault="00177275">
      <w:pPr>
        <w:rPr>
          <w:b/>
          <w:sz w:val="24"/>
        </w:rPr>
      </w:pPr>
      <w:r>
        <w:rPr>
          <w:b/>
          <w:sz w:val="24"/>
        </w:rPr>
        <w:t>Primary Sources</w:t>
      </w:r>
    </w:p>
    <w:p w14:paraId="2FC0F2C8" w14:textId="77777777" w:rsidR="00D41C6C" w:rsidRDefault="00D41C6C" w:rsidP="00D41C6C">
      <w:pPr>
        <w:rPr>
          <w:rFonts w:cstheme="minorHAnsi"/>
          <w:sz w:val="24"/>
        </w:rPr>
      </w:pPr>
      <w:proofErr w:type="spellStart"/>
      <w:r>
        <w:rPr>
          <w:rFonts w:cstheme="minorHAnsi"/>
          <w:sz w:val="24"/>
        </w:rPr>
        <w:t>Celsus</w:t>
      </w:r>
      <w:proofErr w:type="spellEnd"/>
      <w:r>
        <w:rPr>
          <w:rFonts w:cstheme="minorHAnsi"/>
          <w:sz w:val="24"/>
        </w:rPr>
        <w:t xml:space="preserve">, </w:t>
      </w:r>
      <w:r>
        <w:rPr>
          <w:rFonts w:cstheme="minorHAnsi"/>
          <w:i/>
          <w:sz w:val="24"/>
        </w:rPr>
        <w:t xml:space="preserve">De </w:t>
      </w:r>
      <w:proofErr w:type="spellStart"/>
      <w:r>
        <w:rPr>
          <w:rFonts w:cstheme="minorHAnsi"/>
          <w:i/>
          <w:sz w:val="24"/>
        </w:rPr>
        <w:t>Medicina</w:t>
      </w:r>
      <w:proofErr w:type="spellEnd"/>
      <w:r>
        <w:rPr>
          <w:rFonts w:cstheme="minorHAnsi"/>
          <w:i/>
          <w:sz w:val="24"/>
        </w:rPr>
        <w:t xml:space="preserve">. </w:t>
      </w:r>
      <w:r>
        <w:rPr>
          <w:rFonts w:cstheme="minorHAnsi"/>
          <w:sz w:val="24"/>
        </w:rPr>
        <w:t>Ed. W. G. Spencer, 3 vols. London/Cambridge, mass., 1960/61</w:t>
      </w:r>
    </w:p>
    <w:p w14:paraId="5DC5D6DB" w14:textId="1466AC6F" w:rsidR="00177275" w:rsidRDefault="00177275">
      <w:pPr>
        <w:rPr>
          <w:rFonts w:cstheme="minorHAnsi"/>
          <w:sz w:val="24"/>
        </w:rPr>
      </w:pPr>
      <w:r>
        <w:rPr>
          <w:sz w:val="24"/>
        </w:rPr>
        <w:t xml:space="preserve">Galen, Cl, </w:t>
      </w:r>
      <w:proofErr w:type="spellStart"/>
      <w:r>
        <w:rPr>
          <w:i/>
          <w:sz w:val="24"/>
        </w:rPr>
        <w:t>Galeni</w:t>
      </w:r>
      <w:proofErr w:type="spellEnd"/>
      <w:r>
        <w:rPr>
          <w:i/>
          <w:sz w:val="24"/>
        </w:rPr>
        <w:t xml:space="preserve"> Opera Omnia. </w:t>
      </w:r>
      <w:r>
        <w:rPr>
          <w:sz w:val="24"/>
        </w:rPr>
        <w:t xml:space="preserve">22 Vols. Ed. C. G. </w:t>
      </w:r>
      <w:proofErr w:type="spellStart"/>
      <w:r>
        <w:rPr>
          <w:sz w:val="24"/>
        </w:rPr>
        <w:t>K</w:t>
      </w:r>
      <w:r>
        <w:rPr>
          <w:rFonts w:cstheme="minorHAnsi"/>
          <w:sz w:val="24"/>
        </w:rPr>
        <w:t>ühn</w:t>
      </w:r>
      <w:proofErr w:type="spellEnd"/>
      <w:r>
        <w:rPr>
          <w:rFonts w:cstheme="minorHAnsi"/>
          <w:sz w:val="24"/>
        </w:rPr>
        <w:t xml:space="preserve"> (</w:t>
      </w:r>
      <w:proofErr w:type="spellStart"/>
      <w:r>
        <w:rPr>
          <w:rFonts w:cstheme="minorHAnsi"/>
          <w:sz w:val="24"/>
        </w:rPr>
        <w:t>facs</w:t>
      </w:r>
      <w:proofErr w:type="spellEnd"/>
      <w:r>
        <w:rPr>
          <w:rFonts w:cstheme="minorHAnsi"/>
          <w:sz w:val="24"/>
        </w:rPr>
        <w:t>. Reprint of 1821 edition). Hildesheim, 1964-86</w:t>
      </w:r>
    </w:p>
    <w:p w14:paraId="494E296A" w14:textId="77777777" w:rsidR="00D41C6C" w:rsidRDefault="00D41C6C" w:rsidP="00D41C6C">
      <w:pPr>
        <w:rPr>
          <w:sz w:val="24"/>
        </w:rPr>
      </w:pPr>
      <w:r>
        <w:rPr>
          <w:sz w:val="24"/>
        </w:rPr>
        <w:t>Procopius,</w:t>
      </w:r>
      <w:r>
        <w:rPr>
          <w:i/>
          <w:sz w:val="24"/>
        </w:rPr>
        <w:t xml:space="preserve"> History of the wars.</w:t>
      </w:r>
      <w:r>
        <w:rPr>
          <w:sz w:val="24"/>
        </w:rPr>
        <w:t xml:space="preserve"> Ed. H. B. Dewing, 7 vols., London/Cambridge, Mass., 1914-28</w:t>
      </w:r>
    </w:p>
    <w:p w14:paraId="25E1C757" w14:textId="5EB76D98" w:rsidR="00D41C6C" w:rsidRDefault="00D41C6C" w:rsidP="00D41C6C">
      <w:pPr>
        <w:rPr>
          <w:sz w:val="24"/>
        </w:rPr>
      </w:pPr>
      <w:r w:rsidRPr="00177275">
        <w:rPr>
          <w:sz w:val="24"/>
        </w:rPr>
        <w:t>Vegetius</w:t>
      </w:r>
      <w:r>
        <w:rPr>
          <w:sz w:val="24"/>
        </w:rPr>
        <w:t xml:space="preserve">, </w:t>
      </w:r>
      <w:proofErr w:type="spellStart"/>
      <w:r>
        <w:rPr>
          <w:i/>
          <w:sz w:val="24"/>
        </w:rPr>
        <w:t>Epitoma</w:t>
      </w:r>
      <w:proofErr w:type="spellEnd"/>
      <w:r>
        <w:rPr>
          <w:i/>
          <w:sz w:val="24"/>
        </w:rPr>
        <w:t xml:space="preserve"> rei </w:t>
      </w:r>
      <w:proofErr w:type="spellStart"/>
      <w:r>
        <w:rPr>
          <w:i/>
          <w:sz w:val="24"/>
        </w:rPr>
        <w:t>militaris</w:t>
      </w:r>
      <w:proofErr w:type="spellEnd"/>
      <w:r>
        <w:rPr>
          <w:i/>
          <w:sz w:val="24"/>
        </w:rPr>
        <w:t>.</w:t>
      </w:r>
      <w:r>
        <w:rPr>
          <w:sz w:val="24"/>
        </w:rPr>
        <w:t xml:space="preserve"> Ed. Carolus Lang. </w:t>
      </w:r>
      <w:proofErr w:type="spellStart"/>
      <w:r>
        <w:rPr>
          <w:sz w:val="24"/>
        </w:rPr>
        <w:t>Stuttgrat</w:t>
      </w:r>
      <w:proofErr w:type="spellEnd"/>
      <w:r>
        <w:rPr>
          <w:sz w:val="24"/>
        </w:rPr>
        <w:t>, 1967</w:t>
      </w:r>
    </w:p>
    <w:p w14:paraId="3DF443F3" w14:textId="1B0470A9" w:rsidR="00454B6B" w:rsidRDefault="00454B6B" w:rsidP="00D41C6C">
      <w:pPr>
        <w:rPr>
          <w:sz w:val="24"/>
        </w:rPr>
      </w:pPr>
    </w:p>
    <w:p w14:paraId="5D0DDFC6" w14:textId="651C0724" w:rsidR="00177275" w:rsidRDefault="00177275">
      <w:pPr>
        <w:rPr>
          <w:rFonts w:cstheme="minorHAnsi"/>
          <w:b/>
          <w:sz w:val="24"/>
        </w:rPr>
      </w:pPr>
      <w:r>
        <w:rPr>
          <w:rFonts w:cstheme="minorHAnsi"/>
          <w:b/>
          <w:sz w:val="24"/>
        </w:rPr>
        <w:t>Secondary Sources</w:t>
      </w:r>
    </w:p>
    <w:p w14:paraId="6059B5AE" w14:textId="77777777" w:rsidR="007B49F6" w:rsidRPr="007B49F6" w:rsidRDefault="007B49F6" w:rsidP="007B49F6">
      <w:pPr>
        <w:shd w:val="clear" w:color="auto" w:fill="FFFFFF"/>
        <w:spacing w:after="150" w:line="240" w:lineRule="auto"/>
        <w:rPr>
          <w:rFonts w:eastAsia="Times New Roman" w:cs="Arial"/>
          <w:color w:val="000000"/>
          <w:sz w:val="24"/>
          <w:szCs w:val="24"/>
          <w:lang w:val="en" w:eastAsia="en-GB"/>
        </w:rPr>
      </w:pPr>
      <w:r w:rsidRPr="007B49F6">
        <w:rPr>
          <w:rFonts w:eastAsia="Times New Roman" w:cs="Arial"/>
          <w:color w:val="000000"/>
          <w:sz w:val="24"/>
          <w:szCs w:val="24"/>
          <w:lang w:val="en" w:eastAsia="en-GB"/>
        </w:rPr>
        <w:t xml:space="preserve">Campbell, D. (2013). Did the Roman army have a medical corps? Evidence for Medics amongst the </w:t>
      </w:r>
      <w:proofErr w:type="spellStart"/>
      <w:r w:rsidRPr="007B49F6">
        <w:rPr>
          <w:rFonts w:eastAsia="Times New Roman" w:cs="Arial"/>
          <w:color w:val="000000"/>
          <w:sz w:val="24"/>
          <w:szCs w:val="24"/>
          <w:lang w:val="en" w:eastAsia="en-GB"/>
        </w:rPr>
        <w:t>milites</w:t>
      </w:r>
      <w:proofErr w:type="spellEnd"/>
      <w:r w:rsidRPr="007B49F6">
        <w:rPr>
          <w:rFonts w:eastAsia="Times New Roman" w:cs="Arial"/>
          <w:color w:val="000000"/>
          <w:sz w:val="24"/>
          <w:szCs w:val="24"/>
          <w:lang w:val="en" w:eastAsia="en-GB"/>
        </w:rPr>
        <w:t xml:space="preserve">. </w:t>
      </w:r>
      <w:r w:rsidRPr="007B49F6">
        <w:rPr>
          <w:rFonts w:eastAsia="Times New Roman" w:cs="Arial"/>
          <w:i/>
          <w:iCs/>
          <w:color w:val="000000"/>
          <w:sz w:val="24"/>
          <w:szCs w:val="24"/>
          <w:lang w:val="en" w:eastAsia="en-GB"/>
        </w:rPr>
        <w:t>Ancient Warfare</w:t>
      </w:r>
      <w:r w:rsidRPr="007B49F6">
        <w:rPr>
          <w:rFonts w:eastAsia="Times New Roman" w:cs="Arial"/>
          <w:color w:val="000000"/>
          <w:sz w:val="24"/>
          <w:szCs w:val="24"/>
          <w:lang w:val="en" w:eastAsia="en-GB"/>
        </w:rPr>
        <w:t>, 4, pp.46-51.</w:t>
      </w:r>
    </w:p>
    <w:p w14:paraId="6C9BB398" w14:textId="77777777" w:rsidR="007B49F6" w:rsidRPr="007B49F6" w:rsidRDefault="007B49F6" w:rsidP="007B49F6">
      <w:pPr>
        <w:shd w:val="clear" w:color="auto" w:fill="FFFFFF"/>
        <w:spacing w:after="150" w:line="240" w:lineRule="auto"/>
        <w:rPr>
          <w:rFonts w:eastAsia="Times New Roman" w:cs="Arial"/>
          <w:color w:val="000000"/>
          <w:sz w:val="24"/>
          <w:szCs w:val="24"/>
          <w:lang w:val="en" w:eastAsia="en-GB"/>
        </w:rPr>
      </w:pPr>
      <w:r w:rsidRPr="007B49F6">
        <w:rPr>
          <w:rFonts w:eastAsia="Times New Roman" w:cs="Arial"/>
          <w:color w:val="000000"/>
          <w:sz w:val="24"/>
          <w:szCs w:val="24"/>
          <w:lang w:val="en" w:eastAsia="en-GB"/>
        </w:rPr>
        <w:t xml:space="preserve">Galen., Johnston, I. and Horsley, G. (2011). </w:t>
      </w:r>
      <w:r w:rsidRPr="007B49F6">
        <w:rPr>
          <w:rFonts w:eastAsia="Times New Roman" w:cs="Arial"/>
          <w:i/>
          <w:iCs/>
          <w:color w:val="000000"/>
          <w:sz w:val="24"/>
          <w:szCs w:val="24"/>
          <w:lang w:val="en" w:eastAsia="en-GB"/>
        </w:rPr>
        <w:t>Method of medicine</w:t>
      </w:r>
      <w:r w:rsidRPr="007B49F6">
        <w:rPr>
          <w:rFonts w:eastAsia="Times New Roman" w:cs="Arial"/>
          <w:color w:val="000000"/>
          <w:sz w:val="24"/>
          <w:szCs w:val="24"/>
          <w:lang w:val="en" w:eastAsia="en-GB"/>
        </w:rPr>
        <w:t>. Cambridge, Mass.: Harvard University Press.</w:t>
      </w:r>
    </w:p>
    <w:p w14:paraId="2C45B0D3" w14:textId="495AA176" w:rsidR="007B49F6" w:rsidRPr="007B49F6" w:rsidRDefault="00ED5D78" w:rsidP="007B49F6">
      <w:pPr>
        <w:shd w:val="clear" w:color="auto" w:fill="FFFFFF"/>
        <w:spacing w:after="150" w:line="240" w:lineRule="auto"/>
        <w:rPr>
          <w:rFonts w:eastAsia="Times New Roman" w:cs="Arial"/>
          <w:color w:val="000000"/>
          <w:sz w:val="24"/>
          <w:szCs w:val="24"/>
          <w:lang w:val="en" w:eastAsia="en-GB"/>
        </w:rPr>
      </w:pPr>
      <w:r>
        <w:rPr>
          <w:rFonts w:eastAsia="Times New Roman" w:cs="Arial"/>
          <w:color w:val="000000"/>
          <w:sz w:val="24"/>
          <w:szCs w:val="24"/>
          <w:lang w:val="en" w:eastAsia="en-GB"/>
        </w:rPr>
        <w:t>Hippo</w:t>
      </w:r>
      <w:r w:rsidR="007B49F6" w:rsidRPr="007B49F6">
        <w:rPr>
          <w:rFonts w:eastAsia="Times New Roman" w:cs="Arial"/>
          <w:color w:val="000000"/>
          <w:sz w:val="24"/>
          <w:szCs w:val="24"/>
          <w:lang w:val="en" w:eastAsia="en-GB"/>
        </w:rPr>
        <w:t xml:space="preserve">crates. and Jones, W. (1981). </w:t>
      </w:r>
      <w:r w:rsidR="007B49F6" w:rsidRPr="007B49F6">
        <w:rPr>
          <w:rFonts w:eastAsia="Times New Roman" w:cs="Arial"/>
          <w:i/>
          <w:iCs/>
          <w:color w:val="000000"/>
          <w:sz w:val="24"/>
          <w:szCs w:val="24"/>
          <w:lang w:val="en" w:eastAsia="en-GB"/>
        </w:rPr>
        <w:t>Hippocrates</w:t>
      </w:r>
      <w:r w:rsidR="007B49F6" w:rsidRPr="007B49F6">
        <w:rPr>
          <w:rFonts w:eastAsia="Times New Roman" w:cs="Arial"/>
          <w:color w:val="000000"/>
          <w:sz w:val="24"/>
          <w:szCs w:val="24"/>
          <w:lang w:val="en" w:eastAsia="en-GB"/>
        </w:rPr>
        <w:t xml:space="preserve">. Cambridge, </w:t>
      </w:r>
      <w:proofErr w:type="spellStart"/>
      <w:r w:rsidR="007B49F6" w:rsidRPr="007B49F6">
        <w:rPr>
          <w:rFonts w:eastAsia="Times New Roman" w:cs="Arial"/>
          <w:color w:val="000000"/>
          <w:sz w:val="24"/>
          <w:szCs w:val="24"/>
          <w:lang w:val="en" w:eastAsia="en-GB"/>
        </w:rPr>
        <w:t>Massachusets</w:t>
      </w:r>
      <w:proofErr w:type="spellEnd"/>
      <w:r w:rsidR="007B49F6" w:rsidRPr="007B49F6">
        <w:rPr>
          <w:rFonts w:eastAsia="Times New Roman" w:cs="Arial"/>
          <w:color w:val="000000"/>
          <w:sz w:val="24"/>
          <w:szCs w:val="24"/>
          <w:lang w:val="en" w:eastAsia="en-GB"/>
        </w:rPr>
        <w:t>: Harvard University Press.</w:t>
      </w:r>
    </w:p>
    <w:p w14:paraId="089D69FE" w14:textId="77777777" w:rsidR="007B49F6" w:rsidRPr="007B49F6" w:rsidRDefault="007B49F6" w:rsidP="007B49F6">
      <w:pPr>
        <w:shd w:val="clear" w:color="auto" w:fill="FFFFFF"/>
        <w:spacing w:after="150" w:line="240" w:lineRule="auto"/>
        <w:rPr>
          <w:rFonts w:eastAsia="Times New Roman" w:cs="Arial"/>
          <w:color w:val="000000"/>
          <w:sz w:val="24"/>
          <w:szCs w:val="24"/>
          <w:lang w:val="en" w:eastAsia="en-GB"/>
        </w:rPr>
      </w:pPr>
      <w:r w:rsidRPr="007B49F6">
        <w:rPr>
          <w:rFonts w:eastAsia="Times New Roman" w:cs="Arial"/>
          <w:color w:val="000000"/>
          <w:sz w:val="24"/>
          <w:szCs w:val="24"/>
          <w:lang w:val="en" w:eastAsia="en-GB"/>
        </w:rPr>
        <w:t xml:space="preserve">Hippocrates. and Potter, P. (n.d.). </w:t>
      </w:r>
      <w:r w:rsidRPr="007B49F6">
        <w:rPr>
          <w:rFonts w:eastAsia="Times New Roman" w:cs="Arial"/>
          <w:i/>
          <w:iCs/>
          <w:color w:val="000000"/>
          <w:sz w:val="24"/>
          <w:szCs w:val="24"/>
          <w:lang w:val="en" w:eastAsia="en-GB"/>
        </w:rPr>
        <w:t>Hippocrates</w:t>
      </w:r>
      <w:r w:rsidRPr="007B49F6">
        <w:rPr>
          <w:rFonts w:eastAsia="Times New Roman" w:cs="Arial"/>
          <w:color w:val="000000"/>
          <w:sz w:val="24"/>
          <w:szCs w:val="24"/>
          <w:lang w:val="en" w:eastAsia="en-GB"/>
        </w:rPr>
        <w:t>. Cambridge, Mass.: London.</w:t>
      </w:r>
    </w:p>
    <w:p w14:paraId="19F7F8DD" w14:textId="77777777" w:rsidR="007B49F6" w:rsidRPr="007B49F6" w:rsidRDefault="007B49F6" w:rsidP="007B49F6">
      <w:pPr>
        <w:shd w:val="clear" w:color="auto" w:fill="FFFFFF"/>
        <w:spacing w:after="150" w:line="240" w:lineRule="auto"/>
        <w:rPr>
          <w:rFonts w:eastAsia="Times New Roman" w:cs="Arial"/>
          <w:color w:val="000000"/>
          <w:sz w:val="24"/>
          <w:szCs w:val="24"/>
          <w:lang w:val="en" w:eastAsia="en-GB"/>
        </w:rPr>
      </w:pPr>
      <w:r w:rsidRPr="007B49F6">
        <w:rPr>
          <w:rFonts w:eastAsia="Times New Roman" w:cs="Arial"/>
          <w:color w:val="000000"/>
          <w:sz w:val="24"/>
          <w:szCs w:val="24"/>
          <w:lang w:val="en" w:eastAsia="en-GB"/>
        </w:rPr>
        <w:t xml:space="preserve">Irby-Massie, G. (n.d.). </w:t>
      </w:r>
      <w:r w:rsidRPr="007B49F6">
        <w:rPr>
          <w:rFonts w:eastAsia="Times New Roman" w:cs="Arial"/>
          <w:i/>
          <w:iCs/>
          <w:color w:val="000000"/>
          <w:sz w:val="24"/>
          <w:szCs w:val="24"/>
          <w:lang w:val="en" w:eastAsia="en-GB"/>
        </w:rPr>
        <w:t>A companion to science, technology, and medicine in ancient Greece and Rome</w:t>
      </w:r>
      <w:r w:rsidRPr="007B49F6">
        <w:rPr>
          <w:rFonts w:eastAsia="Times New Roman" w:cs="Arial"/>
          <w:color w:val="000000"/>
          <w:sz w:val="24"/>
          <w:szCs w:val="24"/>
          <w:lang w:val="en" w:eastAsia="en-GB"/>
        </w:rPr>
        <w:t>.</w:t>
      </w:r>
    </w:p>
    <w:p w14:paraId="5912E39E" w14:textId="77777777" w:rsidR="007B49F6" w:rsidRPr="007B49F6" w:rsidRDefault="007B49F6" w:rsidP="007B49F6">
      <w:pPr>
        <w:shd w:val="clear" w:color="auto" w:fill="FFFFFF"/>
        <w:spacing w:after="150" w:line="240" w:lineRule="auto"/>
        <w:rPr>
          <w:rFonts w:eastAsia="Times New Roman" w:cs="Arial"/>
          <w:color w:val="000000"/>
          <w:sz w:val="24"/>
          <w:szCs w:val="24"/>
          <w:lang w:val="en" w:eastAsia="en-GB"/>
        </w:rPr>
      </w:pPr>
      <w:proofErr w:type="spellStart"/>
      <w:r w:rsidRPr="007B49F6">
        <w:rPr>
          <w:rFonts w:eastAsia="Times New Roman" w:cs="Arial"/>
          <w:color w:val="000000"/>
          <w:sz w:val="24"/>
          <w:szCs w:val="24"/>
          <w:lang w:val="en" w:eastAsia="en-GB"/>
        </w:rPr>
        <w:t>Langholf</w:t>
      </w:r>
      <w:proofErr w:type="spellEnd"/>
      <w:r w:rsidRPr="007B49F6">
        <w:rPr>
          <w:rFonts w:eastAsia="Times New Roman" w:cs="Arial"/>
          <w:color w:val="000000"/>
          <w:sz w:val="24"/>
          <w:szCs w:val="24"/>
          <w:lang w:val="en" w:eastAsia="en-GB"/>
        </w:rPr>
        <w:t xml:space="preserve">, V. (1990). </w:t>
      </w:r>
      <w:r w:rsidRPr="007B49F6">
        <w:rPr>
          <w:rFonts w:eastAsia="Times New Roman" w:cs="Arial"/>
          <w:i/>
          <w:iCs/>
          <w:color w:val="000000"/>
          <w:sz w:val="24"/>
          <w:szCs w:val="24"/>
          <w:lang w:val="en" w:eastAsia="en-GB"/>
        </w:rPr>
        <w:t>Medical theories in Hippocrates</w:t>
      </w:r>
      <w:r w:rsidRPr="007B49F6">
        <w:rPr>
          <w:rFonts w:eastAsia="Times New Roman" w:cs="Arial"/>
          <w:color w:val="000000"/>
          <w:sz w:val="24"/>
          <w:szCs w:val="24"/>
          <w:lang w:val="en" w:eastAsia="en-GB"/>
        </w:rPr>
        <w:t>. Berlin: Walter de Gruyter.</w:t>
      </w:r>
    </w:p>
    <w:p w14:paraId="44B2FA1E" w14:textId="77777777" w:rsidR="007B49F6" w:rsidRPr="007B49F6" w:rsidRDefault="007B49F6" w:rsidP="007B49F6">
      <w:pPr>
        <w:shd w:val="clear" w:color="auto" w:fill="FFFFFF"/>
        <w:spacing w:after="150" w:line="240" w:lineRule="auto"/>
        <w:rPr>
          <w:rFonts w:eastAsia="Times New Roman" w:cs="Arial"/>
          <w:color w:val="000000"/>
          <w:sz w:val="24"/>
          <w:szCs w:val="24"/>
          <w:lang w:val="en" w:eastAsia="en-GB"/>
        </w:rPr>
      </w:pPr>
      <w:proofErr w:type="spellStart"/>
      <w:r w:rsidRPr="007B49F6">
        <w:rPr>
          <w:rFonts w:eastAsia="Times New Roman" w:cs="Arial"/>
          <w:color w:val="000000"/>
          <w:sz w:val="24"/>
          <w:szCs w:val="24"/>
          <w:lang w:val="en" w:eastAsia="en-GB"/>
        </w:rPr>
        <w:t>Nutton</w:t>
      </w:r>
      <w:proofErr w:type="spellEnd"/>
      <w:r w:rsidRPr="007B49F6">
        <w:rPr>
          <w:rFonts w:eastAsia="Times New Roman" w:cs="Arial"/>
          <w:color w:val="000000"/>
          <w:sz w:val="24"/>
          <w:szCs w:val="24"/>
          <w:lang w:val="en" w:eastAsia="en-GB"/>
        </w:rPr>
        <w:t xml:space="preserve">, V. (1969). MEDICINE AND THE ROMAN ARMY: A FURTHER RECONSIDERATION. </w:t>
      </w:r>
      <w:r w:rsidRPr="007B49F6">
        <w:rPr>
          <w:rFonts w:eastAsia="Times New Roman" w:cs="Arial"/>
          <w:i/>
          <w:iCs/>
          <w:color w:val="000000"/>
          <w:sz w:val="24"/>
          <w:szCs w:val="24"/>
          <w:lang w:val="en" w:eastAsia="en-GB"/>
        </w:rPr>
        <w:t>Medical History</w:t>
      </w:r>
      <w:r w:rsidRPr="007B49F6">
        <w:rPr>
          <w:rFonts w:eastAsia="Times New Roman" w:cs="Arial"/>
          <w:color w:val="000000"/>
          <w:sz w:val="24"/>
          <w:szCs w:val="24"/>
          <w:lang w:val="en" w:eastAsia="en-GB"/>
        </w:rPr>
        <w:t>, 13(03), pp.260-270.</w:t>
      </w:r>
    </w:p>
    <w:p w14:paraId="213222F2" w14:textId="77777777" w:rsidR="007B49F6" w:rsidRPr="007B49F6" w:rsidRDefault="007B49F6" w:rsidP="007B49F6">
      <w:pPr>
        <w:shd w:val="clear" w:color="auto" w:fill="FFFFFF"/>
        <w:spacing w:after="150" w:line="240" w:lineRule="auto"/>
        <w:rPr>
          <w:rFonts w:eastAsia="Times New Roman" w:cs="Arial"/>
          <w:color w:val="000000"/>
          <w:sz w:val="24"/>
          <w:szCs w:val="24"/>
          <w:lang w:val="en" w:eastAsia="en-GB"/>
        </w:rPr>
      </w:pPr>
      <w:r w:rsidRPr="007B49F6">
        <w:rPr>
          <w:rFonts w:eastAsia="Times New Roman" w:cs="Arial"/>
          <w:color w:val="000000"/>
          <w:sz w:val="24"/>
          <w:szCs w:val="24"/>
          <w:lang w:val="en" w:eastAsia="en-GB"/>
        </w:rPr>
        <w:t xml:space="preserve">Salazar, C. (2000). </w:t>
      </w:r>
      <w:r w:rsidRPr="007B49F6">
        <w:rPr>
          <w:rFonts w:eastAsia="Times New Roman" w:cs="Arial"/>
          <w:i/>
          <w:iCs/>
          <w:color w:val="000000"/>
          <w:sz w:val="24"/>
          <w:szCs w:val="24"/>
          <w:lang w:val="en" w:eastAsia="en-GB"/>
        </w:rPr>
        <w:t>The treatment of war wounds in Graeco-Roman antiquity</w:t>
      </w:r>
      <w:r w:rsidRPr="007B49F6">
        <w:rPr>
          <w:rFonts w:eastAsia="Times New Roman" w:cs="Arial"/>
          <w:color w:val="000000"/>
          <w:sz w:val="24"/>
          <w:szCs w:val="24"/>
          <w:lang w:val="en" w:eastAsia="en-GB"/>
        </w:rPr>
        <w:t>. Leiden: Brill.</w:t>
      </w:r>
    </w:p>
    <w:p w14:paraId="1B7373C9" w14:textId="77777777" w:rsidR="007B49F6" w:rsidRPr="007B49F6" w:rsidRDefault="007B49F6" w:rsidP="007B49F6">
      <w:pPr>
        <w:shd w:val="clear" w:color="auto" w:fill="FFFFFF"/>
        <w:spacing w:after="150" w:line="240" w:lineRule="auto"/>
        <w:rPr>
          <w:rFonts w:eastAsia="Times New Roman" w:cs="Arial"/>
          <w:color w:val="000000"/>
          <w:sz w:val="24"/>
          <w:szCs w:val="24"/>
          <w:lang w:val="en" w:eastAsia="en-GB"/>
        </w:rPr>
      </w:pPr>
      <w:r w:rsidRPr="007B49F6">
        <w:rPr>
          <w:rFonts w:eastAsia="Times New Roman" w:cs="Arial"/>
          <w:color w:val="000000"/>
          <w:sz w:val="24"/>
          <w:szCs w:val="24"/>
          <w:lang w:val="en" w:eastAsia="en-GB"/>
        </w:rPr>
        <w:t xml:space="preserve">Scarborough, J. (1968). ROMAN MEDICINE AND THE LEGIONS: A RECONSIDERATION. </w:t>
      </w:r>
      <w:r w:rsidRPr="007B49F6">
        <w:rPr>
          <w:rFonts w:eastAsia="Times New Roman" w:cs="Arial"/>
          <w:i/>
          <w:iCs/>
          <w:color w:val="000000"/>
          <w:sz w:val="24"/>
          <w:szCs w:val="24"/>
          <w:lang w:val="en" w:eastAsia="en-GB"/>
        </w:rPr>
        <w:t>Medical History</w:t>
      </w:r>
      <w:r w:rsidRPr="007B49F6">
        <w:rPr>
          <w:rFonts w:eastAsia="Times New Roman" w:cs="Arial"/>
          <w:color w:val="000000"/>
          <w:sz w:val="24"/>
          <w:szCs w:val="24"/>
          <w:lang w:val="en" w:eastAsia="en-GB"/>
        </w:rPr>
        <w:t>, 12(03), pp.254-261.</w:t>
      </w:r>
    </w:p>
    <w:p w14:paraId="49D64F55" w14:textId="77777777" w:rsidR="00ED5D78" w:rsidRPr="00ED5D78" w:rsidRDefault="00ED5D78" w:rsidP="00ED5D78">
      <w:pPr>
        <w:rPr>
          <w:rFonts w:cstheme="minorHAnsi"/>
          <w:sz w:val="24"/>
        </w:rPr>
      </w:pPr>
      <w:r w:rsidRPr="00ED5D78">
        <w:rPr>
          <w:rFonts w:cstheme="minorHAnsi"/>
          <w:sz w:val="24"/>
        </w:rPr>
        <w:t>Schultze, Rudolf (1934), ‘</w:t>
      </w:r>
      <w:r w:rsidRPr="00ED5D78">
        <w:rPr>
          <w:rFonts w:cstheme="minorHAnsi"/>
          <w:i/>
          <w:sz w:val="24"/>
        </w:rPr>
        <w:t xml:space="preserve">Die </w:t>
      </w:r>
      <w:proofErr w:type="spellStart"/>
      <w:r w:rsidRPr="00ED5D78">
        <w:rPr>
          <w:rFonts w:cstheme="minorHAnsi"/>
          <w:i/>
          <w:sz w:val="24"/>
        </w:rPr>
        <w:t>rӧmischen</w:t>
      </w:r>
      <w:proofErr w:type="spellEnd"/>
      <w:r w:rsidRPr="00ED5D78">
        <w:rPr>
          <w:rFonts w:cstheme="minorHAnsi"/>
          <w:i/>
          <w:sz w:val="24"/>
        </w:rPr>
        <w:t xml:space="preserve"> </w:t>
      </w:r>
      <w:proofErr w:type="spellStart"/>
      <w:r w:rsidRPr="00ED5D78">
        <w:rPr>
          <w:rFonts w:cstheme="minorHAnsi"/>
          <w:i/>
          <w:sz w:val="24"/>
        </w:rPr>
        <w:t>Legionslazarette</w:t>
      </w:r>
      <w:proofErr w:type="spellEnd"/>
      <w:r w:rsidRPr="00ED5D78">
        <w:rPr>
          <w:rFonts w:cstheme="minorHAnsi"/>
          <w:i/>
          <w:sz w:val="24"/>
        </w:rPr>
        <w:t xml:space="preserve"> in </w:t>
      </w:r>
      <w:proofErr w:type="spellStart"/>
      <w:r w:rsidRPr="00ED5D78">
        <w:rPr>
          <w:rFonts w:cstheme="minorHAnsi"/>
          <w:i/>
          <w:sz w:val="24"/>
        </w:rPr>
        <w:t>Vetera</w:t>
      </w:r>
      <w:proofErr w:type="spellEnd"/>
      <w:r w:rsidRPr="00ED5D78">
        <w:rPr>
          <w:rFonts w:cstheme="minorHAnsi"/>
          <w:i/>
          <w:sz w:val="24"/>
        </w:rPr>
        <w:t xml:space="preserve"> und </w:t>
      </w:r>
      <w:proofErr w:type="spellStart"/>
      <w:r w:rsidRPr="00ED5D78">
        <w:rPr>
          <w:rFonts w:cstheme="minorHAnsi"/>
          <w:i/>
          <w:sz w:val="24"/>
        </w:rPr>
        <w:t>anderen</w:t>
      </w:r>
      <w:proofErr w:type="spellEnd"/>
      <w:r w:rsidRPr="00ED5D78">
        <w:rPr>
          <w:rFonts w:cstheme="minorHAnsi"/>
          <w:i/>
          <w:sz w:val="24"/>
        </w:rPr>
        <w:t xml:space="preserve"> </w:t>
      </w:r>
      <w:proofErr w:type="spellStart"/>
      <w:r w:rsidRPr="00ED5D78">
        <w:rPr>
          <w:rFonts w:cstheme="minorHAnsi"/>
          <w:i/>
          <w:sz w:val="24"/>
        </w:rPr>
        <w:t>Legionslagern</w:t>
      </w:r>
      <w:proofErr w:type="spellEnd"/>
      <w:r w:rsidRPr="00ED5D78">
        <w:rPr>
          <w:rFonts w:cstheme="minorHAnsi"/>
          <w:i/>
          <w:sz w:val="24"/>
        </w:rPr>
        <w:t xml:space="preserve">.’ Bonn. </w:t>
      </w:r>
      <w:r w:rsidRPr="00ED5D78">
        <w:rPr>
          <w:rFonts w:cstheme="minorHAnsi"/>
          <w:sz w:val="24"/>
        </w:rPr>
        <w:t>Jb. 139; 54-63</w:t>
      </w:r>
    </w:p>
    <w:p w14:paraId="372D9FA4" w14:textId="19305919" w:rsidR="007B49F6" w:rsidRDefault="007B49F6" w:rsidP="007B49F6">
      <w:pPr>
        <w:shd w:val="clear" w:color="auto" w:fill="FFFFFF"/>
        <w:spacing w:line="240" w:lineRule="auto"/>
        <w:rPr>
          <w:rFonts w:eastAsia="Times New Roman" w:cs="Arial"/>
          <w:color w:val="000000"/>
          <w:sz w:val="24"/>
          <w:szCs w:val="24"/>
          <w:lang w:val="en" w:eastAsia="en-GB"/>
        </w:rPr>
      </w:pPr>
      <w:r w:rsidRPr="007B49F6">
        <w:rPr>
          <w:rFonts w:eastAsia="Times New Roman" w:cs="Arial"/>
          <w:color w:val="000000"/>
          <w:sz w:val="24"/>
          <w:szCs w:val="24"/>
          <w:lang w:val="en" w:eastAsia="en-GB"/>
        </w:rPr>
        <w:t xml:space="preserve">Smith, W. (1979). </w:t>
      </w:r>
      <w:r w:rsidRPr="007B49F6">
        <w:rPr>
          <w:rFonts w:eastAsia="Times New Roman" w:cs="Arial"/>
          <w:i/>
          <w:iCs/>
          <w:color w:val="000000"/>
          <w:sz w:val="24"/>
          <w:szCs w:val="24"/>
          <w:lang w:val="en" w:eastAsia="en-GB"/>
        </w:rPr>
        <w:t xml:space="preserve">The </w:t>
      </w:r>
      <w:proofErr w:type="spellStart"/>
      <w:r w:rsidRPr="007B49F6">
        <w:rPr>
          <w:rFonts w:eastAsia="Times New Roman" w:cs="Arial"/>
          <w:i/>
          <w:iCs/>
          <w:color w:val="000000"/>
          <w:sz w:val="24"/>
          <w:szCs w:val="24"/>
          <w:lang w:val="en" w:eastAsia="en-GB"/>
        </w:rPr>
        <w:t>hippocratic</w:t>
      </w:r>
      <w:proofErr w:type="spellEnd"/>
      <w:r w:rsidRPr="007B49F6">
        <w:rPr>
          <w:rFonts w:eastAsia="Times New Roman" w:cs="Arial"/>
          <w:i/>
          <w:iCs/>
          <w:color w:val="000000"/>
          <w:sz w:val="24"/>
          <w:szCs w:val="24"/>
          <w:lang w:val="en" w:eastAsia="en-GB"/>
        </w:rPr>
        <w:t xml:space="preserve"> tradition</w:t>
      </w:r>
      <w:r w:rsidRPr="007B49F6">
        <w:rPr>
          <w:rFonts w:eastAsia="Times New Roman" w:cs="Arial"/>
          <w:color w:val="000000"/>
          <w:sz w:val="24"/>
          <w:szCs w:val="24"/>
          <w:lang w:val="en" w:eastAsia="en-GB"/>
        </w:rPr>
        <w:t>. Ithaca: Cornell University Press.</w:t>
      </w:r>
    </w:p>
    <w:p w14:paraId="6ED6DC7F" w14:textId="54F6DA00" w:rsidR="00454B6B" w:rsidRDefault="00454B6B" w:rsidP="007B49F6">
      <w:pPr>
        <w:shd w:val="clear" w:color="auto" w:fill="FFFFFF"/>
        <w:spacing w:line="240" w:lineRule="auto"/>
        <w:rPr>
          <w:rFonts w:eastAsia="Times New Roman" w:cs="Arial"/>
          <w:color w:val="000000"/>
          <w:sz w:val="24"/>
          <w:szCs w:val="24"/>
          <w:lang w:val="en" w:eastAsia="en-GB"/>
        </w:rPr>
      </w:pPr>
    </w:p>
    <w:p w14:paraId="1D161C07" w14:textId="58B1602D" w:rsidR="00454B6B" w:rsidRDefault="00454B6B" w:rsidP="007B49F6">
      <w:pPr>
        <w:shd w:val="clear" w:color="auto" w:fill="FFFFFF"/>
        <w:spacing w:line="240" w:lineRule="auto"/>
        <w:rPr>
          <w:rFonts w:eastAsia="Times New Roman" w:cs="Arial"/>
          <w:color w:val="000000"/>
          <w:sz w:val="24"/>
          <w:szCs w:val="24"/>
          <w:lang w:val="en" w:eastAsia="en-GB"/>
        </w:rPr>
      </w:pPr>
    </w:p>
    <w:sectPr w:rsidR="00454B6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23026" w14:textId="77777777" w:rsidR="003A2AE2" w:rsidRDefault="003A2AE2" w:rsidP="009E0005">
      <w:pPr>
        <w:spacing w:after="0" w:line="240" w:lineRule="auto"/>
      </w:pPr>
      <w:r>
        <w:separator/>
      </w:r>
    </w:p>
  </w:endnote>
  <w:endnote w:type="continuationSeparator" w:id="0">
    <w:p w14:paraId="25A80D7F" w14:textId="77777777" w:rsidR="003A2AE2" w:rsidRDefault="003A2AE2" w:rsidP="009E0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6800416"/>
      <w:docPartObj>
        <w:docPartGallery w:val="Page Numbers (Bottom of Page)"/>
        <w:docPartUnique/>
      </w:docPartObj>
    </w:sdtPr>
    <w:sdtEndPr>
      <w:rPr>
        <w:noProof/>
      </w:rPr>
    </w:sdtEndPr>
    <w:sdtContent>
      <w:p w14:paraId="7DAAB054" w14:textId="4F5B1B2D" w:rsidR="002414A5" w:rsidRDefault="002414A5">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4B8EAC73" w14:textId="1C9EC5A9" w:rsidR="002414A5" w:rsidRDefault="002414A5">
    <w:pPr>
      <w:pStyle w:val="Footer"/>
    </w:pPr>
    <w:r>
      <w:t>Tamara Bowie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ECD83" w14:textId="77777777" w:rsidR="003A2AE2" w:rsidRDefault="003A2AE2" w:rsidP="009E0005">
      <w:pPr>
        <w:spacing w:after="0" w:line="240" w:lineRule="auto"/>
      </w:pPr>
      <w:r>
        <w:separator/>
      </w:r>
    </w:p>
  </w:footnote>
  <w:footnote w:type="continuationSeparator" w:id="0">
    <w:p w14:paraId="01F00874" w14:textId="77777777" w:rsidR="003A2AE2" w:rsidRDefault="003A2AE2" w:rsidP="009E0005">
      <w:pPr>
        <w:spacing w:after="0" w:line="240" w:lineRule="auto"/>
      </w:pPr>
      <w:r>
        <w:continuationSeparator/>
      </w:r>
    </w:p>
  </w:footnote>
  <w:footnote w:id="1">
    <w:p w14:paraId="4DB5DEB8" w14:textId="2C4B3BCC" w:rsidR="00197F92" w:rsidRPr="00197F92" w:rsidRDefault="00197F92">
      <w:pPr>
        <w:pStyle w:val="FootnoteText"/>
      </w:pPr>
      <w:r>
        <w:rPr>
          <w:rStyle w:val="FootnoteReference"/>
        </w:rPr>
        <w:footnoteRef/>
      </w:r>
      <w:r>
        <w:t xml:space="preserve"> Galen </w:t>
      </w:r>
      <w:r>
        <w:rPr>
          <w:i/>
        </w:rPr>
        <w:t xml:space="preserve">on the composition of medicine </w:t>
      </w:r>
      <w:r>
        <w:t>13.604</w:t>
      </w:r>
    </w:p>
  </w:footnote>
  <w:footnote w:id="2">
    <w:p w14:paraId="60EEE26E" w14:textId="20402133" w:rsidR="00364765" w:rsidRDefault="00364765">
      <w:pPr>
        <w:pStyle w:val="FootnoteText"/>
      </w:pPr>
      <w:r>
        <w:rPr>
          <w:rStyle w:val="FootnoteReference"/>
        </w:rPr>
        <w:footnoteRef/>
      </w:r>
      <w:r>
        <w:t xml:space="preserve"> </w:t>
      </w:r>
      <w:r w:rsidR="00F20D3E">
        <w:t>(Galen, Johnston and Horsley, 2015)</w:t>
      </w:r>
    </w:p>
  </w:footnote>
  <w:footnote w:id="3">
    <w:p w14:paraId="09D3AFF5" w14:textId="5BFF607D" w:rsidR="00364765" w:rsidRDefault="00364765">
      <w:pPr>
        <w:pStyle w:val="FootnoteText"/>
      </w:pPr>
      <w:r>
        <w:rPr>
          <w:rStyle w:val="FootnoteReference"/>
        </w:rPr>
        <w:footnoteRef/>
      </w:r>
      <w:r>
        <w:t xml:space="preserve"> </w:t>
      </w:r>
      <w:r w:rsidR="00F20D3E">
        <w:t>(Galen, Johnston and Horsley, 2015)</w:t>
      </w:r>
    </w:p>
  </w:footnote>
  <w:footnote w:id="4">
    <w:p w14:paraId="275E9F44" w14:textId="6A0F0549" w:rsidR="00D04A6C" w:rsidRDefault="00D04A6C">
      <w:pPr>
        <w:pStyle w:val="FootnoteText"/>
      </w:pPr>
      <w:r>
        <w:rPr>
          <w:rStyle w:val="FootnoteReference"/>
        </w:rPr>
        <w:footnoteRef/>
      </w:r>
      <w:r>
        <w:t xml:space="preserve"> </w:t>
      </w:r>
      <w:proofErr w:type="spellStart"/>
      <w:r w:rsidR="00BD789B">
        <w:t>Paternus</w:t>
      </w:r>
      <w:proofErr w:type="spellEnd"/>
    </w:p>
  </w:footnote>
  <w:footnote w:id="5">
    <w:p w14:paraId="13A9B96A" w14:textId="2FB18047" w:rsidR="00BD789B" w:rsidRDefault="00BD789B">
      <w:pPr>
        <w:pStyle w:val="FootnoteText"/>
      </w:pPr>
      <w:r>
        <w:rPr>
          <w:rStyle w:val="FootnoteReference"/>
        </w:rPr>
        <w:footnoteRef/>
      </w:r>
      <w:r>
        <w:t xml:space="preserve"> </w:t>
      </w:r>
      <w:r w:rsidR="00F20D3E">
        <w:t>(Campbell 2013)</w:t>
      </w:r>
    </w:p>
  </w:footnote>
  <w:footnote w:id="6">
    <w:p w14:paraId="042FE1E8" w14:textId="47D0769C" w:rsidR="00D04A6C" w:rsidRDefault="00D04A6C">
      <w:pPr>
        <w:pStyle w:val="FootnoteText"/>
      </w:pPr>
      <w:r>
        <w:rPr>
          <w:rStyle w:val="FootnoteReference"/>
        </w:rPr>
        <w:footnoteRef/>
      </w:r>
      <w:r>
        <w:t xml:space="preserve"> </w:t>
      </w:r>
      <w:r w:rsidR="00F20D3E">
        <w:t>(</w:t>
      </w:r>
      <w:r w:rsidR="00BD789B">
        <w:t>Campbell</w:t>
      </w:r>
      <w:r w:rsidR="00F20D3E">
        <w:t>, 2013)</w:t>
      </w:r>
    </w:p>
  </w:footnote>
  <w:footnote w:id="7">
    <w:p w14:paraId="392140D7" w14:textId="6EFA6B6B" w:rsidR="00D04A6C" w:rsidRDefault="00D04A6C">
      <w:pPr>
        <w:pStyle w:val="FootnoteText"/>
      </w:pPr>
      <w:r>
        <w:rPr>
          <w:rStyle w:val="FootnoteReference"/>
        </w:rPr>
        <w:footnoteRef/>
      </w:r>
      <w:r>
        <w:t xml:space="preserve"> </w:t>
      </w:r>
      <w:r w:rsidR="00F20D3E">
        <w:t>(Campbell, 2013)</w:t>
      </w:r>
    </w:p>
  </w:footnote>
  <w:footnote w:id="8">
    <w:p w14:paraId="7AAF205F" w14:textId="58A639B3" w:rsidR="00D04A6C" w:rsidRDefault="00D04A6C">
      <w:pPr>
        <w:pStyle w:val="FootnoteText"/>
      </w:pPr>
      <w:r>
        <w:rPr>
          <w:rStyle w:val="FootnoteReference"/>
        </w:rPr>
        <w:footnoteRef/>
      </w:r>
      <w:r w:rsidR="00F20D3E">
        <w:t>(Campbell, 2013)</w:t>
      </w:r>
    </w:p>
  </w:footnote>
  <w:footnote w:id="9">
    <w:p w14:paraId="00C6C076" w14:textId="02D82315" w:rsidR="00D04A6C" w:rsidRDefault="00D04A6C">
      <w:pPr>
        <w:pStyle w:val="FootnoteText"/>
      </w:pPr>
      <w:r>
        <w:rPr>
          <w:rStyle w:val="FootnoteReference"/>
        </w:rPr>
        <w:footnoteRef/>
      </w:r>
      <w:r>
        <w:t xml:space="preserve"> </w:t>
      </w:r>
      <w:r w:rsidR="00F20D3E">
        <w:t>(Salazar, 2000)</w:t>
      </w:r>
    </w:p>
  </w:footnote>
  <w:footnote w:id="10">
    <w:p w14:paraId="034FC60E" w14:textId="17F7EA8C" w:rsidR="00E84B75" w:rsidRDefault="00E84B75">
      <w:pPr>
        <w:pStyle w:val="FootnoteText"/>
      </w:pPr>
      <w:r>
        <w:rPr>
          <w:rStyle w:val="FootnoteReference"/>
        </w:rPr>
        <w:footnoteRef/>
      </w:r>
      <w:r>
        <w:t xml:space="preserve"> </w:t>
      </w:r>
      <w:r w:rsidR="00F20D3E">
        <w:t>(Campbell, 2013)</w:t>
      </w:r>
    </w:p>
  </w:footnote>
  <w:footnote w:id="11">
    <w:p w14:paraId="21A8912F" w14:textId="7FD55E85" w:rsidR="00CC5326" w:rsidRDefault="00CC5326">
      <w:pPr>
        <w:pStyle w:val="FootnoteText"/>
      </w:pPr>
      <w:r>
        <w:rPr>
          <w:rStyle w:val="FootnoteReference"/>
        </w:rPr>
        <w:footnoteRef/>
      </w:r>
      <w:r>
        <w:t xml:space="preserve"> </w:t>
      </w:r>
      <w:r w:rsidR="00F20D3E">
        <w:t>(Salazar, 2000)</w:t>
      </w:r>
    </w:p>
  </w:footnote>
  <w:footnote w:id="12">
    <w:p w14:paraId="797823B3" w14:textId="0C4802B8" w:rsidR="00CC5326" w:rsidRDefault="00CC5326">
      <w:pPr>
        <w:pStyle w:val="FootnoteText"/>
      </w:pPr>
      <w:r>
        <w:rPr>
          <w:rStyle w:val="FootnoteReference"/>
        </w:rPr>
        <w:footnoteRef/>
      </w:r>
      <w:r w:rsidR="00F20D3E">
        <w:t>(Campbell, 2013)</w:t>
      </w:r>
    </w:p>
  </w:footnote>
  <w:footnote w:id="13">
    <w:p w14:paraId="1E57F983" w14:textId="7C005A38" w:rsidR="00CC5326" w:rsidRDefault="00CC5326">
      <w:pPr>
        <w:pStyle w:val="FootnoteText"/>
      </w:pPr>
      <w:r>
        <w:rPr>
          <w:rStyle w:val="FootnoteReference"/>
        </w:rPr>
        <w:footnoteRef/>
      </w:r>
      <w:r>
        <w:t xml:space="preserve"> </w:t>
      </w:r>
      <w:r w:rsidR="00F20D3E">
        <w:t>(Campbell, 2013)</w:t>
      </w:r>
    </w:p>
  </w:footnote>
  <w:footnote w:id="14">
    <w:p w14:paraId="6D40C947" w14:textId="37980682" w:rsidR="00CC5326" w:rsidRDefault="00CC5326">
      <w:pPr>
        <w:pStyle w:val="FootnoteText"/>
      </w:pPr>
      <w:r>
        <w:rPr>
          <w:rStyle w:val="FootnoteReference"/>
        </w:rPr>
        <w:footnoteRef/>
      </w:r>
      <w:r>
        <w:t xml:space="preserve"> </w:t>
      </w:r>
      <w:r w:rsidR="00F20D3E">
        <w:t>(Salazar, 2000)</w:t>
      </w:r>
    </w:p>
  </w:footnote>
  <w:footnote w:id="15">
    <w:p w14:paraId="5786A91C" w14:textId="790DF447" w:rsidR="00BD789B" w:rsidRDefault="00BD789B">
      <w:pPr>
        <w:pStyle w:val="FootnoteText"/>
      </w:pPr>
      <w:r>
        <w:rPr>
          <w:rStyle w:val="FootnoteReference"/>
        </w:rPr>
        <w:footnoteRef/>
      </w:r>
      <w:r>
        <w:t xml:space="preserve"> </w:t>
      </w:r>
      <w:r w:rsidR="00F20D3E">
        <w:t>(Campbell, 2013)</w:t>
      </w:r>
    </w:p>
  </w:footnote>
  <w:footnote w:id="16">
    <w:p w14:paraId="4111391E" w14:textId="27614048" w:rsidR="00E84B75" w:rsidRDefault="00E84B75">
      <w:pPr>
        <w:pStyle w:val="FootnoteText"/>
      </w:pPr>
      <w:r>
        <w:rPr>
          <w:rStyle w:val="FootnoteReference"/>
        </w:rPr>
        <w:footnoteRef/>
      </w:r>
      <w:r>
        <w:t xml:space="preserve"> </w:t>
      </w:r>
      <w:r w:rsidR="00F20D3E">
        <w:t>(Campbell, 2013)</w:t>
      </w:r>
    </w:p>
  </w:footnote>
  <w:footnote w:id="17">
    <w:p w14:paraId="06BA4855" w14:textId="1CF0D6EB" w:rsidR="006437F5" w:rsidRPr="00BD789B" w:rsidRDefault="006437F5">
      <w:pPr>
        <w:pStyle w:val="FootnoteText"/>
        <w:rPr>
          <w:i/>
        </w:rPr>
      </w:pPr>
      <w:r>
        <w:rPr>
          <w:rStyle w:val="FootnoteReference"/>
        </w:rPr>
        <w:footnoteRef/>
      </w:r>
      <w:r>
        <w:t xml:space="preserve"> </w:t>
      </w:r>
      <w:r w:rsidR="00BD789B">
        <w:t xml:space="preserve">Plutarch </w:t>
      </w:r>
      <w:r w:rsidR="00BD789B">
        <w:rPr>
          <w:i/>
        </w:rPr>
        <w:t xml:space="preserve">Marius, </w:t>
      </w:r>
      <w:r w:rsidR="00BD789B">
        <w:t xml:space="preserve">6.3; </w:t>
      </w:r>
      <w:r w:rsidR="00BD789B">
        <w:rPr>
          <w:i/>
        </w:rPr>
        <w:t>Caesar,</w:t>
      </w:r>
      <w:r w:rsidR="00BD789B">
        <w:t xml:space="preserve"> 34.3; </w:t>
      </w:r>
      <w:r w:rsidR="00BD789B">
        <w:rPr>
          <w:i/>
        </w:rPr>
        <w:t xml:space="preserve">Pompey, </w:t>
      </w:r>
      <w:r w:rsidR="00BD789B" w:rsidRPr="00BD789B">
        <w:t>2.5-6</w:t>
      </w:r>
    </w:p>
  </w:footnote>
  <w:footnote w:id="18">
    <w:p w14:paraId="42227FA1" w14:textId="12CB96B3" w:rsidR="00E84B75" w:rsidRDefault="00E84B75">
      <w:pPr>
        <w:pStyle w:val="FootnoteText"/>
      </w:pPr>
      <w:r>
        <w:rPr>
          <w:rStyle w:val="FootnoteReference"/>
        </w:rPr>
        <w:footnoteRef/>
      </w:r>
      <w:r>
        <w:t xml:space="preserve"> </w:t>
      </w:r>
      <w:r w:rsidR="00F20D3E">
        <w:t>(Salazar, 2000)</w:t>
      </w:r>
    </w:p>
  </w:footnote>
  <w:footnote w:id="19">
    <w:p w14:paraId="6C04081C" w14:textId="276107E0" w:rsidR="00E84B75" w:rsidRDefault="00E84B75">
      <w:pPr>
        <w:pStyle w:val="FootnoteText"/>
      </w:pPr>
      <w:r>
        <w:rPr>
          <w:rStyle w:val="FootnoteReference"/>
        </w:rPr>
        <w:footnoteRef/>
      </w:r>
      <w:r>
        <w:t xml:space="preserve"> </w:t>
      </w:r>
      <w:r w:rsidR="00F20D3E">
        <w:t>(Salazar, 2000)</w:t>
      </w:r>
    </w:p>
  </w:footnote>
  <w:footnote w:id="20">
    <w:p w14:paraId="2D43EC51" w14:textId="5077F4B7" w:rsidR="00E84B75" w:rsidRDefault="00E84B75">
      <w:pPr>
        <w:pStyle w:val="FootnoteText"/>
      </w:pPr>
      <w:r>
        <w:rPr>
          <w:rStyle w:val="FootnoteReference"/>
        </w:rPr>
        <w:footnoteRef/>
      </w:r>
      <w:r>
        <w:t xml:space="preserve"> </w:t>
      </w:r>
      <w:r w:rsidR="00F20D3E">
        <w:t>(Salazar, 2000)</w:t>
      </w:r>
    </w:p>
  </w:footnote>
  <w:footnote w:id="21">
    <w:p w14:paraId="047F4520" w14:textId="1E6F7F92" w:rsidR="00E84B75" w:rsidRPr="00BD789B" w:rsidRDefault="00E84B75">
      <w:pPr>
        <w:pStyle w:val="FootnoteText"/>
      </w:pPr>
      <w:r>
        <w:rPr>
          <w:rStyle w:val="FootnoteReference"/>
        </w:rPr>
        <w:footnoteRef/>
      </w:r>
      <w:r>
        <w:t xml:space="preserve"> </w:t>
      </w:r>
      <w:r w:rsidR="00BD789B">
        <w:t xml:space="preserve">Cicero, </w:t>
      </w:r>
      <w:proofErr w:type="spellStart"/>
      <w:r w:rsidR="00BD789B">
        <w:rPr>
          <w:i/>
        </w:rPr>
        <w:t>Tusculan</w:t>
      </w:r>
      <w:proofErr w:type="spellEnd"/>
      <w:r w:rsidR="00BD789B">
        <w:rPr>
          <w:i/>
        </w:rPr>
        <w:t xml:space="preserve"> Disputations,</w:t>
      </w:r>
      <w:r w:rsidR="00BD789B">
        <w:t xml:space="preserve"> II, 16.28</w:t>
      </w:r>
    </w:p>
  </w:footnote>
  <w:footnote w:id="22">
    <w:p w14:paraId="0A82F7BB" w14:textId="254D86AA" w:rsidR="009E0005" w:rsidRDefault="009E0005">
      <w:pPr>
        <w:pStyle w:val="FootnoteText"/>
      </w:pPr>
      <w:r>
        <w:rPr>
          <w:rStyle w:val="FootnoteReference"/>
        </w:rPr>
        <w:footnoteRef/>
      </w:r>
      <w:r>
        <w:t xml:space="preserve"> </w:t>
      </w:r>
      <w:r w:rsidR="00F20D3E">
        <w:t>(Campbell, 2013)</w:t>
      </w:r>
    </w:p>
  </w:footnote>
  <w:footnote w:id="23">
    <w:p w14:paraId="5D6677C8" w14:textId="4D9F10CB" w:rsidR="009E0005" w:rsidRDefault="009E0005">
      <w:pPr>
        <w:pStyle w:val="FootnoteText"/>
      </w:pPr>
      <w:r>
        <w:rPr>
          <w:rStyle w:val="FootnoteReference"/>
        </w:rPr>
        <w:footnoteRef/>
      </w:r>
      <w:r>
        <w:t xml:space="preserve"> </w:t>
      </w:r>
      <w:r w:rsidR="00F20D3E">
        <w:t>(Vegetius)</w:t>
      </w:r>
    </w:p>
  </w:footnote>
  <w:footnote w:id="24">
    <w:p w14:paraId="3F0E0BFF" w14:textId="24F3F03E" w:rsidR="00FD35EE" w:rsidRDefault="00FD35EE">
      <w:pPr>
        <w:pStyle w:val="FootnoteText"/>
      </w:pPr>
      <w:r>
        <w:rPr>
          <w:rStyle w:val="FootnoteReference"/>
        </w:rPr>
        <w:footnoteRef/>
      </w:r>
      <w:r>
        <w:t xml:space="preserve"> </w:t>
      </w:r>
      <w:r w:rsidR="00F20D3E">
        <w:t>(Salazar, 2000)</w:t>
      </w:r>
    </w:p>
  </w:footnote>
  <w:footnote w:id="25">
    <w:p w14:paraId="18EF1566" w14:textId="3D54333F" w:rsidR="00FD35EE" w:rsidRDefault="00FD35EE">
      <w:pPr>
        <w:pStyle w:val="FootnoteText"/>
      </w:pPr>
      <w:r>
        <w:rPr>
          <w:rStyle w:val="FootnoteReference"/>
        </w:rPr>
        <w:footnoteRef/>
      </w:r>
      <w:r>
        <w:t xml:space="preserve"> </w:t>
      </w:r>
      <w:r w:rsidR="00F20D3E">
        <w:t>(Salazar, 2000)</w:t>
      </w:r>
    </w:p>
  </w:footnote>
  <w:footnote w:id="26">
    <w:p w14:paraId="2714A2C7" w14:textId="623EBE9E" w:rsidR="00B5590F" w:rsidRDefault="00B5590F">
      <w:pPr>
        <w:pStyle w:val="FootnoteText"/>
      </w:pPr>
      <w:r>
        <w:rPr>
          <w:rStyle w:val="FootnoteReference"/>
        </w:rPr>
        <w:footnoteRef/>
      </w:r>
      <w:r>
        <w:t xml:space="preserve"> </w:t>
      </w:r>
      <w:r w:rsidR="00F20D3E">
        <w:t>(Salazar, 2000)</w:t>
      </w:r>
    </w:p>
  </w:footnote>
  <w:footnote w:id="27">
    <w:p w14:paraId="2DBB3DE4" w14:textId="1C239F39" w:rsidR="000F740B" w:rsidRDefault="000F740B">
      <w:pPr>
        <w:pStyle w:val="FootnoteText"/>
      </w:pPr>
      <w:r>
        <w:rPr>
          <w:rStyle w:val="FootnoteReference"/>
        </w:rPr>
        <w:footnoteRef/>
      </w:r>
      <w:r>
        <w:t xml:space="preserve"> </w:t>
      </w:r>
      <w:r w:rsidR="00F20D3E">
        <w:t>(Salazar, 2000)</w:t>
      </w:r>
    </w:p>
  </w:footnote>
  <w:footnote w:id="28">
    <w:p w14:paraId="5DB57306" w14:textId="1DA00FCC" w:rsidR="00F316A0" w:rsidRDefault="00F316A0">
      <w:pPr>
        <w:pStyle w:val="FootnoteText"/>
      </w:pPr>
      <w:r>
        <w:rPr>
          <w:rStyle w:val="FootnoteReference"/>
        </w:rPr>
        <w:footnoteRef/>
      </w:r>
      <w:r>
        <w:t xml:space="preserve"> </w:t>
      </w:r>
      <w:r w:rsidR="00F20D3E">
        <w:t>(Salazar, 2000)</w:t>
      </w:r>
    </w:p>
  </w:footnote>
  <w:footnote w:id="29">
    <w:p w14:paraId="126FECC7" w14:textId="208AC088" w:rsidR="000F740B" w:rsidRDefault="000F740B">
      <w:pPr>
        <w:pStyle w:val="FootnoteText"/>
      </w:pPr>
      <w:r>
        <w:rPr>
          <w:rStyle w:val="FootnoteReference"/>
        </w:rPr>
        <w:footnoteRef/>
      </w:r>
      <w:r>
        <w:t xml:space="preserve"> </w:t>
      </w:r>
      <w:r w:rsidR="00F20D3E">
        <w:t>(Salazar, 2000)</w:t>
      </w:r>
    </w:p>
  </w:footnote>
  <w:footnote w:id="30">
    <w:p w14:paraId="6995CF6F" w14:textId="2A33F0AA" w:rsidR="000F740B" w:rsidRDefault="000F740B">
      <w:pPr>
        <w:pStyle w:val="FootnoteText"/>
      </w:pPr>
      <w:r>
        <w:rPr>
          <w:rStyle w:val="FootnoteReference"/>
        </w:rPr>
        <w:footnoteRef/>
      </w:r>
      <w:r>
        <w:t xml:space="preserve"> </w:t>
      </w:r>
      <w:r w:rsidR="00F20D3E">
        <w:t>(Salazar, 2000)</w:t>
      </w:r>
    </w:p>
  </w:footnote>
  <w:footnote w:id="31">
    <w:p w14:paraId="7F8E1D8E" w14:textId="65821DB4" w:rsidR="000F740B" w:rsidRDefault="000F740B">
      <w:pPr>
        <w:pStyle w:val="FootnoteText"/>
      </w:pPr>
      <w:r>
        <w:rPr>
          <w:rStyle w:val="FootnoteReference"/>
        </w:rPr>
        <w:footnoteRef/>
      </w:r>
      <w:r>
        <w:t xml:space="preserve"> </w:t>
      </w:r>
      <w:r w:rsidR="00F20D3E">
        <w:t>(</w:t>
      </w:r>
      <w:proofErr w:type="spellStart"/>
      <w:r w:rsidR="00F20D3E">
        <w:t>Nutton</w:t>
      </w:r>
      <w:proofErr w:type="spellEnd"/>
      <w:r w:rsidR="00F20D3E">
        <w:t xml:space="preserve">, </w:t>
      </w:r>
      <w:r w:rsidR="00C92E05">
        <w:t>1969)</w:t>
      </w:r>
    </w:p>
  </w:footnote>
  <w:footnote w:id="32">
    <w:p w14:paraId="6671B019" w14:textId="25A4797C" w:rsidR="000F740B" w:rsidRDefault="000F740B">
      <w:pPr>
        <w:pStyle w:val="FootnoteText"/>
      </w:pPr>
      <w:r>
        <w:rPr>
          <w:rStyle w:val="FootnoteReference"/>
        </w:rPr>
        <w:footnoteRef/>
      </w:r>
      <w:r>
        <w:t xml:space="preserve"> </w:t>
      </w:r>
      <w:r w:rsidR="00F20D3E">
        <w:t>(Salazar, 2000)</w:t>
      </w:r>
    </w:p>
  </w:footnote>
  <w:footnote w:id="33">
    <w:p w14:paraId="4A35AEE0" w14:textId="31D547B7" w:rsidR="000F740B" w:rsidRDefault="000F740B">
      <w:pPr>
        <w:pStyle w:val="FootnoteText"/>
      </w:pPr>
      <w:r>
        <w:rPr>
          <w:rStyle w:val="FootnoteReference"/>
        </w:rPr>
        <w:footnoteRef/>
      </w:r>
      <w:r>
        <w:t xml:space="preserve"> </w:t>
      </w:r>
      <w:r w:rsidR="00F20D3E">
        <w:t>(Salazar, 2000)</w:t>
      </w:r>
    </w:p>
  </w:footnote>
  <w:footnote w:id="34">
    <w:p w14:paraId="119F42F8" w14:textId="5E2CFDC3" w:rsidR="000F740B" w:rsidRDefault="000F740B">
      <w:pPr>
        <w:pStyle w:val="FootnoteText"/>
      </w:pPr>
      <w:r>
        <w:rPr>
          <w:rStyle w:val="FootnoteReference"/>
        </w:rPr>
        <w:footnoteRef/>
      </w:r>
      <w:r>
        <w:t xml:space="preserve"> </w:t>
      </w:r>
      <w:r w:rsidR="00F20D3E">
        <w:t>(Salazar, 2000)</w:t>
      </w:r>
    </w:p>
  </w:footnote>
  <w:footnote w:id="35">
    <w:p w14:paraId="700BB887" w14:textId="305EF533" w:rsidR="000F740B" w:rsidRDefault="000F740B">
      <w:pPr>
        <w:pStyle w:val="FootnoteText"/>
      </w:pPr>
      <w:r>
        <w:rPr>
          <w:rStyle w:val="FootnoteReference"/>
        </w:rPr>
        <w:footnoteRef/>
      </w:r>
      <w:r>
        <w:t xml:space="preserve"> </w:t>
      </w:r>
      <w:r w:rsidR="00F20D3E">
        <w:t>(Campbell, 2013)</w:t>
      </w:r>
    </w:p>
  </w:footnote>
  <w:footnote w:id="36">
    <w:p w14:paraId="389DF96B" w14:textId="5565EE85" w:rsidR="000F740B" w:rsidRDefault="000F740B">
      <w:pPr>
        <w:pStyle w:val="FootnoteText"/>
      </w:pPr>
      <w:r>
        <w:rPr>
          <w:rStyle w:val="FootnoteReference"/>
        </w:rPr>
        <w:footnoteRef/>
      </w:r>
      <w:r>
        <w:t xml:space="preserve"> </w:t>
      </w:r>
      <w:r w:rsidR="00F20D3E">
        <w:t>(Hippocrates and Jones, 1981)</w:t>
      </w:r>
    </w:p>
  </w:footnote>
  <w:footnote w:id="37">
    <w:p w14:paraId="0F0FD85F" w14:textId="608A71B9" w:rsidR="000F740B" w:rsidRDefault="000F740B">
      <w:pPr>
        <w:pStyle w:val="FootnoteText"/>
      </w:pPr>
      <w:r>
        <w:rPr>
          <w:rStyle w:val="FootnoteReference"/>
        </w:rPr>
        <w:footnoteRef/>
      </w:r>
      <w:r>
        <w:t xml:space="preserve"> </w:t>
      </w:r>
      <w:r w:rsidR="00F20D3E">
        <w:t>(Galen, Johnston and Horsley, 2015)</w:t>
      </w:r>
    </w:p>
  </w:footnote>
  <w:footnote w:id="38">
    <w:p w14:paraId="6445E61F" w14:textId="7F100A36" w:rsidR="000F740B" w:rsidRDefault="000F740B">
      <w:pPr>
        <w:pStyle w:val="FootnoteText"/>
      </w:pPr>
      <w:r>
        <w:rPr>
          <w:rStyle w:val="FootnoteReference"/>
        </w:rPr>
        <w:footnoteRef/>
      </w:r>
      <w:r>
        <w:t xml:space="preserve"> </w:t>
      </w:r>
      <w:r w:rsidR="00F20D3E">
        <w:t>(Salazar, 2000)</w:t>
      </w:r>
    </w:p>
  </w:footnote>
  <w:footnote w:id="39">
    <w:p w14:paraId="54E41E37" w14:textId="2564BACC" w:rsidR="000F740B" w:rsidRDefault="000F740B">
      <w:pPr>
        <w:pStyle w:val="FootnoteText"/>
      </w:pPr>
      <w:r>
        <w:rPr>
          <w:rStyle w:val="FootnoteReference"/>
        </w:rPr>
        <w:footnoteRef/>
      </w:r>
      <w:r>
        <w:t xml:space="preserve"> </w:t>
      </w:r>
      <w:r w:rsidR="00F20D3E">
        <w:t>(Salazar, 2000)</w:t>
      </w:r>
    </w:p>
  </w:footnote>
  <w:footnote w:id="40">
    <w:p w14:paraId="5763DB72" w14:textId="245EDD48" w:rsidR="000F740B" w:rsidRDefault="000F740B">
      <w:pPr>
        <w:pStyle w:val="FootnoteText"/>
      </w:pPr>
      <w:r>
        <w:rPr>
          <w:rStyle w:val="FootnoteReference"/>
        </w:rPr>
        <w:footnoteRef/>
      </w:r>
      <w:r>
        <w:t xml:space="preserve"> </w:t>
      </w:r>
      <w:r w:rsidR="00F20D3E">
        <w:t>(Salazar, 2000)</w:t>
      </w:r>
    </w:p>
  </w:footnote>
  <w:footnote w:id="41">
    <w:p w14:paraId="7856EAC2" w14:textId="5E2ACBEC" w:rsidR="000F740B" w:rsidRDefault="000F740B">
      <w:pPr>
        <w:pStyle w:val="FootnoteText"/>
      </w:pPr>
      <w:r>
        <w:rPr>
          <w:rStyle w:val="FootnoteReference"/>
        </w:rPr>
        <w:footnoteRef/>
      </w:r>
      <w:r>
        <w:t xml:space="preserve"> </w:t>
      </w:r>
      <w:r w:rsidR="00C92E05">
        <w:t>(Scarborough, 1968)</w:t>
      </w:r>
    </w:p>
  </w:footnote>
  <w:footnote w:id="42">
    <w:p w14:paraId="306E8DB1" w14:textId="4071BDB7" w:rsidR="000F740B" w:rsidRDefault="000F740B">
      <w:pPr>
        <w:pStyle w:val="FootnoteText"/>
      </w:pPr>
      <w:r>
        <w:rPr>
          <w:rStyle w:val="FootnoteReference"/>
        </w:rPr>
        <w:footnoteRef/>
      </w:r>
      <w:r>
        <w:t xml:space="preserve"> </w:t>
      </w:r>
      <w:r w:rsidR="00C92E05">
        <w:t>(Galen, Johnston and Horsley, 2015)</w:t>
      </w:r>
    </w:p>
  </w:footnote>
  <w:footnote w:id="43">
    <w:p w14:paraId="2E5E28B7" w14:textId="5E6F65DF" w:rsidR="000F740B" w:rsidRDefault="000F740B">
      <w:pPr>
        <w:pStyle w:val="FootnoteText"/>
      </w:pPr>
      <w:r>
        <w:rPr>
          <w:rStyle w:val="FootnoteReference"/>
        </w:rPr>
        <w:footnoteRef/>
      </w:r>
      <w:r>
        <w:t xml:space="preserve"> </w:t>
      </w:r>
      <w:r w:rsidR="00C92E05">
        <w:t>(Galen, Johnston and Horsley, 2015)</w:t>
      </w:r>
    </w:p>
  </w:footnote>
  <w:footnote w:id="44">
    <w:p w14:paraId="19D285C9" w14:textId="3C63249F" w:rsidR="00C92E05" w:rsidRDefault="000F740B">
      <w:pPr>
        <w:pStyle w:val="FootnoteText"/>
      </w:pPr>
      <w:r>
        <w:rPr>
          <w:rStyle w:val="FootnoteReference"/>
        </w:rPr>
        <w:footnoteRef/>
      </w:r>
      <w:r>
        <w:t xml:space="preserve"> </w:t>
      </w:r>
      <w:proofErr w:type="spellStart"/>
      <w:r w:rsidR="00C92E05">
        <w:t>Celsus</w:t>
      </w:r>
      <w:proofErr w:type="spellEnd"/>
    </w:p>
  </w:footnote>
  <w:footnote w:id="45">
    <w:p w14:paraId="45EE0B7B" w14:textId="627169AB" w:rsidR="000F740B" w:rsidRDefault="000F740B">
      <w:pPr>
        <w:pStyle w:val="FootnoteText"/>
      </w:pPr>
      <w:r>
        <w:rPr>
          <w:rStyle w:val="FootnoteReference"/>
        </w:rPr>
        <w:footnoteRef/>
      </w:r>
      <w:r w:rsidR="00C92E05">
        <w:t xml:space="preserve"> </w:t>
      </w:r>
      <w:proofErr w:type="spellStart"/>
      <w:r w:rsidR="00C92E05">
        <w:t>Celsus</w:t>
      </w:r>
      <w:proofErr w:type="spellEnd"/>
      <w:r>
        <w:t xml:space="preserve"> </w:t>
      </w:r>
    </w:p>
  </w:footnote>
  <w:footnote w:id="46">
    <w:p w14:paraId="42674C64" w14:textId="28C4518F" w:rsidR="000F740B" w:rsidRDefault="000F740B">
      <w:pPr>
        <w:pStyle w:val="FootnoteText"/>
      </w:pPr>
      <w:r>
        <w:rPr>
          <w:rStyle w:val="FootnoteReference"/>
        </w:rPr>
        <w:footnoteRef/>
      </w:r>
      <w:r>
        <w:t xml:space="preserve"> </w:t>
      </w:r>
      <w:proofErr w:type="spellStart"/>
      <w:r w:rsidR="00C92E05">
        <w:t>Celsus</w:t>
      </w:r>
      <w:proofErr w:type="spellEnd"/>
    </w:p>
  </w:footnote>
  <w:footnote w:id="47">
    <w:p w14:paraId="47A79CF7" w14:textId="5B4A6798" w:rsidR="000F740B" w:rsidRDefault="000F740B">
      <w:pPr>
        <w:pStyle w:val="FootnoteText"/>
      </w:pPr>
      <w:r>
        <w:rPr>
          <w:rStyle w:val="FootnoteReference"/>
        </w:rPr>
        <w:footnoteRef/>
      </w:r>
      <w:r>
        <w:t xml:space="preserve"> </w:t>
      </w:r>
      <w:r w:rsidR="00C92E05">
        <w:t>(Campbell, 2013)</w:t>
      </w:r>
    </w:p>
  </w:footnote>
  <w:footnote w:id="48">
    <w:p w14:paraId="14FBB7C0" w14:textId="2E950AC8" w:rsidR="000F740B" w:rsidRDefault="000F740B">
      <w:pPr>
        <w:pStyle w:val="FootnoteText"/>
      </w:pPr>
      <w:r>
        <w:rPr>
          <w:rStyle w:val="FootnoteReference"/>
        </w:rPr>
        <w:footnoteRef/>
      </w:r>
      <w:r>
        <w:t xml:space="preserve"> </w:t>
      </w:r>
      <w:r w:rsidR="00C92E05">
        <w:t>(Salazar, 2000)</w:t>
      </w:r>
    </w:p>
  </w:footnote>
  <w:footnote w:id="49">
    <w:p w14:paraId="281DCD5A" w14:textId="052D7413" w:rsidR="000F740B" w:rsidRDefault="000F740B">
      <w:pPr>
        <w:pStyle w:val="FootnoteText"/>
      </w:pPr>
      <w:r>
        <w:rPr>
          <w:rStyle w:val="FootnoteReference"/>
        </w:rPr>
        <w:footnoteRef/>
      </w:r>
      <w:r>
        <w:t xml:space="preserve"> </w:t>
      </w:r>
      <w:r w:rsidR="00C92E05">
        <w:t>(Salazar, 2000)</w:t>
      </w:r>
    </w:p>
  </w:footnote>
  <w:footnote w:id="50">
    <w:p w14:paraId="3705BC30" w14:textId="1E6E21E5" w:rsidR="000F740B" w:rsidRDefault="000F740B">
      <w:pPr>
        <w:pStyle w:val="FootnoteText"/>
      </w:pPr>
      <w:r>
        <w:rPr>
          <w:rStyle w:val="FootnoteReference"/>
        </w:rPr>
        <w:footnoteRef/>
      </w:r>
      <w:r>
        <w:t xml:space="preserve"> </w:t>
      </w:r>
      <w:r w:rsidR="00C92E05">
        <w:t>Livy</w:t>
      </w:r>
    </w:p>
  </w:footnote>
  <w:footnote w:id="51">
    <w:p w14:paraId="0FAAFA63" w14:textId="517F6780" w:rsidR="000F740B" w:rsidRDefault="000F740B">
      <w:pPr>
        <w:pStyle w:val="FootnoteText"/>
      </w:pPr>
      <w:r>
        <w:rPr>
          <w:rStyle w:val="FootnoteReference"/>
        </w:rPr>
        <w:footnoteRef/>
      </w:r>
      <w:r>
        <w:t xml:space="preserve"> </w:t>
      </w:r>
      <w:r w:rsidR="00C92E05">
        <w:t>(Salazar, 2000)</w:t>
      </w:r>
    </w:p>
  </w:footnote>
  <w:footnote w:id="52">
    <w:p w14:paraId="29D1EFEE" w14:textId="49FB2D75" w:rsidR="000F740B" w:rsidRDefault="000F740B">
      <w:pPr>
        <w:pStyle w:val="FootnoteText"/>
      </w:pPr>
      <w:r>
        <w:rPr>
          <w:rStyle w:val="FootnoteReference"/>
        </w:rPr>
        <w:footnoteRef/>
      </w:r>
      <w:r w:rsidR="00C92E05">
        <w:t xml:space="preserve"> (Salazar, 2000)</w:t>
      </w:r>
      <w:r>
        <w:t xml:space="preserve"> </w:t>
      </w:r>
    </w:p>
  </w:footnote>
  <w:footnote w:id="53">
    <w:p w14:paraId="6F533A09" w14:textId="6454D886" w:rsidR="000F740B" w:rsidRDefault="000F740B">
      <w:pPr>
        <w:pStyle w:val="FootnoteText"/>
      </w:pPr>
      <w:r>
        <w:rPr>
          <w:rStyle w:val="FootnoteReference"/>
        </w:rPr>
        <w:footnoteRef/>
      </w:r>
      <w:r>
        <w:t xml:space="preserve"> </w:t>
      </w:r>
      <w:r w:rsidR="00C92E05">
        <w:t>(Salazar, 2000)</w:t>
      </w:r>
    </w:p>
  </w:footnote>
  <w:footnote w:id="54">
    <w:p w14:paraId="45EDB35A" w14:textId="0F82BD78" w:rsidR="000F740B" w:rsidRDefault="000F740B">
      <w:pPr>
        <w:pStyle w:val="FootnoteText"/>
      </w:pPr>
      <w:r>
        <w:rPr>
          <w:rStyle w:val="FootnoteReference"/>
        </w:rPr>
        <w:footnoteRef/>
      </w:r>
      <w:r>
        <w:t xml:space="preserve"> </w:t>
      </w:r>
      <w:r w:rsidR="00C92E05">
        <w:t>(Salazar, 2000)</w:t>
      </w:r>
    </w:p>
  </w:footnote>
  <w:footnote w:id="55">
    <w:p w14:paraId="05088306" w14:textId="299C4552" w:rsidR="000F740B" w:rsidRDefault="000F740B">
      <w:pPr>
        <w:pStyle w:val="FootnoteText"/>
      </w:pPr>
      <w:r>
        <w:rPr>
          <w:rStyle w:val="FootnoteReference"/>
        </w:rPr>
        <w:footnoteRef/>
      </w:r>
      <w:r>
        <w:t xml:space="preserve"> </w:t>
      </w:r>
      <w:r w:rsidR="00C92E05">
        <w:t>(Galen, Johnston and Horsley, 2015)</w:t>
      </w:r>
    </w:p>
  </w:footnote>
  <w:footnote w:id="56">
    <w:p w14:paraId="6FE0C4A6" w14:textId="05602754" w:rsidR="00B43F74" w:rsidRDefault="00B43F74">
      <w:pPr>
        <w:pStyle w:val="FootnoteText"/>
      </w:pPr>
      <w:r>
        <w:rPr>
          <w:rStyle w:val="FootnoteReference"/>
        </w:rPr>
        <w:footnoteRef/>
      </w:r>
      <w:r>
        <w:t xml:space="preserve"> </w:t>
      </w:r>
      <w:proofErr w:type="spellStart"/>
      <w:r w:rsidR="00C92E05">
        <w:t>Celsus</w:t>
      </w:r>
      <w:proofErr w:type="spellEnd"/>
    </w:p>
  </w:footnote>
  <w:footnote w:id="57">
    <w:p w14:paraId="6A3E6AA4" w14:textId="1E03BC28" w:rsidR="00B43F74" w:rsidRDefault="00B43F74">
      <w:pPr>
        <w:pStyle w:val="FootnoteText"/>
      </w:pPr>
      <w:r>
        <w:rPr>
          <w:rStyle w:val="FootnoteReference"/>
        </w:rPr>
        <w:footnoteRef/>
      </w:r>
      <w:r>
        <w:t xml:space="preserve"> </w:t>
      </w:r>
      <w:r w:rsidR="00C92E05">
        <w:t>(Salazar, 2000)</w:t>
      </w:r>
    </w:p>
  </w:footnote>
  <w:footnote w:id="58">
    <w:p w14:paraId="700E50A6" w14:textId="211E2994" w:rsidR="00B43F74" w:rsidRDefault="00B43F74">
      <w:pPr>
        <w:pStyle w:val="FootnoteText"/>
      </w:pPr>
      <w:r>
        <w:rPr>
          <w:rStyle w:val="FootnoteReference"/>
        </w:rPr>
        <w:footnoteRef/>
      </w:r>
      <w:r>
        <w:t xml:space="preserve"> </w:t>
      </w:r>
      <w:r w:rsidR="00C92E05">
        <w:t>(Salazar, 2000)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E60446"/>
    <w:multiLevelType w:val="hybridMultilevel"/>
    <w:tmpl w:val="C8DACC6C"/>
    <w:lvl w:ilvl="0" w:tplc="BB58CC58">
      <w:start w:val="29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14B"/>
    <w:rsid w:val="00032266"/>
    <w:rsid w:val="000C6D01"/>
    <w:rsid w:val="000D163A"/>
    <w:rsid w:val="000F740B"/>
    <w:rsid w:val="001054F9"/>
    <w:rsid w:val="00113E43"/>
    <w:rsid w:val="0014541D"/>
    <w:rsid w:val="001638F9"/>
    <w:rsid w:val="001743E1"/>
    <w:rsid w:val="00177275"/>
    <w:rsid w:val="00197F92"/>
    <w:rsid w:val="002414A5"/>
    <w:rsid w:val="00364765"/>
    <w:rsid w:val="003A2AE2"/>
    <w:rsid w:val="00454B6B"/>
    <w:rsid w:val="00493CB3"/>
    <w:rsid w:val="004C1460"/>
    <w:rsid w:val="00560272"/>
    <w:rsid w:val="005D4D11"/>
    <w:rsid w:val="006437F5"/>
    <w:rsid w:val="006451FD"/>
    <w:rsid w:val="006E514B"/>
    <w:rsid w:val="007B49F6"/>
    <w:rsid w:val="00864C9A"/>
    <w:rsid w:val="008C7B76"/>
    <w:rsid w:val="00985FD4"/>
    <w:rsid w:val="009E0005"/>
    <w:rsid w:val="00A62EBC"/>
    <w:rsid w:val="00AC535F"/>
    <w:rsid w:val="00B2432E"/>
    <w:rsid w:val="00B43F74"/>
    <w:rsid w:val="00B5590F"/>
    <w:rsid w:val="00B74936"/>
    <w:rsid w:val="00BD789B"/>
    <w:rsid w:val="00BF08C9"/>
    <w:rsid w:val="00BF7321"/>
    <w:rsid w:val="00C57649"/>
    <w:rsid w:val="00C92E05"/>
    <w:rsid w:val="00CC5326"/>
    <w:rsid w:val="00D04A6C"/>
    <w:rsid w:val="00D1393E"/>
    <w:rsid w:val="00D41C6C"/>
    <w:rsid w:val="00E172C4"/>
    <w:rsid w:val="00E31DE4"/>
    <w:rsid w:val="00E35D67"/>
    <w:rsid w:val="00E84B75"/>
    <w:rsid w:val="00ED5D78"/>
    <w:rsid w:val="00F20D3E"/>
    <w:rsid w:val="00F316A0"/>
    <w:rsid w:val="00FD3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5868F"/>
  <w15:chartTrackingRefBased/>
  <w15:docId w15:val="{4B4B3DD7-A22F-4D94-8532-C4C4B5B09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7B49F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E00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0005"/>
    <w:rPr>
      <w:sz w:val="20"/>
      <w:szCs w:val="20"/>
    </w:rPr>
  </w:style>
  <w:style w:type="character" w:styleId="FootnoteReference">
    <w:name w:val="footnote reference"/>
    <w:basedOn w:val="DefaultParagraphFont"/>
    <w:uiPriority w:val="99"/>
    <w:semiHidden/>
    <w:unhideWhenUsed/>
    <w:rsid w:val="009E0005"/>
    <w:rPr>
      <w:vertAlign w:val="superscript"/>
    </w:rPr>
  </w:style>
  <w:style w:type="paragraph" w:styleId="ListParagraph">
    <w:name w:val="List Paragraph"/>
    <w:basedOn w:val="Normal"/>
    <w:uiPriority w:val="34"/>
    <w:qFormat/>
    <w:rsid w:val="00197F92"/>
    <w:pPr>
      <w:ind w:left="720"/>
      <w:contextualSpacing/>
    </w:pPr>
  </w:style>
  <w:style w:type="character" w:customStyle="1" w:styleId="Heading2Char">
    <w:name w:val="Heading 2 Char"/>
    <w:basedOn w:val="DefaultParagraphFont"/>
    <w:link w:val="Heading2"/>
    <w:uiPriority w:val="9"/>
    <w:rsid w:val="007B49F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B49F6"/>
    <w:pPr>
      <w:spacing w:after="15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41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4A5"/>
  </w:style>
  <w:style w:type="paragraph" w:styleId="Footer">
    <w:name w:val="footer"/>
    <w:basedOn w:val="Normal"/>
    <w:link w:val="FooterChar"/>
    <w:uiPriority w:val="99"/>
    <w:unhideWhenUsed/>
    <w:rsid w:val="00241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7848">
      <w:bodyDiv w:val="1"/>
      <w:marLeft w:val="0"/>
      <w:marRight w:val="0"/>
      <w:marTop w:val="0"/>
      <w:marBottom w:val="0"/>
      <w:divBdr>
        <w:top w:val="none" w:sz="0" w:space="0" w:color="auto"/>
        <w:left w:val="none" w:sz="0" w:space="0" w:color="auto"/>
        <w:bottom w:val="none" w:sz="0" w:space="0" w:color="auto"/>
        <w:right w:val="none" w:sz="0" w:space="0" w:color="auto"/>
      </w:divBdr>
      <w:divsChild>
        <w:div w:id="222327708">
          <w:marLeft w:val="0"/>
          <w:marRight w:val="0"/>
          <w:marTop w:val="0"/>
          <w:marBottom w:val="0"/>
          <w:divBdr>
            <w:top w:val="none" w:sz="0" w:space="0" w:color="auto"/>
            <w:left w:val="none" w:sz="0" w:space="0" w:color="auto"/>
            <w:bottom w:val="none" w:sz="0" w:space="0" w:color="auto"/>
            <w:right w:val="none" w:sz="0" w:space="0" w:color="auto"/>
          </w:divBdr>
          <w:divsChild>
            <w:div w:id="447043744">
              <w:marLeft w:val="-225"/>
              <w:marRight w:val="-225"/>
              <w:marTop w:val="0"/>
              <w:marBottom w:val="0"/>
              <w:divBdr>
                <w:top w:val="none" w:sz="0" w:space="0" w:color="auto"/>
                <w:left w:val="none" w:sz="0" w:space="0" w:color="auto"/>
                <w:bottom w:val="none" w:sz="0" w:space="0" w:color="auto"/>
                <w:right w:val="none" w:sz="0" w:space="0" w:color="auto"/>
              </w:divBdr>
              <w:divsChild>
                <w:div w:id="1610821603">
                  <w:marLeft w:val="0"/>
                  <w:marRight w:val="0"/>
                  <w:marTop w:val="0"/>
                  <w:marBottom w:val="0"/>
                  <w:divBdr>
                    <w:top w:val="none" w:sz="0" w:space="0" w:color="auto"/>
                    <w:left w:val="none" w:sz="0" w:space="0" w:color="auto"/>
                    <w:bottom w:val="none" w:sz="0" w:space="0" w:color="auto"/>
                    <w:right w:val="none" w:sz="0" w:space="0" w:color="auto"/>
                  </w:divBdr>
                  <w:divsChild>
                    <w:div w:id="1796176280">
                      <w:marLeft w:val="0"/>
                      <w:marRight w:val="0"/>
                      <w:marTop w:val="0"/>
                      <w:marBottom w:val="0"/>
                      <w:divBdr>
                        <w:top w:val="none" w:sz="0" w:space="0" w:color="auto"/>
                        <w:left w:val="none" w:sz="0" w:space="0" w:color="auto"/>
                        <w:bottom w:val="none" w:sz="0" w:space="0" w:color="auto"/>
                        <w:right w:val="none" w:sz="0" w:space="0" w:color="auto"/>
                      </w:divBdr>
                      <w:divsChild>
                        <w:div w:id="1713453490">
                          <w:marLeft w:val="0"/>
                          <w:marRight w:val="0"/>
                          <w:marTop w:val="0"/>
                          <w:marBottom w:val="0"/>
                          <w:divBdr>
                            <w:top w:val="none" w:sz="0" w:space="0" w:color="auto"/>
                            <w:left w:val="none" w:sz="0" w:space="0" w:color="auto"/>
                            <w:bottom w:val="none" w:sz="0" w:space="0" w:color="auto"/>
                            <w:right w:val="none" w:sz="0" w:space="0" w:color="auto"/>
                          </w:divBdr>
                          <w:divsChild>
                            <w:div w:id="1821924404">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F42D6-B0A7-46B5-B71E-BBB5BC5ED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3287</Words>
  <Characters>18741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 (1601293)</dc:creator>
  <cp:keywords/>
  <dc:description/>
  <cp:lastModifiedBy>Tammy Bowie</cp:lastModifiedBy>
  <cp:revision>2</cp:revision>
  <dcterms:created xsi:type="dcterms:W3CDTF">2018-05-04T14:02:00Z</dcterms:created>
  <dcterms:modified xsi:type="dcterms:W3CDTF">2018-05-04T14:02:00Z</dcterms:modified>
</cp:coreProperties>
</file>