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036CBD" wp14:paraId="350ECCFD" wp14:textId="68537DFD">
      <w:pPr>
        <w:rPr>
          <w:rFonts w:ascii="Arial" w:hAnsi="Arial" w:eastAsia="Arial" w:cs="Arial"/>
          <w:sz w:val="36"/>
          <w:szCs w:val="36"/>
        </w:rPr>
      </w:pPr>
      <w:r w:rsidRPr="75036CBD" w:rsidR="57B42140">
        <w:rPr>
          <w:rFonts w:ascii="Arial" w:hAnsi="Arial" w:eastAsia="Arial" w:cs="Arial"/>
          <w:b w:val="1"/>
          <w:bCs w:val="1"/>
          <w:sz w:val="36"/>
          <w:szCs w:val="36"/>
        </w:rPr>
        <w:t>DEBATE DISCUSSION</w:t>
      </w:r>
      <w:r w:rsidRPr="75036CBD" w:rsidR="57B42140">
        <w:rPr>
          <w:rFonts w:ascii="Arial" w:hAnsi="Arial" w:eastAsia="Arial" w:cs="Arial"/>
          <w:sz w:val="36"/>
          <w:szCs w:val="36"/>
        </w:rPr>
        <w:t>:  REFERENCE LIST.</w:t>
      </w:r>
    </w:p>
    <w:p xmlns:wp14="http://schemas.microsoft.com/office/word/2010/wordml" w:rsidP="75036CBD" wp14:paraId="5E5787A5" wp14:textId="006FD661">
      <w:pPr>
        <w:pStyle w:val="Normal"/>
        <w:rPr>
          <w:rFonts w:ascii="Arial" w:hAnsi="Arial" w:eastAsia="Arial" w:cs="Arial"/>
          <w:sz w:val="36"/>
          <w:szCs w:val="36"/>
        </w:rPr>
      </w:pPr>
      <w:r w:rsidRPr="75036CBD" w:rsidR="24CEA334">
        <w:rPr>
          <w:rFonts w:ascii="Arial" w:hAnsi="Arial" w:eastAsia="Arial" w:cs="Arial"/>
          <w:b w:val="1"/>
          <w:bCs w:val="1"/>
          <w:sz w:val="36"/>
          <w:szCs w:val="36"/>
        </w:rPr>
        <w:t>STUDENT NAME</w:t>
      </w:r>
      <w:r w:rsidRPr="75036CBD" w:rsidR="24CEA334">
        <w:rPr>
          <w:rFonts w:ascii="Arial" w:hAnsi="Arial" w:eastAsia="Arial" w:cs="Arial"/>
          <w:sz w:val="36"/>
          <w:szCs w:val="36"/>
        </w:rPr>
        <w:t xml:space="preserve">: LUCRESHA LEWIS </w:t>
      </w:r>
    </w:p>
    <w:p w:rsidR="751078E5" w:rsidP="75036CBD" w:rsidRDefault="751078E5" w14:paraId="3A2B4BCE" w14:textId="57C23094">
      <w:pPr>
        <w:rPr>
          <w:rFonts w:ascii="Arial" w:hAnsi="Arial" w:eastAsia="Arial" w:cs="Arial"/>
          <w:sz w:val="36"/>
          <w:szCs w:val="36"/>
        </w:rPr>
      </w:pPr>
      <w:r w:rsidRPr="75036CBD" w:rsidR="24CEA334">
        <w:rPr>
          <w:rFonts w:ascii="Arial" w:hAnsi="Arial" w:eastAsia="Arial" w:cs="Arial"/>
          <w:b w:val="1"/>
          <w:bCs w:val="1"/>
          <w:sz w:val="36"/>
          <w:szCs w:val="36"/>
        </w:rPr>
        <w:t>STUDENT NUMBER</w:t>
      </w:r>
      <w:r w:rsidRPr="75036CBD" w:rsidR="24CEA334">
        <w:rPr>
          <w:rFonts w:ascii="Arial" w:hAnsi="Arial" w:eastAsia="Arial" w:cs="Arial"/>
          <w:sz w:val="36"/>
          <w:szCs w:val="36"/>
        </w:rPr>
        <w:t>:  2315413</w:t>
      </w:r>
    </w:p>
    <w:p w:rsidR="751078E5" w:rsidP="75036CBD" w:rsidRDefault="751078E5" w14:paraId="1B9A3D50" w14:textId="34D3FAB9">
      <w:pPr>
        <w:rPr>
          <w:rFonts w:ascii="Arial" w:hAnsi="Arial" w:eastAsia="Arial" w:cs="Arial"/>
          <w:sz w:val="36"/>
          <w:szCs w:val="36"/>
        </w:rPr>
      </w:pPr>
      <w:r w:rsidRPr="75036CBD" w:rsidR="24CEA334">
        <w:rPr>
          <w:rFonts w:ascii="Arial" w:hAnsi="Arial" w:eastAsia="Arial" w:cs="Arial"/>
          <w:b w:val="1"/>
          <w:bCs w:val="1"/>
          <w:sz w:val="36"/>
          <w:szCs w:val="36"/>
        </w:rPr>
        <w:t>MODULE NAME</w:t>
      </w:r>
      <w:r w:rsidRPr="75036CBD" w:rsidR="24CEA334">
        <w:rPr>
          <w:rFonts w:ascii="Arial" w:hAnsi="Arial" w:eastAsia="Arial" w:cs="Arial"/>
          <w:sz w:val="36"/>
          <w:szCs w:val="36"/>
        </w:rPr>
        <w:t xml:space="preserve">:  EMPOWERING OLD PEOPLE </w:t>
      </w:r>
    </w:p>
    <w:p w:rsidR="06849782" w:rsidP="75036CBD" w:rsidRDefault="06849782" w14:paraId="38F0AD13" w14:textId="75CDC8EF">
      <w:pPr>
        <w:pStyle w:val="Normal"/>
        <w:rPr>
          <w:rFonts w:ascii="Arial" w:hAnsi="Arial" w:eastAsia="Arial" w:cs="Arial"/>
          <w:sz w:val="36"/>
          <w:szCs w:val="36"/>
        </w:rPr>
      </w:pPr>
      <w:r w:rsidRPr="75036CBD" w:rsidR="5279090F">
        <w:rPr>
          <w:rFonts w:ascii="Arial" w:hAnsi="Arial" w:eastAsia="Arial" w:cs="Arial"/>
          <w:b w:val="1"/>
          <w:bCs w:val="1"/>
          <w:sz w:val="36"/>
          <w:szCs w:val="36"/>
        </w:rPr>
        <w:t>MODULE NUMBER</w:t>
      </w:r>
      <w:r w:rsidRPr="75036CBD" w:rsidR="5279090F">
        <w:rPr>
          <w:rFonts w:ascii="Arial" w:hAnsi="Arial" w:eastAsia="Arial" w:cs="Arial"/>
          <w:sz w:val="36"/>
          <w:szCs w:val="36"/>
        </w:rPr>
        <w:t xml:space="preserve">: </w:t>
      </w:r>
      <w:r w:rsidRPr="75036CBD" w:rsidR="41F3652A">
        <w:rPr>
          <w:rFonts w:ascii="Arial" w:hAnsi="Arial" w:eastAsia="Arial" w:cs="Arial"/>
          <w:sz w:val="36"/>
          <w:szCs w:val="36"/>
        </w:rPr>
        <w:t xml:space="preserve">BMHP </w:t>
      </w:r>
      <w:r w:rsidRPr="75036CBD" w:rsidR="5279090F">
        <w:rPr>
          <w:rFonts w:ascii="Arial" w:hAnsi="Arial" w:eastAsia="Arial" w:cs="Arial"/>
          <w:sz w:val="36"/>
          <w:szCs w:val="36"/>
        </w:rPr>
        <w:t>6027</w:t>
      </w:r>
    </w:p>
    <w:p w:rsidR="3189CDC3" w:rsidP="75036CBD" w:rsidRDefault="3189CDC3" w14:paraId="4BBBA16A" w14:textId="09A9C5A0">
      <w:pPr>
        <w:pStyle w:val="Normal"/>
        <w:rPr>
          <w:rFonts w:ascii="Arial" w:hAnsi="Arial" w:eastAsia="Arial" w:cs="Arial"/>
          <w:sz w:val="36"/>
          <w:szCs w:val="36"/>
        </w:rPr>
      </w:pPr>
      <w:r w:rsidRPr="75036CBD" w:rsidR="4D585892">
        <w:rPr>
          <w:rFonts w:ascii="Arial" w:hAnsi="Arial" w:eastAsia="Arial" w:cs="Arial"/>
          <w:b w:val="1"/>
          <w:bCs w:val="1"/>
          <w:sz w:val="36"/>
          <w:szCs w:val="36"/>
        </w:rPr>
        <w:t>LECTURER NAME</w:t>
      </w:r>
      <w:r w:rsidRPr="75036CBD" w:rsidR="4D585892">
        <w:rPr>
          <w:rFonts w:ascii="Arial" w:hAnsi="Arial" w:eastAsia="Arial" w:cs="Arial"/>
          <w:sz w:val="36"/>
          <w:szCs w:val="36"/>
        </w:rPr>
        <w:t xml:space="preserve">: RIZWAN </w:t>
      </w:r>
      <w:r w:rsidRPr="75036CBD" w:rsidR="40AADE35">
        <w:rPr>
          <w:rFonts w:ascii="Arial" w:hAnsi="Arial" w:eastAsia="Arial" w:cs="Arial"/>
          <w:sz w:val="36"/>
          <w:szCs w:val="36"/>
        </w:rPr>
        <w:t>NADIM</w:t>
      </w:r>
    </w:p>
    <w:p w:rsidR="3189CDC3" w:rsidP="75036CBD" w:rsidRDefault="3189CDC3" w14:paraId="1CF693F3" w14:textId="0617F08F">
      <w:pPr>
        <w:pStyle w:val="Normal"/>
        <w:rPr>
          <w:rFonts w:ascii="Arial" w:hAnsi="Arial" w:eastAsia="Arial" w:cs="Arial"/>
          <w:sz w:val="36"/>
          <w:szCs w:val="36"/>
        </w:rPr>
      </w:pPr>
      <w:r w:rsidRPr="75036CBD" w:rsidR="42367536">
        <w:rPr>
          <w:rFonts w:ascii="Arial" w:hAnsi="Arial" w:eastAsia="Arial" w:cs="Arial"/>
          <w:b w:val="1"/>
          <w:bCs w:val="1"/>
          <w:sz w:val="36"/>
          <w:szCs w:val="36"/>
        </w:rPr>
        <w:t>TOPIC:</w:t>
      </w:r>
    </w:p>
    <w:p w:rsidR="3189CDC3" w:rsidP="3189CDC3" w:rsidRDefault="3189CDC3" w14:paraId="05BB4880" w14:textId="47B0428E">
      <w:pPr>
        <w:pStyle w:val="Normal"/>
      </w:pPr>
    </w:p>
    <w:p w:rsidR="3189CDC3" w:rsidP="75036CBD" w:rsidRDefault="3189CDC3" w14:paraId="54551DC5" w14:textId="468A6693">
      <w:pPr>
        <w:pStyle w:val="Normal"/>
        <w:rPr>
          <w:rFonts w:ascii="Arial" w:hAnsi="Arial" w:eastAsia="Arial" w:cs="Arial"/>
          <w:b w:val="1"/>
          <w:bCs w:val="1"/>
          <w:sz w:val="36"/>
          <w:szCs w:val="36"/>
        </w:rPr>
      </w:pPr>
      <w:r w:rsidRPr="75036CBD" w:rsidR="42367536">
        <w:rPr>
          <w:rFonts w:ascii="Arial" w:hAnsi="Arial" w:eastAsia="Arial" w:cs="Arial"/>
          <w:b w:val="1"/>
          <w:bCs w:val="1"/>
          <w:sz w:val="36"/>
          <w:szCs w:val="36"/>
        </w:rPr>
        <w:t>POSITIVE MOTION</w:t>
      </w:r>
      <w:r w:rsidRPr="75036CBD" w:rsidR="6DB88D9F">
        <w:rPr>
          <w:rFonts w:ascii="Arial" w:hAnsi="Arial" w:eastAsia="Arial" w:cs="Arial"/>
          <w:b w:val="1"/>
          <w:bCs w:val="1"/>
          <w:sz w:val="36"/>
          <w:szCs w:val="36"/>
        </w:rPr>
        <w:t>: ARE DEMENTIA PATIENTS BETTER SUPPORTED BY FAMILY OR PROFESSIO</w:t>
      </w:r>
      <w:r w:rsidRPr="75036CBD" w:rsidR="7347E256">
        <w:rPr>
          <w:rFonts w:ascii="Arial" w:hAnsi="Arial" w:eastAsia="Arial" w:cs="Arial"/>
          <w:b w:val="1"/>
          <w:bCs w:val="1"/>
          <w:sz w:val="36"/>
          <w:szCs w:val="36"/>
        </w:rPr>
        <w:t>NAL CARE GIVERS</w:t>
      </w:r>
    </w:p>
    <w:p w:rsidR="3189CDC3" w:rsidP="3189CDC3" w:rsidRDefault="3189CDC3" w14:paraId="6C8364FA" w14:textId="4DEF6660">
      <w:pPr>
        <w:pStyle w:val="Normal"/>
      </w:pPr>
    </w:p>
    <w:p w:rsidR="3189CDC3" w:rsidP="3189CDC3" w:rsidRDefault="3189CDC3" w14:paraId="66C2FEB0" w14:textId="77543766">
      <w:pPr>
        <w:pStyle w:val="Normal"/>
      </w:pPr>
    </w:p>
    <w:p w:rsidR="3189CDC3" w:rsidP="3189CDC3" w:rsidRDefault="3189CDC3" w14:paraId="58B96BDB" w14:textId="1B0A8978">
      <w:pPr>
        <w:pStyle w:val="Normal"/>
      </w:pPr>
    </w:p>
    <w:p w:rsidR="3189CDC3" w:rsidP="3189CDC3" w:rsidRDefault="3189CDC3" w14:paraId="5640487A" w14:textId="77E63C09">
      <w:pPr>
        <w:pStyle w:val="Normal"/>
      </w:pPr>
    </w:p>
    <w:p w:rsidR="3189CDC3" w:rsidP="3189CDC3" w:rsidRDefault="3189CDC3" w14:paraId="53142B37" w14:textId="779EA757">
      <w:pPr>
        <w:pStyle w:val="Normal"/>
      </w:pPr>
    </w:p>
    <w:p w:rsidR="3189CDC3" w:rsidP="3189CDC3" w:rsidRDefault="3189CDC3" w14:paraId="68E8E7F7" w14:textId="450175B1">
      <w:pPr>
        <w:pStyle w:val="Normal"/>
      </w:pPr>
    </w:p>
    <w:p w:rsidR="3189CDC3" w:rsidP="3189CDC3" w:rsidRDefault="3189CDC3" w14:paraId="493163CC" w14:textId="3C11FC8D">
      <w:pPr>
        <w:pStyle w:val="Normal"/>
      </w:pPr>
    </w:p>
    <w:p w:rsidR="3189CDC3" w:rsidP="3189CDC3" w:rsidRDefault="3189CDC3" w14:paraId="06F7F4E2" w14:textId="7E4AD1B1">
      <w:pPr>
        <w:pStyle w:val="Normal"/>
      </w:pPr>
    </w:p>
    <w:p w:rsidR="3189CDC3" w:rsidP="3189CDC3" w:rsidRDefault="3189CDC3" w14:paraId="1A9ADFDF" w14:textId="37BBDD9C">
      <w:pPr>
        <w:pStyle w:val="Normal"/>
      </w:pPr>
    </w:p>
    <w:p w:rsidR="3189CDC3" w:rsidP="3189CDC3" w:rsidRDefault="3189CDC3" w14:paraId="142C7657" w14:textId="3A1C4E93">
      <w:pPr>
        <w:pStyle w:val="Normal"/>
      </w:pPr>
    </w:p>
    <w:p w:rsidR="3189CDC3" w:rsidP="3189CDC3" w:rsidRDefault="3189CDC3" w14:paraId="15C1A835" w14:textId="228971F5">
      <w:pPr>
        <w:pStyle w:val="Normal"/>
      </w:pPr>
    </w:p>
    <w:p w:rsidR="3189CDC3" w:rsidP="3189CDC3" w:rsidRDefault="3189CDC3" w14:paraId="495F7048" w14:textId="5DD8181B">
      <w:pPr>
        <w:pStyle w:val="Normal"/>
      </w:pPr>
    </w:p>
    <w:p w:rsidR="3189CDC3" w:rsidP="3189CDC3" w:rsidRDefault="3189CDC3" w14:paraId="539C22CA" w14:textId="6A0B90A6">
      <w:pPr>
        <w:pStyle w:val="Normal"/>
      </w:pPr>
    </w:p>
    <w:p w:rsidR="3189CDC3" w:rsidP="3189CDC3" w:rsidRDefault="3189CDC3" w14:paraId="5D2C8F23" w14:textId="11DF5E6D">
      <w:pPr>
        <w:pStyle w:val="Normal"/>
      </w:pPr>
    </w:p>
    <w:p w:rsidR="3189CDC3" w:rsidP="3189CDC3" w:rsidRDefault="3189CDC3" w14:paraId="62B847BC" w14:textId="69A4E975">
      <w:pPr>
        <w:pStyle w:val="Normal"/>
      </w:pPr>
    </w:p>
    <w:p w:rsidR="3189CDC3" w:rsidP="3189CDC3" w:rsidRDefault="3189CDC3" w14:paraId="71B47DC8" w14:textId="42B67AA9">
      <w:pPr>
        <w:pStyle w:val="Normal"/>
      </w:pPr>
    </w:p>
    <w:p w:rsidR="3189CDC3" w:rsidP="3189CDC3" w:rsidRDefault="3189CDC3" w14:paraId="736CF59E" w14:textId="3088A5A7">
      <w:pPr>
        <w:pStyle w:val="Normal"/>
      </w:pPr>
    </w:p>
    <w:p w:rsidR="3189CDC3" w:rsidP="3189CDC3" w:rsidRDefault="3189CDC3" w14:paraId="74475DF5" w14:textId="6E4D1496">
      <w:pPr>
        <w:pStyle w:val="Normal"/>
      </w:pPr>
    </w:p>
    <w:p w:rsidR="3189CDC3" w:rsidP="3189CDC3" w:rsidRDefault="3189CDC3" w14:paraId="6A9A016A" w14:textId="0A056373">
      <w:pPr>
        <w:pStyle w:val="Normal"/>
      </w:pPr>
    </w:p>
    <w:p w:rsidR="3189CDC3" w:rsidP="3189CDC3" w:rsidRDefault="3189CDC3" w14:paraId="1D35AD91" w14:textId="4DCEF8E3">
      <w:pPr>
        <w:pStyle w:val="Normal"/>
      </w:pPr>
    </w:p>
    <w:p w:rsidR="3189CDC3" w:rsidP="3189CDC3" w:rsidRDefault="3189CDC3" w14:paraId="1AE3B2E8" w14:textId="45D98670">
      <w:pPr>
        <w:pStyle w:val="Normal"/>
      </w:pPr>
    </w:p>
    <w:p w:rsidR="3189CDC3" w:rsidP="3189CDC3" w:rsidRDefault="3189CDC3" w14:paraId="60295E5C" w14:textId="49E69235">
      <w:pPr>
        <w:pStyle w:val="Normal"/>
      </w:pPr>
    </w:p>
    <w:p w:rsidR="3189CDC3" w:rsidP="3189CDC3" w:rsidRDefault="3189CDC3" w14:paraId="31FF3CD3" w14:textId="33AD2BF5">
      <w:pPr>
        <w:pStyle w:val="Normal"/>
      </w:pPr>
    </w:p>
    <w:p w:rsidR="3189CDC3" w:rsidP="75036CBD" w:rsidRDefault="3189CDC3" w14:paraId="6BE27251" w14:textId="30A97C6C">
      <w:pPr>
        <w:pStyle w:val="Normal"/>
        <w:rPr>
          <w:b w:val="1"/>
          <w:bCs w:val="1"/>
          <w:u w:val="single"/>
        </w:rPr>
      </w:pPr>
      <w:r w:rsidRPr="75036CBD" w:rsidR="44A685A1">
        <w:rPr>
          <w:b w:val="1"/>
          <w:bCs w:val="1"/>
          <w:u w:val="single"/>
        </w:rPr>
        <w:t>References</w:t>
      </w:r>
    </w:p>
    <w:p w:rsidR="3189CDC3" w:rsidP="75036CBD" w:rsidRDefault="3189CDC3" w14:paraId="4D8CA5FA" w14:textId="0CE1FAC1">
      <w:pPr>
        <w:pStyle w:val="Normal"/>
        <w:rPr>
          <w:rFonts w:ascii="Arial" w:hAnsi="Arial" w:eastAsia="Arial" w:cs="Arial"/>
          <w:b w:val="0"/>
          <w:bCs w:val="0"/>
          <w:i w:val="0"/>
          <w:iCs w:val="0"/>
          <w:caps w:val="0"/>
          <w:smallCaps w:val="0"/>
          <w:noProof w:val="0"/>
          <w:color w:val="222222"/>
          <w:sz w:val="22"/>
          <w:szCs w:val="22"/>
          <w:lang w:val="en-GB"/>
        </w:rPr>
      </w:pPr>
      <w:r w:rsidRPr="75036CBD" w:rsidR="16B29539">
        <w:rPr>
          <w:rFonts w:ascii="Arial" w:hAnsi="Arial" w:eastAsia="Arial" w:cs="Arial"/>
          <w:b w:val="0"/>
          <w:bCs w:val="0"/>
          <w:i w:val="0"/>
          <w:iCs w:val="0"/>
          <w:caps w:val="0"/>
          <w:smallCaps w:val="0"/>
          <w:noProof w:val="0"/>
          <w:color w:val="222222"/>
          <w:sz w:val="22"/>
          <w:szCs w:val="22"/>
          <w:lang w:val="en-GB"/>
        </w:rPr>
        <w:t xml:space="preserve">Alzheimer’s Society (2024). What are the costs of dementia diagnosis and care in the UK? [Online]. Available at: </w:t>
      </w:r>
      <w:hyperlink r:id="R3be8d9b5e0ae421f">
        <w:r w:rsidRPr="75036CBD" w:rsidR="16B29539">
          <w:rPr>
            <w:rStyle w:val="Hyperlink"/>
            <w:rFonts w:ascii="Arial" w:hAnsi="Arial" w:eastAsia="Arial" w:cs="Arial"/>
            <w:b w:val="0"/>
            <w:bCs w:val="0"/>
            <w:i w:val="0"/>
            <w:iCs w:val="0"/>
            <w:caps w:val="0"/>
            <w:smallCaps w:val="0"/>
            <w:noProof w:val="0"/>
            <w:color w:val="1155CC"/>
            <w:sz w:val="22"/>
            <w:szCs w:val="22"/>
            <w:lang w:val="en-GB"/>
          </w:rPr>
          <w:t>https://www.alzheimers.org.uk/about-us/policy-and-influencing/dementia-scale-impact-numbers</w:t>
        </w:r>
      </w:hyperlink>
      <w:r w:rsidRPr="75036CBD" w:rsidR="16B29539">
        <w:rPr>
          <w:rFonts w:ascii="Arial" w:hAnsi="Arial" w:eastAsia="Arial" w:cs="Arial"/>
          <w:b w:val="0"/>
          <w:bCs w:val="0"/>
          <w:i w:val="0"/>
          <w:iCs w:val="0"/>
          <w:caps w:val="0"/>
          <w:smallCaps w:val="0"/>
          <w:noProof w:val="0"/>
          <w:color w:val="222222"/>
          <w:sz w:val="22"/>
          <w:szCs w:val="22"/>
          <w:lang w:val="en-GB"/>
        </w:rPr>
        <w:t xml:space="preserve"> (Accessed: 11 March 2026).</w:t>
      </w:r>
    </w:p>
    <w:p w:rsidR="2DF0FFBC" w:rsidP="75036CBD" w:rsidRDefault="2DF0FFBC" w14:paraId="485057BF" w14:textId="157A9EDE">
      <w:pPr>
        <w:pStyle w:val="Normal"/>
        <w:rPr>
          <w:rFonts w:ascii="Arial" w:hAnsi="Arial" w:eastAsia="Arial" w:cs="Arial"/>
          <w:noProof w:val="0"/>
          <w:sz w:val="22"/>
          <w:szCs w:val="22"/>
          <w:lang w:val="en-GB"/>
        </w:rPr>
      </w:pPr>
      <w:r w:rsidRPr="75036CBD" w:rsidR="2DF0FFBC">
        <w:rPr>
          <w:rFonts w:ascii="Arial" w:hAnsi="Arial" w:eastAsia="Arial" w:cs="Arial"/>
          <w:b w:val="0"/>
          <w:bCs w:val="0"/>
          <w:i w:val="0"/>
          <w:iCs w:val="0"/>
          <w:caps w:val="0"/>
          <w:smallCaps w:val="0"/>
          <w:noProof w:val="0"/>
          <w:color w:val="222222"/>
          <w:sz w:val="22"/>
          <w:szCs w:val="22"/>
          <w:lang w:val="en-GB"/>
        </w:rPr>
        <w:t>Boucaud-Maitre, D., et al. (2025). Comparison of mortality and quality of life in professional vs family settings. Age and Ageing, 54(10), pp. 304–312.</w:t>
      </w:r>
    </w:p>
    <w:p w:rsidR="2FEAA73D" w:rsidP="75036CBD" w:rsidRDefault="2FEAA73D" w14:paraId="1F747615" w14:textId="0D5B3C6E">
      <w:pPr>
        <w:pStyle w:val="Normal"/>
        <w:rPr>
          <w:rFonts w:ascii="Arial" w:hAnsi="Arial" w:eastAsia="Arial" w:cs="Arial"/>
          <w:noProof w:val="0"/>
          <w:sz w:val="22"/>
          <w:szCs w:val="22"/>
          <w:lang w:val="en-GB"/>
        </w:rPr>
      </w:pPr>
      <w:r w:rsidRPr="75036CBD" w:rsidR="6066E4CA">
        <w:rPr>
          <w:rFonts w:ascii="Arial" w:hAnsi="Arial" w:eastAsia="Arial" w:cs="Arial"/>
          <w:b w:val="0"/>
          <w:bCs w:val="0"/>
          <w:i w:val="0"/>
          <w:iCs w:val="0"/>
          <w:caps w:val="0"/>
          <w:smallCaps w:val="0"/>
          <w:noProof w:val="0"/>
          <w:color w:val="222222"/>
          <w:sz w:val="22"/>
          <w:szCs w:val="22"/>
          <w:lang w:val="en-GB"/>
        </w:rPr>
        <w:t xml:space="preserve">Care Act 2014, c. 23. Available at: </w:t>
      </w:r>
      <w:hyperlink r:id="Rf8b40fec1e3446db">
        <w:r w:rsidRPr="75036CBD" w:rsidR="6066E4CA">
          <w:rPr>
            <w:rStyle w:val="Hyperlink"/>
            <w:rFonts w:ascii="Arial" w:hAnsi="Arial" w:eastAsia="Arial" w:cs="Arial"/>
            <w:b w:val="0"/>
            <w:bCs w:val="0"/>
            <w:i w:val="0"/>
            <w:iCs w:val="0"/>
            <w:caps w:val="0"/>
            <w:smallCaps w:val="0"/>
            <w:noProof w:val="0"/>
            <w:color w:val="1155CC"/>
            <w:sz w:val="22"/>
            <w:szCs w:val="22"/>
            <w:lang w:val="en-GB"/>
          </w:rPr>
          <w:t>https://www.legislation.gov.uk/ukpga/2014/23/contents/enacted</w:t>
        </w:r>
      </w:hyperlink>
      <w:r w:rsidRPr="75036CBD" w:rsidR="6066E4CA">
        <w:rPr>
          <w:rFonts w:ascii="Arial" w:hAnsi="Arial" w:eastAsia="Arial" w:cs="Arial"/>
          <w:b w:val="0"/>
          <w:bCs w:val="0"/>
          <w:i w:val="0"/>
          <w:iCs w:val="0"/>
          <w:caps w:val="0"/>
          <w:smallCaps w:val="0"/>
          <w:noProof w:val="0"/>
          <w:color w:val="222222"/>
          <w:sz w:val="22"/>
          <w:szCs w:val="22"/>
          <w:lang w:val="en-GB"/>
        </w:rPr>
        <w:t xml:space="preserve"> (This is the law that says care must promote "well-being").</w:t>
      </w:r>
    </w:p>
    <w:p w:rsidR="3189CDC3" w:rsidP="75036CBD" w:rsidRDefault="3189CDC3" w14:paraId="4AB753F6" w14:textId="790A5A3E">
      <w:pPr>
        <w:pStyle w:val="Normal"/>
        <w:rPr>
          <w:rFonts w:ascii="Arial" w:hAnsi="Arial" w:eastAsia="Arial" w:cs="Arial"/>
          <w:b w:val="0"/>
          <w:bCs w:val="0"/>
          <w:i w:val="0"/>
          <w:iCs w:val="0"/>
          <w:caps w:val="0"/>
          <w:smallCaps w:val="0"/>
          <w:noProof w:val="0"/>
          <w:color w:val="222222"/>
          <w:sz w:val="22"/>
          <w:szCs w:val="22"/>
          <w:lang w:val="en-GB"/>
        </w:rPr>
      </w:pPr>
      <w:r w:rsidRPr="75036CBD" w:rsidR="42F6E35B">
        <w:rPr>
          <w:rFonts w:ascii="Arial" w:hAnsi="Arial" w:eastAsia="Arial" w:cs="Arial"/>
          <w:b w:val="0"/>
          <w:bCs w:val="0"/>
          <w:i w:val="0"/>
          <w:iCs w:val="0"/>
          <w:caps w:val="0"/>
          <w:smallCaps w:val="0"/>
          <w:noProof w:val="0"/>
          <w:color w:val="222222"/>
          <w:sz w:val="22"/>
          <w:szCs w:val="22"/>
          <w:lang w:val="en-GB"/>
        </w:rPr>
        <w:t xml:space="preserve">Care Quality Commission (2024). Regulations for service providers: The Fundamental Standards. [Online]. Available at: </w:t>
      </w:r>
      <w:hyperlink r:id="Rf9ef19bd800845e2">
        <w:r w:rsidRPr="75036CBD" w:rsidR="42F6E35B">
          <w:rPr>
            <w:rStyle w:val="Hyperlink"/>
            <w:rFonts w:ascii="Arial" w:hAnsi="Arial" w:eastAsia="Arial" w:cs="Arial"/>
            <w:b w:val="0"/>
            <w:bCs w:val="0"/>
            <w:i w:val="0"/>
            <w:iCs w:val="0"/>
            <w:caps w:val="0"/>
            <w:smallCaps w:val="0"/>
            <w:noProof w:val="0"/>
            <w:color w:val="1155CC"/>
            <w:sz w:val="22"/>
            <w:szCs w:val="22"/>
            <w:lang w:val="en-GB"/>
          </w:rPr>
          <w:t>https://www.cqc.org.uk</w:t>
        </w:r>
      </w:hyperlink>
      <w:r w:rsidRPr="75036CBD" w:rsidR="42F6E35B">
        <w:rPr>
          <w:rFonts w:ascii="Arial" w:hAnsi="Arial" w:eastAsia="Arial" w:cs="Arial"/>
          <w:b w:val="0"/>
          <w:bCs w:val="0"/>
          <w:i w:val="0"/>
          <w:iCs w:val="0"/>
          <w:caps w:val="0"/>
          <w:smallCaps w:val="0"/>
          <w:noProof w:val="0"/>
          <w:color w:val="222222"/>
          <w:sz w:val="22"/>
          <w:szCs w:val="22"/>
          <w:lang w:val="en-GB"/>
        </w:rPr>
        <w:t xml:space="preserve"> (Accessed: 11 March 2026).</w:t>
      </w:r>
    </w:p>
    <w:p w:rsidR="2FEAA73D" w:rsidP="75036CBD" w:rsidRDefault="2FEAA73D" w14:paraId="192D8DB0" w14:textId="762F8B4A">
      <w:pPr>
        <w:pStyle w:val="Normal"/>
        <w:rPr>
          <w:rFonts w:ascii="Arial" w:hAnsi="Arial" w:eastAsia="Arial" w:cs="Arial"/>
          <w:noProof w:val="0"/>
          <w:sz w:val="22"/>
          <w:szCs w:val="22"/>
          <w:lang w:val="en-GB"/>
        </w:rPr>
      </w:pPr>
      <w:r w:rsidRPr="75036CBD" w:rsidR="471B4F31">
        <w:rPr>
          <w:rFonts w:ascii="Arial" w:hAnsi="Arial" w:eastAsia="Arial" w:cs="Arial"/>
          <w:b w:val="0"/>
          <w:bCs w:val="0"/>
          <w:i w:val="0"/>
          <w:iCs w:val="0"/>
          <w:caps w:val="0"/>
          <w:smallCaps w:val="0"/>
          <w:noProof w:val="0"/>
          <w:color w:val="222222"/>
          <w:sz w:val="22"/>
          <w:szCs w:val="22"/>
          <w:lang w:val="en-GB"/>
        </w:rPr>
        <w:t>Chen, Y.-H., et al. (2025). Understanding the burden in residential care. Journal of Nursing Research, 33(4), pp. 115–124.</w:t>
      </w:r>
    </w:p>
    <w:p w:rsidR="2FEAA73D" w:rsidP="75036CBD" w:rsidRDefault="2FEAA73D" w14:paraId="44EC7D9A" w14:textId="2844DE57">
      <w:pPr>
        <w:pStyle w:val="Normal"/>
        <w:rPr>
          <w:rFonts w:ascii="Arial" w:hAnsi="Arial" w:eastAsia="Arial" w:cs="Arial"/>
          <w:noProof w:val="0"/>
          <w:sz w:val="22"/>
          <w:szCs w:val="22"/>
          <w:lang w:val="en-GB"/>
        </w:rPr>
      </w:pPr>
      <w:r w:rsidRPr="75036CBD" w:rsidR="5BA52382">
        <w:rPr>
          <w:rFonts w:ascii="Arial" w:hAnsi="Arial" w:eastAsia="Arial" w:cs="Arial"/>
          <w:b w:val="0"/>
          <w:bCs w:val="0"/>
          <w:i w:val="0"/>
          <w:iCs w:val="0"/>
          <w:caps w:val="0"/>
          <w:smallCaps w:val="0"/>
          <w:noProof w:val="0"/>
          <w:color w:val="222222"/>
          <w:sz w:val="22"/>
          <w:szCs w:val="22"/>
          <w:lang w:val="en-GB"/>
        </w:rPr>
        <w:t>Cook, G., et al. (2021). Supporting carers of older people with dementia. Work, 39(1), pp. 71–82.</w:t>
      </w:r>
    </w:p>
    <w:p w:rsidR="2FEAA73D" w:rsidP="75036CBD" w:rsidRDefault="2FEAA73D" w14:paraId="00B11C0C" w14:textId="143D844E">
      <w:pPr>
        <w:pStyle w:val="Normal"/>
        <w:rPr>
          <w:rFonts w:ascii="Arial" w:hAnsi="Arial" w:eastAsia="Arial" w:cs="Arial"/>
          <w:noProof w:val="0"/>
          <w:sz w:val="22"/>
          <w:szCs w:val="22"/>
          <w:lang w:val="en-GB"/>
        </w:rPr>
      </w:pPr>
      <w:r w:rsidRPr="75036CBD" w:rsidR="4FAB82F3">
        <w:rPr>
          <w:rFonts w:ascii="Arial" w:hAnsi="Arial" w:eastAsia="Arial" w:cs="Arial"/>
          <w:b w:val="0"/>
          <w:bCs w:val="0"/>
          <w:i w:val="0"/>
          <w:iCs w:val="0"/>
          <w:caps w:val="0"/>
          <w:smallCaps w:val="0"/>
          <w:noProof w:val="0"/>
          <w:color w:val="222222"/>
          <w:sz w:val="22"/>
          <w:szCs w:val="22"/>
          <w:lang w:val="en-GB"/>
        </w:rPr>
        <w:t xml:space="preserve">Department of Health and Social Care (2023). Major conditions strategy: case for change and our strategic framework. [Online]. Available at: </w:t>
      </w:r>
      <w:hyperlink r:id="R500c287e13c44079">
        <w:r w:rsidRPr="75036CBD" w:rsidR="4FAB82F3">
          <w:rPr>
            <w:rStyle w:val="Hyperlink"/>
            <w:rFonts w:ascii="Arial" w:hAnsi="Arial" w:eastAsia="Arial" w:cs="Arial"/>
            <w:b w:val="0"/>
            <w:bCs w:val="0"/>
            <w:i w:val="0"/>
            <w:iCs w:val="0"/>
            <w:caps w:val="0"/>
            <w:smallCaps w:val="0"/>
            <w:noProof w:val="0"/>
            <w:color w:val="1155CC"/>
            <w:sz w:val="22"/>
            <w:szCs w:val="22"/>
            <w:lang w:val="en-GB"/>
          </w:rPr>
          <w:t>https://www.gov.uk/government/publications/major-conditions-strategy-case-for-change-and-our-strategic-framework</w:t>
        </w:r>
      </w:hyperlink>
      <w:r w:rsidRPr="75036CBD" w:rsidR="4FAB82F3">
        <w:rPr>
          <w:rFonts w:ascii="Arial" w:hAnsi="Arial" w:eastAsia="Arial" w:cs="Arial"/>
          <w:b w:val="0"/>
          <w:bCs w:val="0"/>
          <w:i w:val="0"/>
          <w:iCs w:val="0"/>
          <w:caps w:val="0"/>
          <w:smallCaps w:val="0"/>
          <w:noProof w:val="0"/>
          <w:color w:val="222222"/>
          <w:sz w:val="22"/>
          <w:szCs w:val="22"/>
          <w:lang w:val="en-GB"/>
        </w:rPr>
        <w:t xml:space="preserve"> (Accessed: 12 March 2026).</w:t>
      </w:r>
      <w:r w:rsidRPr="75036CBD" w:rsidR="3F0CBF0F">
        <w:rPr>
          <w:rFonts w:ascii="Arial" w:hAnsi="Arial" w:eastAsia="Arial" w:cs="Arial"/>
          <w:b w:val="0"/>
          <w:bCs w:val="0"/>
          <w:i w:val="0"/>
          <w:iCs w:val="0"/>
          <w:caps w:val="0"/>
          <w:smallCaps w:val="0"/>
          <w:noProof w:val="0"/>
          <w:color w:val="222222"/>
          <w:sz w:val="22"/>
          <w:szCs w:val="22"/>
          <w:lang w:val="en-GB"/>
        </w:rPr>
        <w:t xml:space="preserve"> </w:t>
      </w:r>
    </w:p>
    <w:p w:rsidR="3F0CBF0F" w:rsidP="75036CBD" w:rsidRDefault="3F0CBF0F" w14:paraId="5C567949" w14:textId="30DC073A">
      <w:pPr>
        <w:pStyle w:val="Normal"/>
        <w:rPr>
          <w:rFonts w:ascii="Arial" w:hAnsi="Arial" w:eastAsia="Arial" w:cs="Arial"/>
          <w:b w:val="0"/>
          <w:bCs w:val="0"/>
          <w:i w:val="0"/>
          <w:iCs w:val="0"/>
          <w:caps w:val="0"/>
          <w:smallCaps w:val="0"/>
          <w:noProof w:val="0"/>
          <w:color w:val="222222"/>
          <w:sz w:val="22"/>
          <w:szCs w:val="22"/>
          <w:lang w:val="en-GB"/>
        </w:rPr>
      </w:pPr>
      <w:r w:rsidRPr="75036CBD" w:rsidR="3F0CBF0F">
        <w:rPr>
          <w:rFonts w:ascii="Arial" w:hAnsi="Arial" w:eastAsia="Arial" w:cs="Arial"/>
          <w:b w:val="0"/>
          <w:bCs w:val="0"/>
          <w:i w:val="0"/>
          <w:iCs w:val="0"/>
          <w:caps w:val="0"/>
          <w:smallCaps w:val="0"/>
          <w:noProof w:val="0"/>
          <w:color w:val="222222"/>
          <w:sz w:val="22"/>
          <w:szCs w:val="22"/>
          <w:lang w:val="en-GB"/>
        </w:rPr>
        <w:t xml:space="preserve">Gandhi, </w:t>
      </w:r>
      <w:r w:rsidRPr="75036CBD" w:rsidR="3F0CBF0F">
        <w:rPr>
          <w:rFonts w:ascii="Arial" w:hAnsi="Arial" w:eastAsia="Arial" w:cs="Arial"/>
          <w:b w:val="0"/>
          <w:bCs w:val="0"/>
          <w:i w:val="0"/>
          <w:iCs w:val="0"/>
          <w:caps w:val="0"/>
          <w:smallCaps w:val="0"/>
          <w:noProof w:val="0"/>
          <w:color w:val="222222"/>
          <w:sz w:val="22"/>
          <w:szCs w:val="22"/>
          <w:lang w:val="en-GB"/>
        </w:rPr>
        <w:t>A.</w:t>
      </w:r>
      <w:r w:rsidRPr="75036CBD" w:rsidR="3F0CBF0F">
        <w:rPr>
          <w:rFonts w:ascii="Arial" w:hAnsi="Arial" w:eastAsia="Arial" w:cs="Arial"/>
          <w:b w:val="0"/>
          <w:bCs w:val="0"/>
          <w:i w:val="0"/>
          <w:iCs w:val="0"/>
          <w:caps w:val="0"/>
          <w:smallCaps w:val="0"/>
          <w:noProof w:val="0"/>
          <w:color w:val="222222"/>
          <w:sz w:val="22"/>
          <w:szCs w:val="22"/>
          <w:lang w:val="en-GB"/>
        </w:rPr>
        <w:t xml:space="preserve"> and Grabowski, D. (2021). Turnover rates and implications for quality of care. National Academies Press, 18(2), pp. 45–59.</w:t>
      </w:r>
    </w:p>
    <w:p w:rsidR="7FA83FD0" w:rsidP="75036CBD" w:rsidRDefault="7FA83FD0" w14:paraId="50386649" w14:textId="757CDF8C">
      <w:pPr>
        <w:pStyle w:val="Normal"/>
        <w:rPr>
          <w:rFonts w:ascii="Arial" w:hAnsi="Arial" w:eastAsia="Arial" w:cs="Arial"/>
          <w:b w:val="0"/>
          <w:bCs w:val="0"/>
          <w:i w:val="0"/>
          <w:iCs w:val="0"/>
          <w:caps w:val="0"/>
          <w:smallCaps w:val="0"/>
          <w:noProof w:val="0"/>
          <w:color w:val="222222"/>
          <w:sz w:val="22"/>
          <w:szCs w:val="22"/>
          <w:lang w:val="en-GB"/>
        </w:rPr>
      </w:pPr>
      <w:r w:rsidRPr="75036CBD" w:rsidR="7FA83FD0">
        <w:rPr>
          <w:rFonts w:ascii="Arial" w:hAnsi="Arial" w:eastAsia="Arial" w:cs="Arial"/>
          <w:b w:val="0"/>
          <w:bCs w:val="0"/>
          <w:i w:val="0"/>
          <w:iCs w:val="0"/>
          <w:caps w:val="0"/>
          <w:smallCaps w:val="0"/>
          <w:noProof w:val="0"/>
          <w:color w:val="222222"/>
          <w:sz w:val="22"/>
          <w:szCs w:val="22"/>
          <w:lang w:val="en-GB"/>
        </w:rPr>
        <w:t>Haugen, I., et al. (2019). Quality of life in familiar environments. Journal of Advanced Nursing, 75(6), pp. 1210–1222.</w:t>
      </w:r>
    </w:p>
    <w:p w:rsidR="7FA83FD0" w:rsidP="75036CBD" w:rsidRDefault="7FA83FD0" w14:paraId="3E932793" w14:textId="1EE18D8C">
      <w:pPr>
        <w:pStyle w:val="Normal"/>
        <w:rPr>
          <w:rFonts w:ascii="Arial" w:hAnsi="Arial" w:eastAsia="Arial" w:cs="Arial"/>
          <w:b w:val="0"/>
          <w:bCs w:val="0"/>
          <w:i w:val="0"/>
          <w:iCs w:val="0"/>
          <w:caps w:val="0"/>
          <w:smallCaps w:val="0"/>
          <w:noProof w:val="0"/>
          <w:color w:val="222222"/>
          <w:sz w:val="22"/>
          <w:szCs w:val="22"/>
          <w:lang w:val="en-GB"/>
        </w:rPr>
      </w:pPr>
      <w:r w:rsidRPr="75036CBD" w:rsidR="7FA83FD0">
        <w:rPr>
          <w:rFonts w:ascii="Arial" w:hAnsi="Arial" w:eastAsia="Arial" w:cs="Arial"/>
          <w:b w:val="0"/>
          <w:bCs w:val="0"/>
          <w:i w:val="0"/>
          <w:iCs w:val="0"/>
          <w:caps w:val="0"/>
          <w:smallCaps w:val="0"/>
          <w:noProof w:val="0"/>
          <w:color w:val="222222"/>
          <w:sz w:val="22"/>
          <w:szCs w:val="22"/>
          <w:lang w:val="en-GB"/>
        </w:rPr>
        <w:t>Hughes, J., et al. (2019). History vs Care in Dementia. Dementia Journal, 12(3), pp. 88–101.</w:t>
      </w:r>
    </w:p>
    <w:p w:rsidR="7FA83FD0" w:rsidP="75036CBD" w:rsidRDefault="7FA83FD0" w14:paraId="6BD501D1" w14:textId="79D3276A">
      <w:pPr>
        <w:pStyle w:val="Normal"/>
        <w:rPr>
          <w:rFonts w:ascii="Arial" w:hAnsi="Arial" w:eastAsia="Arial" w:cs="Arial"/>
          <w:noProof w:val="0"/>
          <w:sz w:val="22"/>
          <w:szCs w:val="22"/>
          <w:lang w:val="en-GB"/>
        </w:rPr>
      </w:pPr>
      <w:r w:rsidRPr="75036CBD" w:rsidR="7FA83FD0">
        <w:rPr>
          <w:rFonts w:ascii="Arial" w:hAnsi="Arial" w:eastAsia="Arial" w:cs="Arial"/>
          <w:b w:val="0"/>
          <w:bCs w:val="0"/>
          <w:i w:val="0"/>
          <w:iCs w:val="0"/>
          <w:caps w:val="0"/>
          <w:smallCaps w:val="0"/>
          <w:noProof w:val="0"/>
          <w:color w:val="222222"/>
          <w:sz w:val="22"/>
          <w:szCs w:val="22"/>
          <w:lang w:val="en-GB"/>
        </w:rPr>
        <w:t>Kim, H. D., et al. (2024). Home health care and place of death in beneficiaries with dementia. The Gerontologist, 64(11), pp. 131–145. Kim, H. D., et al. (2024). Home health care and place of death in beneficiaries with dementia. The Gerontologist, 64(11), pp. 131–145.</w:t>
      </w:r>
    </w:p>
    <w:p w:rsidR="0B313DF3" w:rsidP="75036CBD" w:rsidRDefault="0B313DF3" w14:paraId="652CE0BF" w14:textId="53FC636C">
      <w:pPr>
        <w:pStyle w:val="Normal"/>
        <w:rPr>
          <w:rFonts w:ascii="Arial" w:hAnsi="Arial" w:eastAsia="Arial" w:cs="Arial"/>
          <w:noProof w:val="0"/>
          <w:sz w:val="22"/>
          <w:szCs w:val="22"/>
          <w:lang w:val="en-GB"/>
        </w:rPr>
      </w:pPr>
      <w:r w:rsidRPr="75036CBD" w:rsidR="0B313DF3">
        <w:rPr>
          <w:rFonts w:ascii="Arial" w:hAnsi="Arial" w:eastAsia="Arial" w:cs="Arial"/>
          <w:b w:val="0"/>
          <w:bCs w:val="0"/>
          <w:i w:val="0"/>
          <w:iCs w:val="0"/>
          <w:caps w:val="0"/>
          <w:smallCaps w:val="0"/>
          <w:noProof w:val="0"/>
          <w:color w:val="222222"/>
          <w:sz w:val="22"/>
          <w:szCs w:val="22"/>
          <w:lang w:val="en-GB"/>
        </w:rPr>
        <w:t xml:space="preserve">Mental Capacity Act 2005, c. 9. Available at: </w:t>
      </w:r>
      <w:hyperlink r:id="R3a2cff8d58654aac">
        <w:r w:rsidRPr="75036CBD" w:rsidR="0B313DF3">
          <w:rPr>
            <w:rStyle w:val="Hyperlink"/>
            <w:rFonts w:ascii="Arial" w:hAnsi="Arial" w:eastAsia="Arial" w:cs="Arial"/>
            <w:b w:val="0"/>
            <w:bCs w:val="0"/>
            <w:i w:val="0"/>
            <w:iCs w:val="0"/>
            <w:caps w:val="0"/>
            <w:smallCaps w:val="0"/>
            <w:noProof w:val="0"/>
            <w:color w:val="1155CC"/>
            <w:sz w:val="22"/>
            <w:szCs w:val="22"/>
            <w:lang w:val="en-GB"/>
          </w:rPr>
          <w:t>https://www.legislation.gov.uk/ukpga/2005/9/contents</w:t>
        </w:r>
      </w:hyperlink>
      <w:r w:rsidRPr="75036CBD" w:rsidR="0B313DF3">
        <w:rPr>
          <w:rFonts w:ascii="Arial" w:hAnsi="Arial" w:eastAsia="Arial" w:cs="Arial"/>
          <w:b w:val="0"/>
          <w:bCs w:val="0"/>
          <w:i w:val="0"/>
          <w:iCs w:val="0"/>
          <w:caps w:val="0"/>
          <w:smallCaps w:val="0"/>
          <w:noProof w:val="0"/>
          <w:color w:val="222222"/>
          <w:sz w:val="22"/>
          <w:szCs w:val="22"/>
          <w:lang w:val="en-GB"/>
        </w:rPr>
        <w:t xml:space="preserve"> (This is the law about supporting people to make their own choices).</w:t>
      </w:r>
    </w:p>
    <w:p w:rsidR="7903F47A" w:rsidP="75036CBD" w:rsidRDefault="7903F47A" w14:paraId="794219EE" w14:textId="0A40FF98">
      <w:pPr>
        <w:pStyle w:val="Normal"/>
        <w:rPr>
          <w:rFonts w:ascii="Arial" w:hAnsi="Arial" w:eastAsia="Arial" w:cs="Arial"/>
          <w:noProof w:val="0"/>
          <w:sz w:val="22"/>
          <w:szCs w:val="22"/>
          <w:lang w:val="en-GB"/>
        </w:rPr>
      </w:pPr>
      <w:r w:rsidRPr="75036CBD" w:rsidR="7903F47A">
        <w:rPr>
          <w:rFonts w:ascii="Arial" w:hAnsi="Arial" w:eastAsia="Arial" w:cs="Arial"/>
          <w:b w:val="0"/>
          <w:bCs w:val="0"/>
          <w:i w:val="0"/>
          <w:iCs w:val="0"/>
          <w:caps w:val="0"/>
          <w:smallCaps w:val="0"/>
          <w:noProof w:val="0"/>
          <w:color w:val="222222"/>
          <w:sz w:val="22"/>
          <w:szCs w:val="22"/>
          <w:lang w:val="en-GB"/>
        </w:rPr>
        <w:t>Meng, X., et al. (2021). Non-pharmacological interventions for dementia. Ageing Research Reviews, 71, pp. 101–115.</w:t>
      </w:r>
    </w:p>
    <w:p w:rsidR="2FEAA73D" w:rsidP="75036CBD" w:rsidRDefault="2FEAA73D" w14:paraId="035E9848" w14:textId="197DA4CE">
      <w:pPr>
        <w:pStyle w:val="Normal"/>
        <w:rPr>
          <w:rFonts w:ascii="Arial" w:hAnsi="Arial" w:eastAsia="Arial" w:cs="Arial"/>
          <w:noProof w:val="0"/>
          <w:sz w:val="22"/>
          <w:szCs w:val="22"/>
          <w:lang w:val="en-GB"/>
        </w:rPr>
      </w:pPr>
      <w:r w:rsidRPr="75036CBD" w:rsidR="0AD9BEB7">
        <w:rPr>
          <w:rFonts w:ascii="Arial" w:hAnsi="Arial" w:eastAsia="Arial" w:cs="Arial"/>
          <w:b w:val="0"/>
          <w:bCs w:val="0"/>
          <w:i w:val="0"/>
          <w:iCs w:val="0"/>
          <w:caps w:val="0"/>
          <w:smallCaps w:val="0"/>
          <w:noProof w:val="0"/>
          <w:color w:val="222222"/>
          <w:sz w:val="22"/>
          <w:szCs w:val="22"/>
          <w:lang w:val="en-GB"/>
        </w:rPr>
        <w:t xml:space="preserve">NHS (2019) The NHS Long Term Plan. London: NHS England. Available at: </w:t>
      </w:r>
      <w:hyperlink r:id="R37ac2c6ab5964d54">
        <w:r w:rsidRPr="75036CBD" w:rsidR="0AD9BEB7">
          <w:rPr>
            <w:rStyle w:val="Hyperlink"/>
            <w:rFonts w:ascii="Arial" w:hAnsi="Arial" w:eastAsia="Arial" w:cs="Arial"/>
            <w:b w:val="0"/>
            <w:bCs w:val="0"/>
            <w:i w:val="0"/>
            <w:iCs w:val="0"/>
            <w:caps w:val="0"/>
            <w:smallCaps w:val="0"/>
            <w:noProof w:val="0"/>
            <w:color w:val="1155CC"/>
            <w:sz w:val="22"/>
            <w:szCs w:val="22"/>
            <w:lang w:val="en-GB"/>
          </w:rPr>
          <w:t>https://www.longtermplan.nhs.uk/</w:t>
        </w:r>
      </w:hyperlink>
      <w:r w:rsidRPr="75036CBD" w:rsidR="0AD9BEB7">
        <w:rPr>
          <w:rFonts w:ascii="Arial" w:hAnsi="Arial" w:eastAsia="Arial" w:cs="Arial"/>
          <w:b w:val="0"/>
          <w:bCs w:val="0"/>
          <w:i w:val="0"/>
          <w:iCs w:val="0"/>
          <w:caps w:val="0"/>
          <w:smallCaps w:val="0"/>
          <w:noProof w:val="0"/>
          <w:color w:val="222222"/>
          <w:sz w:val="22"/>
          <w:szCs w:val="22"/>
          <w:lang w:val="en-GB"/>
        </w:rPr>
        <w:t xml:space="preserve"> (This is the plan that says more people should be cared for at home).</w:t>
      </w:r>
    </w:p>
    <w:p w:rsidR="79710388" w:rsidP="75036CBD" w:rsidRDefault="79710388" w14:paraId="19B39D20" w14:textId="7608E601">
      <w:pPr>
        <w:pStyle w:val="Normal"/>
        <w:rPr>
          <w:rFonts w:ascii="Arial" w:hAnsi="Arial" w:eastAsia="Arial" w:cs="Arial"/>
          <w:sz w:val="22"/>
          <w:szCs w:val="22"/>
        </w:rPr>
      </w:pPr>
      <w:r w:rsidRPr="75036CBD" w:rsidR="79710388">
        <w:rPr>
          <w:rFonts w:ascii="Arial" w:hAnsi="Arial" w:eastAsia="Arial" w:cs="Arial"/>
          <w:b w:val="0"/>
          <w:bCs w:val="0"/>
          <w:i w:val="0"/>
          <w:iCs w:val="0"/>
          <w:caps w:val="0"/>
          <w:smallCaps w:val="0"/>
          <w:noProof w:val="0"/>
          <w:color w:val="222222"/>
          <w:sz w:val="22"/>
          <w:szCs w:val="22"/>
          <w:lang w:val="en-GB"/>
        </w:rPr>
        <w:t xml:space="preserve">NICE (2018) Dementia: assessment, management and support for people living with dementia and their </w:t>
      </w:r>
      <w:r w:rsidRPr="75036CBD" w:rsidR="79710388">
        <w:rPr>
          <w:rFonts w:ascii="Arial" w:hAnsi="Arial" w:eastAsia="Arial" w:cs="Arial"/>
          <w:b w:val="0"/>
          <w:bCs w:val="0"/>
          <w:i w:val="0"/>
          <w:iCs w:val="0"/>
          <w:caps w:val="0"/>
          <w:smallCaps w:val="0"/>
          <w:noProof w:val="0"/>
          <w:color w:val="222222"/>
          <w:sz w:val="22"/>
          <w:szCs w:val="22"/>
          <w:lang w:val="en-GB"/>
        </w:rPr>
        <w:t>carers</w:t>
      </w:r>
      <w:r w:rsidRPr="75036CBD" w:rsidR="79710388">
        <w:rPr>
          <w:rFonts w:ascii="Arial" w:hAnsi="Arial" w:eastAsia="Arial" w:cs="Arial"/>
          <w:b w:val="0"/>
          <w:bCs w:val="0"/>
          <w:i w:val="0"/>
          <w:iCs w:val="0"/>
          <w:caps w:val="0"/>
          <w:smallCaps w:val="0"/>
          <w:noProof w:val="0"/>
          <w:color w:val="222222"/>
          <w:sz w:val="22"/>
          <w:szCs w:val="22"/>
          <w:lang w:val="en-GB"/>
        </w:rPr>
        <w:t xml:space="preserve">. [NG97]. London: National Institute for Health and Care Excellence. Available at: </w:t>
      </w:r>
      <w:hyperlink r:id="R268ad75266b34f6e">
        <w:r w:rsidRPr="75036CBD" w:rsidR="79710388">
          <w:rPr>
            <w:rStyle w:val="Hyperlink"/>
            <w:rFonts w:ascii="Arial" w:hAnsi="Arial" w:eastAsia="Arial" w:cs="Arial"/>
            <w:b w:val="0"/>
            <w:bCs w:val="0"/>
            <w:i w:val="0"/>
            <w:iCs w:val="0"/>
            <w:caps w:val="0"/>
            <w:smallCaps w:val="0"/>
            <w:noProof w:val="0"/>
            <w:color w:val="1155CC"/>
            <w:sz w:val="22"/>
            <w:szCs w:val="22"/>
            <w:lang w:val="en-GB"/>
          </w:rPr>
          <w:t>https://www.nice.org.uk/guidance/ng97</w:t>
        </w:r>
      </w:hyperlink>
      <w:r w:rsidRPr="75036CBD" w:rsidR="79710388">
        <w:rPr>
          <w:rFonts w:ascii="Arial" w:hAnsi="Arial" w:eastAsia="Arial" w:cs="Arial"/>
          <w:b w:val="0"/>
          <w:bCs w:val="0"/>
          <w:i w:val="0"/>
          <w:iCs w:val="0"/>
          <w:caps w:val="0"/>
          <w:smallCaps w:val="0"/>
          <w:noProof w:val="0"/>
          <w:color w:val="222222"/>
          <w:sz w:val="22"/>
          <w:szCs w:val="22"/>
          <w:lang w:val="en-GB"/>
        </w:rPr>
        <w:t xml:space="preserve"> (This is the medical guideline for dementia care).</w:t>
      </w:r>
    </w:p>
    <w:p w:rsidR="2947A0F0" w:rsidP="75036CBD" w:rsidRDefault="2947A0F0" w14:paraId="6B9395CC" w14:textId="67EBC8B1">
      <w:pPr>
        <w:pStyle w:val="Normal"/>
        <w:rPr>
          <w:rFonts w:ascii="Arial" w:hAnsi="Arial" w:eastAsia="Arial" w:cs="Arial"/>
          <w:b w:val="0"/>
          <w:bCs w:val="0"/>
          <w:i w:val="0"/>
          <w:iCs w:val="0"/>
          <w:caps w:val="0"/>
          <w:smallCaps w:val="0"/>
          <w:noProof w:val="0"/>
          <w:color w:val="222222"/>
          <w:sz w:val="22"/>
          <w:szCs w:val="22"/>
          <w:lang w:val="en-GB"/>
        </w:rPr>
      </w:pPr>
      <w:r w:rsidRPr="75036CBD" w:rsidR="2947A0F0">
        <w:rPr>
          <w:rFonts w:ascii="Arial" w:hAnsi="Arial" w:eastAsia="Arial" w:cs="Arial"/>
          <w:b w:val="0"/>
          <w:bCs w:val="0"/>
          <w:i w:val="0"/>
          <w:iCs w:val="0"/>
          <w:caps w:val="0"/>
          <w:smallCaps w:val="0"/>
          <w:noProof w:val="0"/>
          <w:color w:val="222222"/>
          <w:sz w:val="22"/>
          <w:szCs w:val="22"/>
          <w:lang w:val="en-GB"/>
        </w:rPr>
        <w:t xml:space="preserve">Office for National Statistics (2023). Dementia and Alzheimer's disease deaths including comorbidities, England and Wales. [Online]. Available at: </w:t>
      </w:r>
      <w:hyperlink r:id="R4b71962ee87c4254">
        <w:r w:rsidRPr="75036CBD" w:rsidR="2947A0F0">
          <w:rPr>
            <w:rStyle w:val="Hyperlink"/>
            <w:rFonts w:ascii="Arial" w:hAnsi="Arial" w:eastAsia="Arial" w:cs="Arial"/>
            <w:b w:val="0"/>
            <w:bCs w:val="0"/>
            <w:i w:val="0"/>
            <w:iCs w:val="0"/>
            <w:caps w:val="0"/>
            <w:smallCaps w:val="0"/>
            <w:noProof w:val="0"/>
            <w:color w:val="1155CC"/>
            <w:sz w:val="22"/>
            <w:szCs w:val="22"/>
            <w:lang w:val="en-GB"/>
          </w:rPr>
          <w:t>https://www.ons.gov.uk</w:t>
        </w:r>
      </w:hyperlink>
      <w:r w:rsidRPr="75036CBD" w:rsidR="2947A0F0">
        <w:rPr>
          <w:rFonts w:ascii="Arial" w:hAnsi="Arial" w:eastAsia="Arial" w:cs="Arial"/>
          <w:b w:val="0"/>
          <w:bCs w:val="0"/>
          <w:i w:val="0"/>
          <w:iCs w:val="0"/>
          <w:caps w:val="0"/>
          <w:smallCaps w:val="0"/>
          <w:noProof w:val="0"/>
          <w:color w:val="222222"/>
          <w:sz w:val="22"/>
          <w:szCs w:val="22"/>
          <w:lang w:val="en-GB"/>
        </w:rPr>
        <w:t xml:space="preserve"> (Accessed: 11 March 2026).</w:t>
      </w:r>
    </w:p>
    <w:p w:rsidR="2947A0F0" w:rsidP="75036CBD" w:rsidRDefault="2947A0F0" w14:paraId="3482BEBE" w14:textId="31B0FAF7">
      <w:pPr>
        <w:pStyle w:val="Normal"/>
        <w:rPr>
          <w:rFonts w:ascii="Arial" w:hAnsi="Arial" w:eastAsia="Arial" w:cs="Arial"/>
          <w:b w:val="0"/>
          <w:bCs w:val="0"/>
          <w:i w:val="0"/>
          <w:iCs w:val="0"/>
          <w:caps w:val="0"/>
          <w:smallCaps w:val="0"/>
          <w:noProof w:val="0"/>
          <w:color w:val="222222"/>
          <w:sz w:val="22"/>
          <w:szCs w:val="22"/>
          <w:lang w:val="en-GB"/>
        </w:rPr>
      </w:pPr>
      <w:r w:rsidRPr="75036CBD" w:rsidR="2947A0F0">
        <w:rPr>
          <w:rFonts w:ascii="Arial" w:hAnsi="Arial" w:eastAsia="Arial" w:cs="Arial"/>
          <w:b w:val="0"/>
          <w:bCs w:val="0"/>
          <w:i w:val="0"/>
          <w:iCs w:val="0"/>
          <w:caps w:val="0"/>
          <w:smallCaps w:val="0"/>
          <w:noProof w:val="0"/>
          <w:color w:val="222222"/>
          <w:sz w:val="22"/>
          <w:szCs w:val="22"/>
          <w:lang w:val="en-GB"/>
        </w:rPr>
        <w:t>Okumura, Y., et al. (2024). Subjective well-being of formal and informal caregivers. BMC Geriatrics, 24, Article 564.</w:t>
      </w:r>
    </w:p>
    <w:p w:rsidR="3B0B969D" w:rsidP="75036CBD" w:rsidRDefault="3B0B969D" w14:paraId="00614906" w14:textId="6DD04867">
      <w:pPr>
        <w:pStyle w:val="Normal"/>
        <w:rPr>
          <w:rFonts w:ascii="Arial" w:hAnsi="Arial" w:eastAsia="Arial" w:cs="Arial"/>
          <w:b w:val="0"/>
          <w:bCs w:val="0"/>
          <w:i w:val="0"/>
          <w:iCs w:val="0"/>
          <w:caps w:val="0"/>
          <w:smallCaps w:val="0"/>
          <w:noProof w:val="0"/>
          <w:color w:val="222222"/>
          <w:sz w:val="22"/>
          <w:szCs w:val="22"/>
          <w:lang w:val="en-GB"/>
        </w:rPr>
      </w:pPr>
      <w:r w:rsidRPr="75036CBD" w:rsidR="3B0B969D">
        <w:rPr>
          <w:rFonts w:ascii="Arial" w:hAnsi="Arial" w:eastAsia="Arial" w:cs="Arial"/>
          <w:b w:val="0"/>
          <w:bCs w:val="0"/>
          <w:i w:val="0"/>
          <w:iCs w:val="0"/>
          <w:caps w:val="0"/>
          <w:smallCaps w:val="0"/>
          <w:noProof w:val="0"/>
          <w:color w:val="222222"/>
          <w:sz w:val="22"/>
          <w:szCs w:val="22"/>
          <w:lang w:val="en-GB"/>
        </w:rPr>
        <w:t>Robertson, S., et al. (2017). Comparing proxy rated quality of life in care homes. Psychological Medicine, 47(10), pp. 1817–1828.</w:t>
      </w:r>
    </w:p>
    <w:p w:rsidR="3B0B969D" w:rsidP="75036CBD" w:rsidRDefault="3B0B969D" w14:paraId="372811C6" w14:textId="57147AB9">
      <w:pPr>
        <w:pStyle w:val="Normal"/>
        <w:rPr>
          <w:rFonts w:ascii="Arial" w:hAnsi="Arial" w:eastAsia="Arial" w:cs="Arial"/>
          <w:b w:val="0"/>
          <w:bCs w:val="0"/>
          <w:i w:val="0"/>
          <w:iCs w:val="0"/>
          <w:caps w:val="0"/>
          <w:smallCaps w:val="0"/>
          <w:noProof w:val="0"/>
          <w:color w:val="222222"/>
          <w:sz w:val="22"/>
          <w:szCs w:val="22"/>
          <w:lang w:val="en-GB"/>
        </w:rPr>
      </w:pPr>
      <w:r w:rsidRPr="75036CBD" w:rsidR="3B0B969D">
        <w:rPr>
          <w:rFonts w:ascii="Arial" w:hAnsi="Arial" w:eastAsia="Arial" w:cs="Arial"/>
          <w:b w:val="0"/>
          <w:bCs w:val="0"/>
          <w:i w:val="0"/>
          <w:iCs w:val="0"/>
          <w:caps w:val="0"/>
          <w:smallCaps w:val="0"/>
          <w:noProof w:val="0"/>
          <w:color w:val="222222"/>
          <w:sz w:val="22"/>
          <w:szCs w:val="22"/>
          <w:lang w:val="en-GB"/>
        </w:rPr>
        <w:t>Rodakowski, J., et al. (2017). Caregivers in discharge planning. Innovation in Aging, 1(1), pp. 22–34.</w:t>
      </w:r>
    </w:p>
    <w:p w:rsidR="760A5B91" w:rsidP="75036CBD" w:rsidRDefault="760A5B91" w14:paraId="7C9D7621" w14:textId="4376B21E">
      <w:pPr>
        <w:pStyle w:val="Normal"/>
        <w:rPr>
          <w:rFonts w:ascii="Arial" w:hAnsi="Arial" w:eastAsia="Arial" w:cs="Arial"/>
          <w:noProof w:val="0"/>
          <w:sz w:val="22"/>
          <w:szCs w:val="22"/>
          <w:lang w:val="en-GB"/>
        </w:rPr>
      </w:pPr>
      <w:r w:rsidRPr="75036CBD" w:rsidR="760A5B91">
        <w:rPr>
          <w:rFonts w:ascii="Arial" w:hAnsi="Arial" w:eastAsia="Arial" w:cs="Arial"/>
          <w:b w:val="0"/>
          <w:bCs w:val="0"/>
          <w:i w:val="0"/>
          <w:iCs w:val="0"/>
          <w:caps w:val="0"/>
          <w:smallCaps w:val="0"/>
          <w:noProof w:val="0"/>
          <w:color w:val="222222"/>
          <w:sz w:val="22"/>
          <w:szCs w:val="22"/>
          <w:lang w:val="en-GB"/>
        </w:rPr>
        <w:t xml:space="preserve">Sharma, </w:t>
      </w:r>
      <w:r w:rsidRPr="75036CBD" w:rsidR="760A5B91">
        <w:rPr>
          <w:rFonts w:ascii="Arial" w:hAnsi="Arial" w:eastAsia="Arial" w:cs="Arial"/>
          <w:b w:val="0"/>
          <w:bCs w:val="0"/>
          <w:i w:val="0"/>
          <w:iCs w:val="0"/>
          <w:caps w:val="0"/>
          <w:smallCaps w:val="0"/>
          <w:noProof w:val="0"/>
          <w:color w:val="222222"/>
          <w:sz w:val="22"/>
          <w:szCs w:val="22"/>
          <w:lang w:val="en-GB"/>
        </w:rPr>
        <w:t>N.</w:t>
      </w:r>
      <w:r w:rsidRPr="75036CBD" w:rsidR="760A5B91">
        <w:rPr>
          <w:rFonts w:ascii="Arial" w:hAnsi="Arial" w:eastAsia="Arial" w:cs="Arial"/>
          <w:b w:val="0"/>
          <w:bCs w:val="0"/>
          <w:i w:val="0"/>
          <w:iCs w:val="0"/>
          <w:caps w:val="0"/>
          <w:smallCaps w:val="0"/>
          <w:noProof w:val="0"/>
          <w:color w:val="222222"/>
          <w:sz w:val="22"/>
          <w:szCs w:val="22"/>
          <w:lang w:val="en-GB"/>
        </w:rPr>
        <w:t xml:space="preserve"> and Kaur, J. (2023). Systematic analysis of familial versus professional caregiving paradigms. </w:t>
      </w:r>
      <w:r w:rsidRPr="75036CBD" w:rsidR="760A5B91">
        <w:rPr>
          <w:rFonts w:ascii="Arial" w:hAnsi="Arial" w:eastAsia="Arial" w:cs="Arial"/>
          <w:b w:val="0"/>
          <w:bCs w:val="0"/>
          <w:i w:val="0"/>
          <w:iCs w:val="0"/>
          <w:caps w:val="0"/>
          <w:smallCaps w:val="0"/>
          <w:noProof w:val="0"/>
          <w:color w:val="222222"/>
          <w:sz w:val="22"/>
          <w:szCs w:val="22"/>
          <w:lang w:val="en-GB"/>
        </w:rPr>
        <w:t>Cureus</w:t>
      </w:r>
      <w:r w:rsidRPr="75036CBD" w:rsidR="760A5B91">
        <w:rPr>
          <w:rFonts w:ascii="Arial" w:hAnsi="Arial" w:eastAsia="Arial" w:cs="Arial"/>
          <w:b w:val="0"/>
          <w:bCs w:val="0"/>
          <w:i w:val="0"/>
          <w:iCs w:val="0"/>
          <w:caps w:val="0"/>
          <w:smallCaps w:val="0"/>
          <w:noProof w:val="0"/>
          <w:color w:val="222222"/>
          <w:sz w:val="22"/>
          <w:szCs w:val="22"/>
          <w:lang w:val="en-GB"/>
        </w:rPr>
        <w:t>, 15(7), e42108.</w:t>
      </w:r>
    </w:p>
    <w:p w:rsidR="27D6DAB2" w:rsidP="75036CBD" w:rsidRDefault="27D6DAB2" w14:paraId="570BCED1" w14:textId="3254881B">
      <w:pPr>
        <w:pStyle w:val="Normal"/>
      </w:pPr>
      <w:r w:rsidRPr="75036CBD" w:rsidR="27D6DAB2">
        <w:rPr>
          <w:rFonts w:ascii="Arial" w:hAnsi="Arial" w:eastAsia="Arial" w:cs="Arial"/>
          <w:b w:val="0"/>
          <w:bCs w:val="0"/>
          <w:i w:val="0"/>
          <w:iCs w:val="0"/>
          <w:caps w:val="0"/>
          <w:smallCaps w:val="0"/>
          <w:noProof w:val="0"/>
          <w:color w:val="222222"/>
          <w:sz w:val="22"/>
          <w:szCs w:val="22"/>
          <w:lang w:val="en-GB"/>
        </w:rPr>
        <w:t xml:space="preserve">Skills for Care (2023) The state of the adult social care sector and workforce in England. Leeds: Skills for Care. Available at: </w:t>
      </w:r>
      <w:hyperlink r:id="R2c4327843e17432d">
        <w:r w:rsidRPr="75036CBD" w:rsidR="27D6DAB2">
          <w:rPr>
            <w:rStyle w:val="Hyperlink"/>
            <w:rFonts w:ascii="Arial" w:hAnsi="Arial" w:eastAsia="Arial" w:cs="Arial"/>
            <w:b w:val="0"/>
            <w:bCs w:val="0"/>
            <w:i w:val="0"/>
            <w:iCs w:val="0"/>
            <w:caps w:val="0"/>
            <w:smallCaps w:val="0"/>
            <w:noProof w:val="0"/>
            <w:color w:val="1155CC"/>
            <w:sz w:val="22"/>
            <w:szCs w:val="22"/>
            <w:lang w:val="en-GB"/>
          </w:rPr>
          <w:t>https://www.skillsforcare.org.uk/adult-social-care-workforce-data/Workforce-intelligence/publications/national-information/The-state-of-the-adult-social-care-sector-and-workforce-in-England.aspx</w:t>
        </w:r>
      </w:hyperlink>
      <w:r w:rsidRPr="75036CBD" w:rsidR="27D6DAB2">
        <w:rPr>
          <w:rFonts w:ascii="Arial" w:hAnsi="Arial" w:eastAsia="Arial" w:cs="Arial"/>
          <w:b w:val="0"/>
          <w:bCs w:val="0"/>
          <w:i w:val="0"/>
          <w:iCs w:val="0"/>
          <w:caps w:val="0"/>
          <w:smallCaps w:val="0"/>
          <w:noProof w:val="0"/>
          <w:color w:val="222222"/>
          <w:sz w:val="22"/>
          <w:szCs w:val="22"/>
          <w:lang w:val="en-GB"/>
        </w:rPr>
        <w:t xml:space="preserve"> (This is where the staff vacancy statistics come from).</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71B93"/>
    <w:rsid w:val="01EF844A"/>
    <w:rsid w:val="06849782"/>
    <w:rsid w:val="0694D1F3"/>
    <w:rsid w:val="0ABE4688"/>
    <w:rsid w:val="0AC8EFD7"/>
    <w:rsid w:val="0AD9BEB7"/>
    <w:rsid w:val="0B313DF3"/>
    <w:rsid w:val="0DD0E1B3"/>
    <w:rsid w:val="16B29539"/>
    <w:rsid w:val="16EE419E"/>
    <w:rsid w:val="19771B93"/>
    <w:rsid w:val="1C0B7C4A"/>
    <w:rsid w:val="1E7CB642"/>
    <w:rsid w:val="1FA27082"/>
    <w:rsid w:val="24CEA334"/>
    <w:rsid w:val="27D6DAB2"/>
    <w:rsid w:val="2900AA55"/>
    <w:rsid w:val="2947A0F0"/>
    <w:rsid w:val="2AD7E160"/>
    <w:rsid w:val="2B98881B"/>
    <w:rsid w:val="2C023773"/>
    <w:rsid w:val="2C1D1540"/>
    <w:rsid w:val="2CC361A9"/>
    <w:rsid w:val="2D484314"/>
    <w:rsid w:val="2DF0FFBC"/>
    <w:rsid w:val="2FBCCC06"/>
    <w:rsid w:val="2FEAA73D"/>
    <w:rsid w:val="3189CDC3"/>
    <w:rsid w:val="31FBADB1"/>
    <w:rsid w:val="35A84E92"/>
    <w:rsid w:val="38E25830"/>
    <w:rsid w:val="3AA47C05"/>
    <w:rsid w:val="3B0B969D"/>
    <w:rsid w:val="3B656102"/>
    <w:rsid w:val="3F0CBF0F"/>
    <w:rsid w:val="40AADE35"/>
    <w:rsid w:val="41F3652A"/>
    <w:rsid w:val="42367536"/>
    <w:rsid w:val="42A7FDCF"/>
    <w:rsid w:val="42F6E35B"/>
    <w:rsid w:val="44A685A1"/>
    <w:rsid w:val="456B56CC"/>
    <w:rsid w:val="4708122B"/>
    <w:rsid w:val="471B4F31"/>
    <w:rsid w:val="47640BA7"/>
    <w:rsid w:val="4CEAD9D7"/>
    <w:rsid w:val="4D585892"/>
    <w:rsid w:val="4E5648EB"/>
    <w:rsid w:val="4F4A566F"/>
    <w:rsid w:val="4FAB82F3"/>
    <w:rsid w:val="51672B90"/>
    <w:rsid w:val="51D1387F"/>
    <w:rsid w:val="5229CA87"/>
    <w:rsid w:val="5279090F"/>
    <w:rsid w:val="53D37FB5"/>
    <w:rsid w:val="56669B2C"/>
    <w:rsid w:val="56CFA106"/>
    <w:rsid w:val="57B42140"/>
    <w:rsid w:val="5BA52382"/>
    <w:rsid w:val="5F7FF50A"/>
    <w:rsid w:val="6066E4CA"/>
    <w:rsid w:val="6334111C"/>
    <w:rsid w:val="6B3F79C7"/>
    <w:rsid w:val="6DB88D9F"/>
    <w:rsid w:val="6DE07C95"/>
    <w:rsid w:val="70C16CE2"/>
    <w:rsid w:val="720949B6"/>
    <w:rsid w:val="72E23680"/>
    <w:rsid w:val="730C5091"/>
    <w:rsid w:val="7347E256"/>
    <w:rsid w:val="73F2FAF2"/>
    <w:rsid w:val="7412487E"/>
    <w:rsid w:val="75036CBD"/>
    <w:rsid w:val="750877B3"/>
    <w:rsid w:val="751078E5"/>
    <w:rsid w:val="760A5B91"/>
    <w:rsid w:val="76CD6E91"/>
    <w:rsid w:val="77696BFB"/>
    <w:rsid w:val="7903F47A"/>
    <w:rsid w:val="79710388"/>
    <w:rsid w:val="7C524B2C"/>
    <w:rsid w:val="7C871308"/>
    <w:rsid w:val="7DF83E8F"/>
    <w:rsid w:val="7E0B9746"/>
    <w:rsid w:val="7FA83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1B93"/>
  <w15:chartTrackingRefBased/>
  <w15:docId w15:val="{4E19C189-4ECC-4FA7-ACDA-426E9DCB79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189CDC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zheimers.org.uk/about-us/policy-and-influencing/dementia-scale-impact-numbers" TargetMode="External" Id="R3be8d9b5e0ae421f" /><Relationship Type="http://schemas.openxmlformats.org/officeDocument/2006/relationships/hyperlink" Target="https://www.legislation.gov.uk/ukpga/2014/23/contents/enacted" TargetMode="External" Id="Rf8b40fec1e3446db" /><Relationship Type="http://schemas.openxmlformats.org/officeDocument/2006/relationships/hyperlink" Target="https://www.cqc.org.uk/" TargetMode="External" Id="Rf9ef19bd800845e2" /><Relationship Type="http://schemas.openxmlformats.org/officeDocument/2006/relationships/hyperlink" Target="https://www.gov.uk/government/publications/major-conditions-strategy-case-for-change-and-our-strategic-framework" TargetMode="External" Id="R500c287e13c44079" /><Relationship Type="http://schemas.openxmlformats.org/officeDocument/2006/relationships/hyperlink" Target="https://www.legislation.gov.uk/ukpga/2005/9/contents" TargetMode="External" Id="R3a2cff8d58654aac" /><Relationship Type="http://schemas.openxmlformats.org/officeDocument/2006/relationships/hyperlink" Target="https://www.longtermplan.nhs.uk/" TargetMode="External" Id="R37ac2c6ab5964d54" /><Relationship Type="http://schemas.openxmlformats.org/officeDocument/2006/relationships/hyperlink" Target="https://www.nice.org.uk/guidance/ng97" TargetMode="External" Id="R268ad75266b34f6e" /><Relationship Type="http://schemas.openxmlformats.org/officeDocument/2006/relationships/hyperlink" Target="https://www.ons.gov.uk/" TargetMode="External" Id="R4b71962ee87c4254" /><Relationship Type="http://schemas.openxmlformats.org/officeDocument/2006/relationships/hyperlink" Target="https://www.skillsforcare.org.uk/adult-social-care-workforce-data/Workforce-intelligence/publications/national-information/The-state-of-the-adult-social-care-sector-and-workforce-in-England.aspx" TargetMode="External" Id="R2c4327843e1743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Lucresha Lewis (2315413)</dc:creator>
  <keywords/>
  <dc:description/>
  <lastModifiedBy>Lucresha Lewis (2315413)</lastModifiedBy>
  <revision>4</revision>
  <dcterms:created xsi:type="dcterms:W3CDTF">2026-03-11T20:29:50.8619038Z</dcterms:created>
  <dcterms:modified xsi:type="dcterms:W3CDTF">2026-03-12T21:03:22.2630428Z</dcterms:modified>
</coreProperties>
</file>