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62AE7" w14:textId="77777777" w:rsidR="00293369" w:rsidRPr="00B23F1A" w:rsidRDefault="00293369" w:rsidP="00293369">
      <w:pPr>
        <w:rPr>
          <w:rFonts w:asciiTheme="minorBidi" w:hAnsiTheme="minorBidi"/>
        </w:rPr>
      </w:pPr>
      <w:r w:rsidRPr="00B23F1A">
        <w:rPr>
          <w:rFonts w:asciiTheme="minorBidi" w:hAnsiTheme="minorBidi"/>
          <w:noProof/>
        </w:rPr>
        <w:drawing>
          <wp:inline distT="0" distB="0" distL="0" distR="0" wp14:anchorId="55EB4EC4" wp14:editId="21A78559">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ED88ED2" w14:textId="77777777" w:rsidR="00293369" w:rsidRPr="00B23F1A" w:rsidRDefault="00293369" w:rsidP="00293369">
      <w:pPr>
        <w:rPr>
          <w:rFonts w:asciiTheme="minorBidi" w:hAnsiTheme="minorBidi"/>
        </w:rPr>
      </w:pPr>
    </w:p>
    <w:p w14:paraId="54EC0341" w14:textId="77777777" w:rsidR="00293369" w:rsidRPr="00B23F1A" w:rsidRDefault="00293369" w:rsidP="00293369">
      <w:pPr>
        <w:rPr>
          <w:rFonts w:asciiTheme="minorBidi" w:hAnsiTheme="minorBidi"/>
        </w:rPr>
      </w:pPr>
    </w:p>
    <w:p w14:paraId="7D45A874" w14:textId="365A503E" w:rsidR="00293369" w:rsidRPr="00C703CE" w:rsidRDefault="00293369" w:rsidP="00293369">
      <w:pPr>
        <w:jc w:val="center"/>
        <w:rPr>
          <w:rFonts w:asciiTheme="minorBidi" w:hAnsiTheme="minorBidi"/>
          <w:b/>
          <w:sz w:val="40"/>
        </w:rPr>
      </w:pPr>
      <w:r w:rsidRPr="00C703CE">
        <w:rPr>
          <w:rFonts w:asciiTheme="minorBidi" w:hAnsiTheme="minorBidi"/>
          <w:b/>
          <w:sz w:val="40"/>
        </w:rPr>
        <w:t xml:space="preserve">PESTLE Analysis of </w:t>
      </w:r>
      <w:r>
        <w:rPr>
          <w:rFonts w:asciiTheme="minorBidi" w:hAnsiTheme="minorBidi"/>
          <w:b/>
          <w:sz w:val="40"/>
        </w:rPr>
        <w:t>Dyson Ltd.</w:t>
      </w:r>
      <w:r w:rsidRPr="00C703CE">
        <w:rPr>
          <w:rFonts w:asciiTheme="minorBidi" w:hAnsiTheme="minorBidi"/>
          <w:b/>
          <w:sz w:val="40"/>
        </w:rPr>
        <w:t xml:space="preserve"> (UK)</w:t>
      </w:r>
    </w:p>
    <w:p w14:paraId="745C7428" w14:textId="77777777" w:rsidR="00293369" w:rsidRPr="00B23F1A" w:rsidRDefault="00293369" w:rsidP="00293369">
      <w:pPr>
        <w:rPr>
          <w:rFonts w:asciiTheme="minorBidi" w:hAnsiTheme="minorBidi"/>
        </w:rPr>
      </w:pPr>
    </w:p>
    <w:p w14:paraId="19E112DA" w14:textId="77777777" w:rsidR="00293369" w:rsidRPr="00B23F1A" w:rsidRDefault="00293369" w:rsidP="00293369">
      <w:pPr>
        <w:rPr>
          <w:rFonts w:asciiTheme="minorBidi" w:hAnsiTheme="minorBidi"/>
        </w:rPr>
      </w:pPr>
    </w:p>
    <w:p w14:paraId="6A9CF375" w14:textId="79D2D091" w:rsidR="00293369" w:rsidRPr="00B23F1A" w:rsidRDefault="00293369" w:rsidP="00293369">
      <w:pPr>
        <w:rPr>
          <w:rFonts w:asciiTheme="minorBidi" w:hAnsiTheme="minorBidi"/>
        </w:rPr>
      </w:pPr>
      <w:r w:rsidRPr="00B23F1A">
        <w:rPr>
          <w:rFonts w:asciiTheme="minorBidi" w:hAnsiTheme="minorBidi"/>
        </w:rPr>
        <w:t xml:space="preserve">Name </w:t>
      </w:r>
      <w:r>
        <w:rPr>
          <w:rFonts w:asciiTheme="minorBidi" w:hAnsiTheme="minorBidi"/>
          <w:b/>
        </w:rPr>
        <w:t>Mihai-Iustin Radoi</w:t>
      </w:r>
    </w:p>
    <w:p w14:paraId="2234CD89" w14:textId="62818D52" w:rsidR="00293369" w:rsidRPr="00B23F1A" w:rsidRDefault="00293369" w:rsidP="00293369">
      <w:pPr>
        <w:rPr>
          <w:rFonts w:asciiTheme="minorBidi" w:hAnsiTheme="minorBidi"/>
        </w:rPr>
      </w:pPr>
      <w:r w:rsidRPr="00B23F1A">
        <w:rPr>
          <w:rFonts w:asciiTheme="minorBidi" w:hAnsiTheme="minorBidi"/>
        </w:rPr>
        <w:t>Student ID</w:t>
      </w:r>
      <w:r>
        <w:rPr>
          <w:rFonts w:asciiTheme="minorBidi" w:hAnsiTheme="minorBidi"/>
        </w:rPr>
        <w:t xml:space="preserve"> </w:t>
      </w:r>
      <w:r w:rsidRPr="00C703CE">
        <w:rPr>
          <w:rFonts w:asciiTheme="minorBidi" w:hAnsiTheme="minorBidi"/>
          <w:b/>
        </w:rPr>
        <w:t>241</w:t>
      </w:r>
      <w:r>
        <w:rPr>
          <w:rFonts w:asciiTheme="minorBidi" w:hAnsiTheme="minorBidi"/>
          <w:b/>
        </w:rPr>
        <w:t>6097</w:t>
      </w:r>
    </w:p>
    <w:p w14:paraId="5EBDC82D" w14:textId="77777777" w:rsidR="00293369" w:rsidRPr="00B23F1A" w:rsidRDefault="00293369" w:rsidP="00293369">
      <w:pPr>
        <w:rPr>
          <w:rFonts w:asciiTheme="minorBidi" w:hAnsiTheme="minorBidi"/>
        </w:rPr>
      </w:pPr>
      <w:r w:rsidRPr="00B23F1A">
        <w:rPr>
          <w:rFonts w:asciiTheme="minorBidi" w:hAnsiTheme="minorBidi"/>
        </w:rPr>
        <w:t xml:space="preserve">Module code </w:t>
      </w:r>
      <w:r w:rsidRPr="00C703CE">
        <w:rPr>
          <w:rFonts w:asciiTheme="minorBidi" w:hAnsiTheme="minorBidi"/>
          <w:b/>
        </w:rPr>
        <w:t>LCBB5015</w:t>
      </w:r>
    </w:p>
    <w:p w14:paraId="31B54429" w14:textId="77777777" w:rsidR="00293369" w:rsidRPr="00B23F1A" w:rsidRDefault="00293369" w:rsidP="00293369">
      <w:pPr>
        <w:rPr>
          <w:rFonts w:asciiTheme="minorBidi" w:hAnsiTheme="minorBidi"/>
        </w:rPr>
      </w:pPr>
      <w:r w:rsidRPr="00B23F1A">
        <w:rPr>
          <w:rFonts w:asciiTheme="minorBidi" w:hAnsiTheme="minorBidi"/>
        </w:rPr>
        <w:t xml:space="preserve">Module name </w:t>
      </w:r>
      <w:r w:rsidRPr="00C703CE">
        <w:rPr>
          <w:rFonts w:asciiTheme="minorBidi" w:hAnsiTheme="minorBidi"/>
          <w:b/>
        </w:rPr>
        <w:t>Principles of Marketing</w:t>
      </w:r>
    </w:p>
    <w:p w14:paraId="12049C42" w14:textId="77777777" w:rsidR="00293369" w:rsidRDefault="00293369" w:rsidP="00293369">
      <w:pPr>
        <w:rPr>
          <w:rFonts w:asciiTheme="minorBidi" w:hAnsiTheme="minorBidi"/>
          <w:b/>
        </w:rPr>
      </w:pPr>
      <w:r w:rsidRPr="00B23F1A">
        <w:rPr>
          <w:rFonts w:asciiTheme="minorBidi" w:hAnsiTheme="minorBidi"/>
        </w:rPr>
        <w:t>Lecturer</w:t>
      </w:r>
      <w:r>
        <w:rPr>
          <w:rFonts w:asciiTheme="minorBidi" w:hAnsiTheme="minorBidi"/>
        </w:rPr>
        <w:t xml:space="preserve"> </w:t>
      </w:r>
      <w:proofErr w:type="spellStart"/>
      <w:r w:rsidRPr="00C703CE">
        <w:rPr>
          <w:rFonts w:asciiTheme="minorBidi" w:hAnsiTheme="minorBidi"/>
          <w:b/>
        </w:rPr>
        <w:t>Piyumika</w:t>
      </w:r>
      <w:proofErr w:type="spellEnd"/>
      <w:r w:rsidRPr="00C703CE">
        <w:rPr>
          <w:rFonts w:asciiTheme="minorBidi" w:hAnsiTheme="minorBidi"/>
          <w:b/>
        </w:rPr>
        <w:t xml:space="preserve"> K. Gamage</w:t>
      </w:r>
    </w:p>
    <w:p w14:paraId="5BD00AB4" w14:textId="77777777" w:rsidR="00293369" w:rsidRDefault="00293369" w:rsidP="00293369">
      <w:pPr>
        <w:rPr>
          <w:rFonts w:asciiTheme="minorBidi" w:hAnsiTheme="minorBidi"/>
          <w:b/>
        </w:rPr>
      </w:pPr>
    </w:p>
    <w:p w14:paraId="05CCE7C8" w14:textId="77777777" w:rsidR="00293369" w:rsidRDefault="00293369" w:rsidP="00293369">
      <w:pPr>
        <w:rPr>
          <w:rFonts w:asciiTheme="minorBidi" w:hAnsiTheme="minorBidi"/>
          <w:b/>
        </w:rPr>
      </w:pPr>
    </w:p>
    <w:p w14:paraId="7CD74166" w14:textId="77777777" w:rsidR="00293369" w:rsidRDefault="00293369" w:rsidP="00293369">
      <w:pPr>
        <w:rPr>
          <w:rFonts w:asciiTheme="minorBidi" w:hAnsiTheme="minorBidi"/>
          <w:b/>
        </w:rPr>
      </w:pPr>
    </w:p>
    <w:p w14:paraId="16158505" w14:textId="77777777" w:rsidR="00293369" w:rsidRDefault="00293369" w:rsidP="00293369">
      <w:pPr>
        <w:rPr>
          <w:rFonts w:asciiTheme="minorBidi" w:hAnsiTheme="minorBidi"/>
          <w:b/>
        </w:rPr>
      </w:pPr>
    </w:p>
    <w:p w14:paraId="648A92C0" w14:textId="77777777" w:rsidR="00293369" w:rsidRDefault="00293369" w:rsidP="00293369">
      <w:pPr>
        <w:rPr>
          <w:rFonts w:asciiTheme="minorBidi" w:hAnsiTheme="minorBidi"/>
          <w:b/>
        </w:rPr>
      </w:pPr>
    </w:p>
    <w:p w14:paraId="56ABD269" w14:textId="77777777" w:rsidR="00293369" w:rsidRDefault="00293369" w:rsidP="00293369">
      <w:pPr>
        <w:rPr>
          <w:rFonts w:asciiTheme="minorBidi" w:hAnsiTheme="minorBidi"/>
          <w:b/>
        </w:rPr>
      </w:pPr>
    </w:p>
    <w:p w14:paraId="488D6DBE" w14:textId="77777777" w:rsidR="00293369" w:rsidRPr="00C703CE" w:rsidRDefault="00293369" w:rsidP="00293369">
      <w:pPr>
        <w:rPr>
          <w:rFonts w:asciiTheme="minorBidi" w:hAnsiTheme="minorBidi"/>
          <w:b/>
        </w:rPr>
      </w:pPr>
    </w:p>
    <w:p w14:paraId="3AAC821B" w14:textId="77777777" w:rsidR="00293369" w:rsidRPr="00293369" w:rsidRDefault="00293369" w:rsidP="00293369"/>
    <w:sdt>
      <w:sdtPr>
        <w:id w:val="176394281"/>
        <w:docPartObj>
          <w:docPartGallery w:val="Table of Contents"/>
          <w:docPartUnique/>
        </w:docPartObj>
      </w:sdtPr>
      <w:sdtEndPr>
        <w:rPr>
          <w:rFonts w:ascii="Times New Roman" w:eastAsiaTheme="minorHAnsi" w:hAnsi="Times New Roman" w:cs="Times New Roman"/>
          <w:b/>
          <w:bCs/>
          <w:noProof/>
          <w:color w:val="auto"/>
          <w:kern w:val="2"/>
          <w:sz w:val="24"/>
          <w:szCs w:val="24"/>
          <w:lang w:val="en-GB"/>
          <w14:ligatures w14:val="standardContextual"/>
        </w:rPr>
      </w:sdtEndPr>
      <w:sdtContent>
        <w:p w14:paraId="63EBECF7" w14:textId="7029AA0B" w:rsidR="00293369" w:rsidRDefault="00293369">
          <w:pPr>
            <w:pStyle w:val="TOCHeading"/>
          </w:pPr>
          <w:r>
            <w:t>Contents</w:t>
          </w:r>
        </w:p>
        <w:p w14:paraId="189841CF" w14:textId="3F3DD2B1" w:rsidR="00293369" w:rsidRDefault="00293369">
          <w:pPr>
            <w:pStyle w:val="TOC1"/>
            <w:tabs>
              <w:tab w:val="right" w:leader="dot" w:pos="9016"/>
            </w:tabs>
            <w:rPr>
              <w:noProof/>
            </w:rPr>
          </w:pPr>
          <w:r>
            <w:fldChar w:fldCharType="begin"/>
          </w:r>
          <w:r>
            <w:instrText xml:space="preserve"> TOC \o "1-3" \h \z \u </w:instrText>
          </w:r>
          <w:r>
            <w:fldChar w:fldCharType="separate"/>
          </w:r>
          <w:hyperlink w:anchor="_Toc214091478" w:history="1">
            <w:r w:rsidRPr="001A0EB2">
              <w:rPr>
                <w:rStyle w:val="Hyperlink"/>
                <w:noProof/>
              </w:rPr>
              <w:t>1. Introduct</w:t>
            </w:r>
            <w:r w:rsidRPr="001A0EB2">
              <w:rPr>
                <w:rStyle w:val="Hyperlink"/>
                <w:noProof/>
              </w:rPr>
              <w:t>i</w:t>
            </w:r>
            <w:r w:rsidRPr="001A0EB2">
              <w:rPr>
                <w:rStyle w:val="Hyperlink"/>
                <w:noProof/>
              </w:rPr>
              <w:t>on</w:t>
            </w:r>
            <w:r>
              <w:rPr>
                <w:noProof/>
                <w:webHidden/>
              </w:rPr>
              <w:tab/>
            </w:r>
            <w:r>
              <w:rPr>
                <w:noProof/>
                <w:webHidden/>
              </w:rPr>
              <w:fldChar w:fldCharType="begin"/>
            </w:r>
            <w:r>
              <w:rPr>
                <w:noProof/>
                <w:webHidden/>
              </w:rPr>
              <w:instrText xml:space="preserve"> PAGEREF _Toc214091478 \h </w:instrText>
            </w:r>
            <w:r>
              <w:rPr>
                <w:noProof/>
                <w:webHidden/>
              </w:rPr>
            </w:r>
            <w:r>
              <w:rPr>
                <w:noProof/>
                <w:webHidden/>
              </w:rPr>
              <w:fldChar w:fldCharType="separate"/>
            </w:r>
            <w:r>
              <w:rPr>
                <w:noProof/>
                <w:webHidden/>
              </w:rPr>
              <w:t>2</w:t>
            </w:r>
            <w:r>
              <w:rPr>
                <w:noProof/>
                <w:webHidden/>
              </w:rPr>
              <w:fldChar w:fldCharType="end"/>
            </w:r>
          </w:hyperlink>
        </w:p>
        <w:p w14:paraId="24215E85" w14:textId="4956A2B5" w:rsidR="00293369" w:rsidRDefault="00293369">
          <w:pPr>
            <w:pStyle w:val="TOC1"/>
            <w:tabs>
              <w:tab w:val="right" w:leader="dot" w:pos="9016"/>
            </w:tabs>
            <w:rPr>
              <w:noProof/>
            </w:rPr>
          </w:pPr>
          <w:hyperlink w:anchor="_Toc214091479" w:history="1">
            <w:r w:rsidRPr="001A0EB2">
              <w:rPr>
                <w:rStyle w:val="Hyperlink"/>
                <w:noProof/>
              </w:rPr>
              <w:t>2. Situational Analysis: PESTLE Analysis of Dyson Ltd</w:t>
            </w:r>
            <w:r>
              <w:rPr>
                <w:noProof/>
                <w:webHidden/>
              </w:rPr>
              <w:tab/>
            </w:r>
            <w:r>
              <w:rPr>
                <w:noProof/>
                <w:webHidden/>
              </w:rPr>
              <w:fldChar w:fldCharType="begin"/>
            </w:r>
            <w:r>
              <w:rPr>
                <w:noProof/>
                <w:webHidden/>
              </w:rPr>
              <w:instrText xml:space="preserve"> PAGEREF _Toc214091479 \h </w:instrText>
            </w:r>
            <w:r>
              <w:rPr>
                <w:noProof/>
                <w:webHidden/>
              </w:rPr>
            </w:r>
            <w:r>
              <w:rPr>
                <w:noProof/>
                <w:webHidden/>
              </w:rPr>
              <w:fldChar w:fldCharType="separate"/>
            </w:r>
            <w:r>
              <w:rPr>
                <w:noProof/>
                <w:webHidden/>
              </w:rPr>
              <w:t>2</w:t>
            </w:r>
            <w:r>
              <w:rPr>
                <w:noProof/>
                <w:webHidden/>
              </w:rPr>
              <w:fldChar w:fldCharType="end"/>
            </w:r>
          </w:hyperlink>
        </w:p>
        <w:p w14:paraId="2F33D043" w14:textId="51BC8EB1" w:rsidR="00293369" w:rsidRDefault="00293369">
          <w:pPr>
            <w:pStyle w:val="TOC2"/>
            <w:tabs>
              <w:tab w:val="right" w:leader="dot" w:pos="9016"/>
            </w:tabs>
            <w:rPr>
              <w:noProof/>
            </w:rPr>
          </w:pPr>
          <w:hyperlink w:anchor="_Toc214091480" w:history="1">
            <w:r w:rsidRPr="001A0EB2">
              <w:rPr>
                <w:rStyle w:val="Hyperlink"/>
                <w:noProof/>
              </w:rPr>
              <w:t>2.1 Political Factors</w:t>
            </w:r>
            <w:r>
              <w:rPr>
                <w:noProof/>
                <w:webHidden/>
              </w:rPr>
              <w:tab/>
            </w:r>
            <w:r>
              <w:rPr>
                <w:noProof/>
                <w:webHidden/>
              </w:rPr>
              <w:fldChar w:fldCharType="begin"/>
            </w:r>
            <w:r>
              <w:rPr>
                <w:noProof/>
                <w:webHidden/>
              </w:rPr>
              <w:instrText xml:space="preserve"> PAGEREF _Toc214091480 \h </w:instrText>
            </w:r>
            <w:r>
              <w:rPr>
                <w:noProof/>
                <w:webHidden/>
              </w:rPr>
            </w:r>
            <w:r>
              <w:rPr>
                <w:noProof/>
                <w:webHidden/>
              </w:rPr>
              <w:fldChar w:fldCharType="separate"/>
            </w:r>
            <w:r>
              <w:rPr>
                <w:noProof/>
                <w:webHidden/>
              </w:rPr>
              <w:t>2</w:t>
            </w:r>
            <w:r>
              <w:rPr>
                <w:noProof/>
                <w:webHidden/>
              </w:rPr>
              <w:fldChar w:fldCharType="end"/>
            </w:r>
          </w:hyperlink>
        </w:p>
        <w:p w14:paraId="71C959CD" w14:textId="22C9C88A" w:rsidR="00293369" w:rsidRDefault="00293369">
          <w:pPr>
            <w:pStyle w:val="TOC2"/>
            <w:tabs>
              <w:tab w:val="right" w:leader="dot" w:pos="9016"/>
            </w:tabs>
            <w:rPr>
              <w:noProof/>
            </w:rPr>
          </w:pPr>
          <w:hyperlink w:anchor="_Toc214091481" w:history="1">
            <w:r w:rsidRPr="001A0EB2">
              <w:rPr>
                <w:rStyle w:val="Hyperlink"/>
                <w:noProof/>
              </w:rPr>
              <w:t>2.2 Economic Factors</w:t>
            </w:r>
            <w:r>
              <w:rPr>
                <w:noProof/>
                <w:webHidden/>
              </w:rPr>
              <w:tab/>
            </w:r>
            <w:r>
              <w:rPr>
                <w:noProof/>
                <w:webHidden/>
              </w:rPr>
              <w:fldChar w:fldCharType="begin"/>
            </w:r>
            <w:r>
              <w:rPr>
                <w:noProof/>
                <w:webHidden/>
              </w:rPr>
              <w:instrText xml:space="preserve"> PAGEREF _Toc214091481 \h </w:instrText>
            </w:r>
            <w:r>
              <w:rPr>
                <w:noProof/>
                <w:webHidden/>
              </w:rPr>
            </w:r>
            <w:r>
              <w:rPr>
                <w:noProof/>
                <w:webHidden/>
              </w:rPr>
              <w:fldChar w:fldCharType="separate"/>
            </w:r>
            <w:r>
              <w:rPr>
                <w:noProof/>
                <w:webHidden/>
              </w:rPr>
              <w:t>2</w:t>
            </w:r>
            <w:r>
              <w:rPr>
                <w:noProof/>
                <w:webHidden/>
              </w:rPr>
              <w:fldChar w:fldCharType="end"/>
            </w:r>
          </w:hyperlink>
        </w:p>
        <w:p w14:paraId="548707E8" w14:textId="6E303B47" w:rsidR="00293369" w:rsidRDefault="00293369">
          <w:pPr>
            <w:pStyle w:val="TOC2"/>
            <w:tabs>
              <w:tab w:val="right" w:leader="dot" w:pos="9016"/>
            </w:tabs>
            <w:rPr>
              <w:noProof/>
            </w:rPr>
          </w:pPr>
          <w:hyperlink w:anchor="_Toc214091482" w:history="1">
            <w:r w:rsidRPr="001A0EB2">
              <w:rPr>
                <w:rStyle w:val="Hyperlink"/>
                <w:noProof/>
              </w:rPr>
              <w:t>2.3 Social Factors</w:t>
            </w:r>
            <w:r>
              <w:rPr>
                <w:noProof/>
                <w:webHidden/>
              </w:rPr>
              <w:tab/>
            </w:r>
            <w:r>
              <w:rPr>
                <w:noProof/>
                <w:webHidden/>
              </w:rPr>
              <w:fldChar w:fldCharType="begin"/>
            </w:r>
            <w:r>
              <w:rPr>
                <w:noProof/>
                <w:webHidden/>
              </w:rPr>
              <w:instrText xml:space="preserve"> PAGEREF _Toc214091482 \h </w:instrText>
            </w:r>
            <w:r>
              <w:rPr>
                <w:noProof/>
                <w:webHidden/>
              </w:rPr>
            </w:r>
            <w:r>
              <w:rPr>
                <w:noProof/>
                <w:webHidden/>
              </w:rPr>
              <w:fldChar w:fldCharType="separate"/>
            </w:r>
            <w:r>
              <w:rPr>
                <w:noProof/>
                <w:webHidden/>
              </w:rPr>
              <w:t>3</w:t>
            </w:r>
            <w:r>
              <w:rPr>
                <w:noProof/>
                <w:webHidden/>
              </w:rPr>
              <w:fldChar w:fldCharType="end"/>
            </w:r>
          </w:hyperlink>
        </w:p>
        <w:p w14:paraId="5B4721A0" w14:textId="178E47CD" w:rsidR="00293369" w:rsidRDefault="00293369">
          <w:pPr>
            <w:pStyle w:val="TOC2"/>
            <w:tabs>
              <w:tab w:val="right" w:leader="dot" w:pos="9016"/>
            </w:tabs>
            <w:rPr>
              <w:noProof/>
            </w:rPr>
          </w:pPr>
          <w:hyperlink w:anchor="_Toc214091483" w:history="1">
            <w:r w:rsidRPr="001A0EB2">
              <w:rPr>
                <w:rStyle w:val="Hyperlink"/>
                <w:noProof/>
              </w:rPr>
              <w:t>2.4 Technological Fac</w:t>
            </w:r>
            <w:r w:rsidRPr="001A0EB2">
              <w:rPr>
                <w:rStyle w:val="Hyperlink"/>
                <w:noProof/>
              </w:rPr>
              <w:t>t</w:t>
            </w:r>
            <w:r w:rsidRPr="001A0EB2">
              <w:rPr>
                <w:rStyle w:val="Hyperlink"/>
                <w:noProof/>
              </w:rPr>
              <w:t>ors</w:t>
            </w:r>
            <w:r>
              <w:rPr>
                <w:noProof/>
                <w:webHidden/>
              </w:rPr>
              <w:tab/>
            </w:r>
            <w:r>
              <w:rPr>
                <w:noProof/>
                <w:webHidden/>
              </w:rPr>
              <w:fldChar w:fldCharType="begin"/>
            </w:r>
            <w:r>
              <w:rPr>
                <w:noProof/>
                <w:webHidden/>
              </w:rPr>
              <w:instrText xml:space="preserve"> PAGEREF _Toc214091483 \h </w:instrText>
            </w:r>
            <w:r>
              <w:rPr>
                <w:noProof/>
                <w:webHidden/>
              </w:rPr>
            </w:r>
            <w:r>
              <w:rPr>
                <w:noProof/>
                <w:webHidden/>
              </w:rPr>
              <w:fldChar w:fldCharType="separate"/>
            </w:r>
            <w:r>
              <w:rPr>
                <w:noProof/>
                <w:webHidden/>
              </w:rPr>
              <w:t>3</w:t>
            </w:r>
            <w:r>
              <w:rPr>
                <w:noProof/>
                <w:webHidden/>
              </w:rPr>
              <w:fldChar w:fldCharType="end"/>
            </w:r>
          </w:hyperlink>
        </w:p>
        <w:p w14:paraId="52E1E8DE" w14:textId="6E69F4E7" w:rsidR="00293369" w:rsidRDefault="00293369">
          <w:pPr>
            <w:pStyle w:val="TOC2"/>
            <w:tabs>
              <w:tab w:val="right" w:leader="dot" w:pos="9016"/>
            </w:tabs>
            <w:rPr>
              <w:noProof/>
            </w:rPr>
          </w:pPr>
          <w:hyperlink w:anchor="_Toc214091484" w:history="1">
            <w:r w:rsidRPr="001A0EB2">
              <w:rPr>
                <w:rStyle w:val="Hyperlink"/>
                <w:noProof/>
              </w:rPr>
              <w:t>2.5 Legal Factors</w:t>
            </w:r>
            <w:r>
              <w:rPr>
                <w:noProof/>
                <w:webHidden/>
              </w:rPr>
              <w:tab/>
            </w:r>
            <w:r>
              <w:rPr>
                <w:noProof/>
                <w:webHidden/>
              </w:rPr>
              <w:fldChar w:fldCharType="begin"/>
            </w:r>
            <w:r>
              <w:rPr>
                <w:noProof/>
                <w:webHidden/>
              </w:rPr>
              <w:instrText xml:space="preserve"> PAGEREF _Toc214091484 \h </w:instrText>
            </w:r>
            <w:r>
              <w:rPr>
                <w:noProof/>
                <w:webHidden/>
              </w:rPr>
            </w:r>
            <w:r>
              <w:rPr>
                <w:noProof/>
                <w:webHidden/>
              </w:rPr>
              <w:fldChar w:fldCharType="separate"/>
            </w:r>
            <w:r>
              <w:rPr>
                <w:noProof/>
                <w:webHidden/>
              </w:rPr>
              <w:t>3</w:t>
            </w:r>
            <w:r>
              <w:rPr>
                <w:noProof/>
                <w:webHidden/>
              </w:rPr>
              <w:fldChar w:fldCharType="end"/>
            </w:r>
          </w:hyperlink>
        </w:p>
        <w:p w14:paraId="3FAF5C26" w14:textId="01FE5E42" w:rsidR="00293369" w:rsidRDefault="00293369">
          <w:pPr>
            <w:pStyle w:val="TOC2"/>
            <w:tabs>
              <w:tab w:val="right" w:leader="dot" w:pos="9016"/>
            </w:tabs>
            <w:rPr>
              <w:noProof/>
            </w:rPr>
          </w:pPr>
          <w:hyperlink w:anchor="_Toc214091485" w:history="1">
            <w:r w:rsidRPr="001A0EB2">
              <w:rPr>
                <w:rStyle w:val="Hyperlink"/>
                <w:noProof/>
              </w:rPr>
              <w:t>2.6 Environmental Factors</w:t>
            </w:r>
            <w:r>
              <w:rPr>
                <w:noProof/>
                <w:webHidden/>
              </w:rPr>
              <w:tab/>
            </w:r>
            <w:r>
              <w:rPr>
                <w:noProof/>
                <w:webHidden/>
              </w:rPr>
              <w:fldChar w:fldCharType="begin"/>
            </w:r>
            <w:r>
              <w:rPr>
                <w:noProof/>
                <w:webHidden/>
              </w:rPr>
              <w:instrText xml:space="preserve"> PAGEREF _Toc214091485 \h </w:instrText>
            </w:r>
            <w:r>
              <w:rPr>
                <w:noProof/>
                <w:webHidden/>
              </w:rPr>
            </w:r>
            <w:r>
              <w:rPr>
                <w:noProof/>
                <w:webHidden/>
              </w:rPr>
              <w:fldChar w:fldCharType="separate"/>
            </w:r>
            <w:r>
              <w:rPr>
                <w:noProof/>
                <w:webHidden/>
              </w:rPr>
              <w:t>4</w:t>
            </w:r>
            <w:r>
              <w:rPr>
                <w:noProof/>
                <w:webHidden/>
              </w:rPr>
              <w:fldChar w:fldCharType="end"/>
            </w:r>
          </w:hyperlink>
        </w:p>
        <w:p w14:paraId="456EECEE" w14:textId="4B2B5931" w:rsidR="00293369" w:rsidRDefault="00293369">
          <w:pPr>
            <w:pStyle w:val="TOC1"/>
            <w:tabs>
              <w:tab w:val="right" w:leader="dot" w:pos="9016"/>
            </w:tabs>
            <w:rPr>
              <w:noProof/>
            </w:rPr>
          </w:pPr>
          <w:hyperlink w:anchor="_Toc214091486" w:history="1">
            <w:r w:rsidRPr="001A0EB2">
              <w:rPr>
                <w:rStyle w:val="Hyperlink"/>
                <w:noProof/>
              </w:rPr>
              <w:t>3. Critical Analysis and Evaluation</w:t>
            </w:r>
            <w:r>
              <w:rPr>
                <w:noProof/>
                <w:webHidden/>
              </w:rPr>
              <w:tab/>
            </w:r>
            <w:r>
              <w:rPr>
                <w:noProof/>
                <w:webHidden/>
              </w:rPr>
              <w:fldChar w:fldCharType="begin"/>
            </w:r>
            <w:r>
              <w:rPr>
                <w:noProof/>
                <w:webHidden/>
              </w:rPr>
              <w:instrText xml:space="preserve"> PAGEREF _Toc214091486 \h </w:instrText>
            </w:r>
            <w:r>
              <w:rPr>
                <w:noProof/>
                <w:webHidden/>
              </w:rPr>
            </w:r>
            <w:r>
              <w:rPr>
                <w:noProof/>
                <w:webHidden/>
              </w:rPr>
              <w:fldChar w:fldCharType="separate"/>
            </w:r>
            <w:r>
              <w:rPr>
                <w:noProof/>
                <w:webHidden/>
              </w:rPr>
              <w:t>4</w:t>
            </w:r>
            <w:r>
              <w:rPr>
                <w:noProof/>
                <w:webHidden/>
              </w:rPr>
              <w:fldChar w:fldCharType="end"/>
            </w:r>
          </w:hyperlink>
        </w:p>
        <w:p w14:paraId="4B84391B" w14:textId="60D4CCD7" w:rsidR="00293369" w:rsidRDefault="00293369">
          <w:pPr>
            <w:pStyle w:val="TOC1"/>
            <w:tabs>
              <w:tab w:val="right" w:leader="dot" w:pos="9016"/>
            </w:tabs>
            <w:rPr>
              <w:noProof/>
            </w:rPr>
          </w:pPr>
          <w:hyperlink w:anchor="_Toc214091487" w:history="1">
            <w:r w:rsidRPr="001A0EB2">
              <w:rPr>
                <w:rStyle w:val="Hyperlink"/>
                <w:noProof/>
              </w:rPr>
              <w:t>4. Conclusion and Recommendations</w:t>
            </w:r>
            <w:r>
              <w:rPr>
                <w:noProof/>
                <w:webHidden/>
              </w:rPr>
              <w:tab/>
            </w:r>
            <w:r>
              <w:rPr>
                <w:noProof/>
                <w:webHidden/>
              </w:rPr>
              <w:fldChar w:fldCharType="begin"/>
            </w:r>
            <w:r>
              <w:rPr>
                <w:noProof/>
                <w:webHidden/>
              </w:rPr>
              <w:instrText xml:space="preserve"> PAGEREF _Toc214091487 \h </w:instrText>
            </w:r>
            <w:r>
              <w:rPr>
                <w:noProof/>
                <w:webHidden/>
              </w:rPr>
            </w:r>
            <w:r>
              <w:rPr>
                <w:noProof/>
                <w:webHidden/>
              </w:rPr>
              <w:fldChar w:fldCharType="separate"/>
            </w:r>
            <w:r>
              <w:rPr>
                <w:noProof/>
                <w:webHidden/>
              </w:rPr>
              <w:t>5</w:t>
            </w:r>
            <w:r>
              <w:rPr>
                <w:noProof/>
                <w:webHidden/>
              </w:rPr>
              <w:fldChar w:fldCharType="end"/>
            </w:r>
          </w:hyperlink>
        </w:p>
        <w:p w14:paraId="2A8FA810" w14:textId="01420907" w:rsidR="00293369" w:rsidRDefault="00293369">
          <w:pPr>
            <w:pStyle w:val="TOC1"/>
            <w:tabs>
              <w:tab w:val="right" w:leader="dot" w:pos="9016"/>
            </w:tabs>
            <w:rPr>
              <w:noProof/>
            </w:rPr>
          </w:pPr>
          <w:hyperlink w:anchor="_Toc214091488" w:history="1">
            <w:r w:rsidRPr="001A0EB2">
              <w:rPr>
                <w:rStyle w:val="Hyperlink"/>
                <w:noProof/>
              </w:rPr>
              <w:t>Referenc</w:t>
            </w:r>
            <w:r w:rsidRPr="001A0EB2">
              <w:rPr>
                <w:rStyle w:val="Hyperlink"/>
                <w:noProof/>
              </w:rPr>
              <w:t>e</w:t>
            </w:r>
            <w:r w:rsidRPr="001A0EB2">
              <w:rPr>
                <w:rStyle w:val="Hyperlink"/>
                <w:noProof/>
              </w:rPr>
              <w:t>s</w:t>
            </w:r>
            <w:r>
              <w:rPr>
                <w:noProof/>
                <w:webHidden/>
              </w:rPr>
              <w:tab/>
            </w:r>
            <w:r>
              <w:rPr>
                <w:noProof/>
                <w:webHidden/>
              </w:rPr>
              <w:fldChar w:fldCharType="begin"/>
            </w:r>
            <w:r>
              <w:rPr>
                <w:noProof/>
                <w:webHidden/>
              </w:rPr>
              <w:instrText xml:space="preserve"> PAGEREF _Toc214091488 \h </w:instrText>
            </w:r>
            <w:r>
              <w:rPr>
                <w:noProof/>
                <w:webHidden/>
              </w:rPr>
            </w:r>
            <w:r>
              <w:rPr>
                <w:noProof/>
                <w:webHidden/>
              </w:rPr>
              <w:fldChar w:fldCharType="separate"/>
            </w:r>
            <w:r>
              <w:rPr>
                <w:noProof/>
                <w:webHidden/>
              </w:rPr>
              <w:t>7</w:t>
            </w:r>
            <w:r>
              <w:rPr>
                <w:noProof/>
                <w:webHidden/>
              </w:rPr>
              <w:fldChar w:fldCharType="end"/>
            </w:r>
          </w:hyperlink>
        </w:p>
        <w:p w14:paraId="6CEEBB36" w14:textId="5D61132E" w:rsidR="00293369" w:rsidRDefault="00293369">
          <w:r>
            <w:rPr>
              <w:b/>
              <w:bCs/>
              <w:noProof/>
            </w:rPr>
            <w:fldChar w:fldCharType="end"/>
          </w:r>
        </w:p>
      </w:sdtContent>
    </w:sdt>
    <w:p w14:paraId="203EA1FE" w14:textId="77777777" w:rsidR="0037688A" w:rsidRDefault="0037688A">
      <w:pPr>
        <w:spacing w:line="278" w:lineRule="auto"/>
        <w:jc w:val="left"/>
        <w:rPr>
          <w:rFonts w:eastAsiaTheme="majorEastAsia"/>
          <w:b/>
          <w:bCs/>
          <w:sz w:val="28"/>
          <w:szCs w:val="28"/>
        </w:rPr>
      </w:pPr>
      <w:r>
        <w:br w:type="page"/>
      </w:r>
    </w:p>
    <w:p w14:paraId="2AE39EAA" w14:textId="36240E20" w:rsidR="00FB160B" w:rsidRPr="00345144" w:rsidRDefault="00FB160B" w:rsidP="00345144">
      <w:pPr>
        <w:pStyle w:val="Heading1"/>
      </w:pPr>
      <w:bookmarkStart w:id="0" w:name="_Toc214091478"/>
      <w:r w:rsidRPr="00345144">
        <w:lastRenderedPageBreak/>
        <w:t>1. Introduction</w:t>
      </w:r>
      <w:bookmarkEnd w:id="0"/>
    </w:p>
    <w:p w14:paraId="3ED506C0" w14:textId="1E8E6621" w:rsidR="00FB160B" w:rsidRDefault="00FB160B" w:rsidP="00FB160B">
      <w:r w:rsidRPr="00FB160B">
        <w:t xml:space="preserve">Dyson Ltd is a prominent British technology and innovation enterprise established by Sir James Dyson in 1991. The firm, based in </w:t>
      </w:r>
      <w:proofErr w:type="spellStart"/>
      <w:r w:rsidRPr="00FB160B">
        <w:t>Malmesbury</w:t>
      </w:r>
      <w:proofErr w:type="spellEnd"/>
      <w:r w:rsidRPr="00FB160B">
        <w:t xml:space="preserve">, Wiltshire, focusses </w:t>
      </w:r>
      <w:proofErr w:type="gramStart"/>
      <w:r w:rsidRPr="00FB160B">
        <w:t>in</w:t>
      </w:r>
      <w:proofErr w:type="gramEnd"/>
      <w:r w:rsidRPr="00FB160B">
        <w:t xml:space="preserve"> sophisticated home equipment such as </w:t>
      </w:r>
      <w:proofErr w:type="gramStart"/>
      <w:r w:rsidRPr="00FB160B">
        <w:t>hoover</w:t>
      </w:r>
      <w:proofErr w:type="gramEnd"/>
      <w:r w:rsidRPr="00FB160B">
        <w:t xml:space="preserve"> cleaners, air purifiers, haircare devices and hand dryers. Dyson distinguishes itself via engineering-driven innovation, bolstered by significant research and development expenditure and a robust worldwide patent portfolio (Dyson, 2024). Its premium price approach and technological leadership firmly establish it inside the high-end appliance industry, competing with names like as Philips, </w:t>
      </w:r>
      <w:proofErr w:type="spellStart"/>
      <w:r w:rsidRPr="00FB160B">
        <w:t>SharkNinja</w:t>
      </w:r>
      <w:proofErr w:type="spellEnd"/>
      <w:r w:rsidRPr="00FB160B">
        <w:t>, and Hoover.</w:t>
      </w:r>
    </w:p>
    <w:p w14:paraId="645D9ECD" w14:textId="30662171" w:rsidR="00345144" w:rsidRPr="00345144" w:rsidRDefault="00345144" w:rsidP="00345144">
      <w:r w:rsidRPr="00345144">
        <w:t xml:space="preserve">This </w:t>
      </w:r>
      <w:r>
        <w:t>report</w:t>
      </w:r>
      <w:r w:rsidRPr="00345144">
        <w:t xml:space="preserve"> provides a PESTLE analysis (Wild and Wild, 2022) of Dyson to assess the external variables affecting its operations and marketing strategies. The research seeks to identify possibilities and obstacles in the macro-environment and evaluate Dyson's strategic orientation.</w:t>
      </w:r>
    </w:p>
    <w:p w14:paraId="3348CC9D" w14:textId="77777777" w:rsidR="00FB160B" w:rsidRPr="00FB160B" w:rsidRDefault="00FB160B" w:rsidP="00345144">
      <w:pPr>
        <w:pStyle w:val="Heading1"/>
      </w:pPr>
      <w:bookmarkStart w:id="1" w:name="_Toc214091479"/>
      <w:r w:rsidRPr="00FB160B">
        <w:t>2. Situational Analysis: PESTLE Analysis of Dyson Ltd</w:t>
      </w:r>
      <w:bookmarkEnd w:id="1"/>
    </w:p>
    <w:p w14:paraId="0ADE7190" w14:textId="77777777" w:rsidR="00FB160B" w:rsidRPr="00345144" w:rsidRDefault="00FB160B" w:rsidP="00345144">
      <w:pPr>
        <w:pStyle w:val="Heading2"/>
      </w:pPr>
      <w:bookmarkStart w:id="2" w:name="_Toc214091480"/>
      <w:r w:rsidRPr="00345144">
        <w:t>2.1 Political Factors</w:t>
      </w:r>
      <w:bookmarkEnd w:id="2"/>
    </w:p>
    <w:p w14:paraId="64410091" w14:textId="77777777" w:rsidR="00345144" w:rsidRPr="00345144" w:rsidRDefault="00345144" w:rsidP="00345144">
      <w:r w:rsidRPr="00345144">
        <w:t>Dyson functions under many political and regulatory contexts. Brexit has exacerbated customs complexity and trade friction for UK companies, possibly impacting Dyson's supply chain efficiency and access to the EU market (BBC, 2021). Dyson's 2019 intention to move its worldwide headquarters to Singapore signifies a strategic shift towards Asia's expanding markets and a diminished dependence on UK political circumstances.</w:t>
      </w:r>
    </w:p>
    <w:p w14:paraId="6F1737C3" w14:textId="7F9C46D3" w:rsidR="00345144" w:rsidRPr="006E2957" w:rsidRDefault="00345144" w:rsidP="00345144">
      <w:r w:rsidRPr="00345144">
        <w:t>Government incentives, including UK R&amp;D tax credits, persist in facilitating Dyson's investment in technical innovation (</w:t>
      </w:r>
      <w:r w:rsidR="006E2957" w:rsidRPr="006E2957">
        <w:t>Dyson Technology Limited, 2024</w:t>
      </w:r>
      <w:r w:rsidRPr="00345144">
        <w:t xml:space="preserve">). However, political instability and protectionist measures in significant areas may hinder global business. Competitors based outside the UK, like </w:t>
      </w:r>
      <w:proofErr w:type="spellStart"/>
      <w:r w:rsidRPr="00345144">
        <w:t>SharkNinja</w:t>
      </w:r>
      <w:proofErr w:type="spellEnd"/>
      <w:r w:rsidRPr="00345144">
        <w:t xml:space="preserve">, may encounter less political obstacles, underscoring the necessity for Dyson to enhance its regional diversification. </w:t>
      </w:r>
    </w:p>
    <w:p w14:paraId="58B15D5B" w14:textId="1B2ED7BD" w:rsidR="00FB160B" w:rsidRPr="00FB160B" w:rsidRDefault="00FB160B" w:rsidP="00345144">
      <w:pPr>
        <w:pStyle w:val="Heading2"/>
      </w:pPr>
      <w:bookmarkStart w:id="3" w:name="_Toc214091481"/>
      <w:r w:rsidRPr="00FB160B">
        <w:t>2.2 Economic Factors</w:t>
      </w:r>
      <w:bookmarkEnd w:id="3"/>
    </w:p>
    <w:p w14:paraId="0D8689B6" w14:textId="77777777" w:rsidR="006E2957" w:rsidRDefault="006E2957" w:rsidP="00FB160B">
      <w:r w:rsidRPr="006E2957">
        <w:t xml:space="preserve">Dyson's upscale product range leaves it particularly vulnerable to fluctuations in global economic conditions. Increasing inflation and diminishing disposable income in the UK and Europe have decreased consumer expenditure on non-essential luxury items (ONS, 2024). </w:t>
      </w:r>
    </w:p>
    <w:p w14:paraId="62B0F82C" w14:textId="06B4AF5B" w:rsidR="006E2957" w:rsidRDefault="006E2957" w:rsidP="00FB160B">
      <w:r w:rsidRPr="006E2957">
        <w:t>Consequently, Dyson encounters competition from affordable rivals providing more economical options (</w:t>
      </w:r>
      <w:proofErr w:type="gramStart"/>
      <w:r w:rsidR="00C42933">
        <w:t>Mintel ,</w:t>
      </w:r>
      <w:proofErr w:type="gramEnd"/>
      <w:r w:rsidR="00C42933">
        <w:t xml:space="preserve"> 2025</w:t>
      </w:r>
      <w:r w:rsidRPr="006E2957">
        <w:t xml:space="preserve">). Notwithstanding these limitations, rising regions like China and Southeast Asia provide substantial prospects. The rise in middle-class wages and </w:t>
      </w:r>
      <w:r w:rsidRPr="006E2957">
        <w:lastRenderedPageBreak/>
        <w:t>heightened demand for smart-home technology bolster Dyson's growth initiatives. Highlighting product longevity, performance, and long-term value is fundamental to Dyson's economic strategy.</w:t>
      </w:r>
    </w:p>
    <w:p w14:paraId="4825E2CC" w14:textId="65F4280A" w:rsidR="00FB160B" w:rsidRPr="00FB160B" w:rsidRDefault="00FB160B" w:rsidP="006E2957">
      <w:pPr>
        <w:pStyle w:val="Heading2"/>
      </w:pPr>
      <w:bookmarkStart w:id="4" w:name="_Toc214091482"/>
      <w:r w:rsidRPr="00FB160B">
        <w:t>2.3 Social Factors</w:t>
      </w:r>
      <w:bookmarkEnd w:id="4"/>
    </w:p>
    <w:p w14:paraId="2A9F7DAC" w14:textId="17F6EDE4" w:rsidR="006E2957" w:rsidRDefault="006E2957" w:rsidP="006E2957">
      <w:r w:rsidRPr="006E2957">
        <w:t>Changing customer perspectives, especially heightened awareness about hygiene, wellness, and sustainability, significantly impact Dyson's marketing approach (</w:t>
      </w:r>
      <w:proofErr w:type="gramStart"/>
      <w:r w:rsidR="00C42933">
        <w:t>Mintel ,</w:t>
      </w:r>
      <w:proofErr w:type="gramEnd"/>
      <w:r w:rsidR="00C42933">
        <w:t xml:space="preserve"> 2025</w:t>
      </w:r>
      <w:r w:rsidRPr="006E2957">
        <w:t xml:space="preserve">). Products like air purifiers and contactless hand dryers closely correspond with increased health consciousness following the outbreak. </w:t>
      </w:r>
    </w:p>
    <w:p w14:paraId="03A7E074" w14:textId="624AED3A" w:rsidR="006E2957" w:rsidRPr="006E2957" w:rsidRDefault="006E2957" w:rsidP="006E2957">
      <w:r w:rsidRPr="006E2957">
        <w:t xml:space="preserve">Digital contribution significantly influences customer views, while Dyson utilises influencer collaborations and lifestyle-oriented marketing, rivals like </w:t>
      </w:r>
      <w:proofErr w:type="spellStart"/>
      <w:r w:rsidRPr="006E2957">
        <w:t>SharkNinja</w:t>
      </w:r>
      <w:proofErr w:type="spellEnd"/>
      <w:r w:rsidRPr="006E2957">
        <w:t xml:space="preserve"> have thrived by capitalising on user-generated content and social media virality (</w:t>
      </w:r>
      <w:proofErr w:type="gramStart"/>
      <w:r w:rsidR="00C42933">
        <w:t>Mintel ,</w:t>
      </w:r>
      <w:proofErr w:type="gramEnd"/>
      <w:r w:rsidR="00C42933">
        <w:t xml:space="preserve"> 2025</w:t>
      </w:r>
      <w:r w:rsidRPr="006E2957">
        <w:t>). Enhancing digital interaction may broaden Dyson's attractiveness to younger and value-conscious consumers.</w:t>
      </w:r>
    </w:p>
    <w:p w14:paraId="55E0B243" w14:textId="77777777" w:rsidR="00FB160B" w:rsidRPr="00FB160B" w:rsidRDefault="00FB160B" w:rsidP="00E56687">
      <w:pPr>
        <w:pStyle w:val="Heading2"/>
      </w:pPr>
      <w:bookmarkStart w:id="5" w:name="_Toc214091483"/>
      <w:r w:rsidRPr="00FB160B">
        <w:t>2.4 Technological Factors</w:t>
      </w:r>
      <w:bookmarkEnd w:id="5"/>
    </w:p>
    <w:p w14:paraId="6E8CAFA8" w14:textId="77777777" w:rsidR="00E56687" w:rsidRDefault="00E56687" w:rsidP="00E56687">
      <w:r w:rsidRPr="00E56687">
        <w:t xml:space="preserve">Innovation continues to be Dyson's most important edge over rivals. The corporation allocated </w:t>
      </w:r>
      <w:proofErr w:type="gramStart"/>
      <w:r w:rsidRPr="00E56687">
        <w:t>in excess of</w:t>
      </w:r>
      <w:proofErr w:type="gramEnd"/>
      <w:r w:rsidRPr="00E56687">
        <w:t xml:space="preserve"> £3 billion to research and development from 2020 to 2023, facilitating progress in robotics, artificial intelligence, and energy-efficient motor technology (Dyson Technology </w:t>
      </w:r>
      <w:proofErr w:type="gramStart"/>
      <w:r w:rsidRPr="00E56687">
        <w:t>Limited ,</w:t>
      </w:r>
      <w:proofErr w:type="gramEnd"/>
      <w:r w:rsidRPr="00E56687">
        <w:t xml:space="preserve"> 2024). The Dyson Institute of Engineering and Technology underscores the company's dedication to cultivating future engineering talent (Dyson Institute, 2024). </w:t>
      </w:r>
    </w:p>
    <w:p w14:paraId="0EFCA3A3" w14:textId="7A951D10" w:rsidR="00E56687" w:rsidRPr="00E56687" w:rsidRDefault="00E56687" w:rsidP="00E56687">
      <w:r w:rsidRPr="00E56687">
        <w:t>Nonetheless, competition in smart-home integration is increasing. Philips has achieved significant advancements in creating interconnected home ecosystems (</w:t>
      </w:r>
      <w:r>
        <w:t>Royal Philips, 2023</w:t>
      </w:r>
      <w:r w:rsidRPr="00E56687">
        <w:t>). To sustain its leadership, Dyson must expedite product development cycles and improve compatibility with smart-home platforms.</w:t>
      </w:r>
    </w:p>
    <w:p w14:paraId="09ACE4ED" w14:textId="77777777" w:rsidR="00FB160B" w:rsidRPr="00FB160B" w:rsidRDefault="00FB160B" w:rsidP="00E56687">
      <w:pPr>
        <w:pStyle w:val="Heading2"/>
      </w:pPr>
      <w:bookmarkStart w:id="6" w:name="_Toc214091484"/>
      <w:r w:rsidRPr="00FB160B">
        <w:t>2.5 Legal Factors</w:t>
      </w:r>
      <w:bookmarkEnd w:id="6"/>
    </w:p>
    <w:p w14:paraId="2C70274D" w14:textId="77777777" w:rsidR="00E56687" w:rsidRDefault="00E56687" w:rsidP="00E56687">
      <w:r w:rsidRPr="00E56687">
        <w:t>Dyson complies to rigorous legal regulations including product safety, consumer rights, data protection, and intellectual property. The corporation regularly safeguards its patents to avoid the replication of its technology, underscoring the tactical value of intellectual property protection (Dyson Technology Limited, 2024). </w:t>
      </w:r>
    </w:p>
    <w:p w14:paraId="3CAFFB9D" w14:textId="2E3B412C" w:rsidR="00E56687" w:rsidRPr="00E56687" w:rsidRDefault="00E56687" w:rsidP="00E56687">
      <w:r w:rsidRPr="00E56687">
        <w:t xml:space="preserve">Increasing regulatory pressures, especially concerning sustainability reporting and materials compliance, necessitate ongoing adjustments in manufacturing and supply chain operations. </w:t>
      </w:r>
      <w:r w:rsidRPr="00E56687">
        <w:lastRenderedPageBreak/>
        <w:t>Companies with more extensive compliance infrastructures may execute these adjustments more swiftly, highlighting Dyson's necessity for regulatory agility (</w:t>
      </w:r>
      <w:r>
        <w:t>Royal Philips, 2023</w:t>
      </w:r>
      <w:r w:rsidRPr="00E56687">
        <w:t>).</w:t>
      </w:r>
    </w:p>
    <w:p w14:paraId="39CE3CDD" w14:textId="77777777" w:rsidR="00FB160B" w:rsidRPr="00FB160B" w:rsidRDefault="00FB160B" w:rsidP="00E56687">
      <w:pPr>
        <w:pStyle w:val="Heading2"/>
      </w:pPr>
      <w:bookmarkStart w:id="7" w:name="_Toc214091485"/>
      <w:r w:rsidRPr="00FB160B">
        <w:t>2.6 Environmental Factors</w:t>
      </w:r>
      <w:bookmarkEnd w:id="7"/>
    </w:p>
    <w:p w14:paraId="5771EB69" w14:textId="7CE5A046" w:rsidR="00E56687" w:rsidRPr="00E56687" w:rsidRDefault="00E56687" w:rsidP="00E56687">
      <w:r w:rsidRPr="00E56687">
        <w:t>Environmental sustainability is becoming increasingly central to Dyson's approach. The corporation has pledged to decrease carbon emissions, eradicate single-use plastics, and enhance the utilisation of recyclable resources (Dyson Technology Limited, 2024). These activities correspond with customer anticipations for environmentally friendly brands. Nonetheless, several competitors, such Philips, provide more extensive sustainability reporting (</w:t>
      </w:r>
      <w:r>
        <w:t>Royal Philips, 2023</w:t>
      </w:r>
      <w:r w:rsidRPr="00E56687">
        <w:t>). Enhancing transparency and expediting investment in renewable materials will bolster Dyson's environmental credentials.</w:t>
      </w:r>
    </w:p>
    <w:p w14:paraId="466D43A6" w14:textId="77777777" w:rsidR="00FB160B" w:rsidRPr="00FB160B" w:rsidRDefault="00FB160B" w:rsidP="00E56687">
      <w:pPr>
        <w:pStyle w:val="Heading1"/>
      </w:pPr>
      <w:bookmarkStart w:id="8" w:name="_Toc214091486"/>
      <w:r w:rsidRPr="00FB160B">
        <w:t>3. Critical Analysis and Evaluation</w:t>
      </w:r>
      <w:bookmarkEnd w:id="8"/>
    </w:p>
    <w:p w14:paraId="69FB52E8" w14:textId="77777777" w:rsidR="00E56687" w:rsidRPr="00E56687" w:rsidRDefault="00E56687" w:rsidP="00E56687">
      <w:r w:rsidRPr="00E56687">
        <w:t>The revised PESTLE analysis reveals that Dyson functions within a competitive and rapidly changing environment. The incorporation of further competition information indicates that Dyson's differentiation approach is being confronted by competitors providing superior performance at reduced pricing, accelerated innovation cycles, and more effective sustainability messaging.</w:t>
      </w:r>
    </w:p>
    <w:p w14:paraId="6325A173" w14:textId="7A5F38DC" w:rsidR="00DE4B71" w:rsidRPr="00DE4B71" w:rsidRDefault="00DE4B71" w:rsidP="00DE4B71">
      <w:r w:rsidRPr="00DE4B71">
        <w:t xml:space="preserve">According to the Resource-Based View (RBV) (Grant, 2021; Teece, 2018), Dyson's research and development expertise and exclusive digital motor technology constitute VRIN (valuable, rare, inimitable, non-substitutable) resources that provide constant competitive advantage (Barney, 1991). Competitors like </w:t>
      </w:r>
      <w:proofErr w:type="spellStart"/>
      <w:r w:rsidRPr="00DE4B71">
        <w:t>SharkNinja</w:t>
      </w:r>
      <w:proofErr w:type="spellEnd"/>
      <w:r w:rsidRPr="00DE4B71">
        <w:t xml:space="preserve"> exhibit rapid innovation cycles and agile product development, allowing them to swiftly replicate user-friendly features and launch enhanced versions with more frequency (</w:t>
      </w:r>
      <w:proofErr w:type="gramStart"/>
      <w:r w:rsidR="00C42933">
        <w:t>Mintel ,</w:t>
      </w:r>
      <w:proofErr w:type="gramEnd"/>
      <w:r w:rsidR="00C42933">
        <w:t xml:space="preserve"> 2025</w:t>
      </w:r>
      <w:r w:rsidRPr="00DE4B71">
        <w:t>). This defies Dyson's conventional, gradual, premium-oriented innovation paradigm.</w:t>
      </w:r>
    </w:p>
    <w:p w14:paraId="3D8748AA" w14:textId="77777777" w:rsidR="00DE4B71" w:rsidRPr="00DE4B71" w:rsidRDefault="00DE4B71" w:rsidP="00DE4B71">
      <w:proofErr w:type="spellStart"/>
      <w:r w:rsidRPr="00DE4B71">
        <w:t>SharkNinja</w:t>
      </w:r>
      <w:proofErr w:type="spellEnd"/>
      <w:r w:rsidRPr="00DE4B71">
        <w:t xml:space="preserve"> employs a hybrid strategy, providing great performance at moderate pricing, enabling them to attract budget-conscious consumers during economic recessions. This highlights a strategic vulnerability in Dyson's reliance on premium pricing; under Porter's differentiation model, premium differentiation may alienate price-sensitive consumers (Porter, 1980).</w:t>
      </w:r>
    </w:p>
    <w:p w14:paraId="45EC90CA" w14:textId="7D51D4FF" w:rsidR="00FB160B" w:rsidRPr="00FB160B" w:rsidRDefault="00DE4B71" w:rsidP="00FB160B">
      <w:r w:rsidRPr="00DE4B71">
        <w:t xml:space="preserve">In contrast, Philips competes by using robust credibility in health technologies and sustainability. Philips' air purifiers and environmental reporting frameworks are among the most open in the industry (Royal Philips, 2023). This reveals Dyson's somewhat restricted </w:t>
      </w:r>
      <w:r w:rsidRPr="00DE4B71">
        <w:lastRenderedPageBreak/>
        <w:t>sustainability disclosures and indicates a competitive deficiency in CSR communication. According to Carroll’s CSR Pyramid (Carroll, 1991; Dana et al., 2022), Philips has superior performance in the ethical and philanthropic dimensions.</w:t>
      </w:r>
    </w:p>
    <w:p w14:paraId="54531BCB" w14:textId="7373D29D" w:rsidR="00C42933" w:rsidRDefault="00C42933" w:rsidP="00C42933">
      <w:r w:rsidRPr="00C42933">
        <w:t>Hoover, while being an established and less innovative brand, sustains its competitiveness through cost-effectiveness and mass-market positioning. Hoover goods attract consumers that prioritise cost over sophisticated engineering. As inflation diminishes disposable income, Hoover’s price strategy becomes increasingly appealing, jeopardising Dyson’s market position among lower-income consumers (</w:t>
      </w:r>
      <w:proofErr w:type="gramStart"/>
      <w:r>
        <w:t>Mintel ,</w:t>
      </w:r>
      <w:proofErr w:type="gramEnd"/>
      <w:r>
        <w:t xml:space="preserve"> 2025</w:t>
      </w:r>
      <w:r w:rsidRPr="00C42933">
        <w:t xml:space="preserve">). </w:t>
      </w:r>
      <w:r>
        <w:t xml:space="preserve"> </w:t>
      </w:r>
    </w:p>
    <w:p w14:paraId="242ED4AB" w14:textId="07BC0D33" w:rsidR="00C42933" w:rsidRPr="00C42933" w:rsidRDefault="00C42933" w:rsidP="00C42933">
      <w:r w:rsidRPr="00C42933">
        <w:t>Dyson's competitive position remains robust owing to its innovative capabilities, but less dominating than in the past. Competitors thrive in agility, cost-effectiveness, and sustainability—domains where Dyson must enhance its performance to maintain long-term differentiation.</w:t>
      </w:r>
    </w:p>
    <w:p w14:paraId="3B3EEE9B" w14:textId="77777777" w:rsidR="00FB160B" w:rsidRPr="00FB160B" w:rsidRDefault="00FB160B" w:rsidP="00C42933">
      <w:pPr>
        <w:pStyle w:val="Heading1"/>
      </w:pPr>
      <w:bookmarkStart w:id="9" w:name="_Toc214091487"/>
      <w:r w:rsidRPr="00FB160B">
        <w:t>4. Conclusion and Recommendations</w:t>
      </w:r>
      <w:bookmarkEnd w:id="9"/>
    </w:p>
    <w:p w14:paraId="16AB8E7D" w14:textId="39FCFBDF" w:rsidR="00C42933" w:rsidRPr="00C42933" w:rsidRDefault="00C42933" w:rsidP="00C42933">
      <w:r w:rsidRPr="00C42933">
        <w:t xml:space="preserve">Dyson's premium differentiation approach persists robustly; </w:t>
      </w:r>
      <w:proofErr w:type="gramStart"/>
      <w:r w:rsidRPr="00C42933">
        <w:t>yet,</w:t>
      </w:r>
      <w:proofErr w:type="gramEnd"/>
      <w:r w:rsidRPr="00C42933">
        <w:t xml:space="preserve"> it faces growing competition from flexible, mid-priced rivals like </w:t>
      </w:r>
      <w:proofErr w:type="spellStart"/>
      <w:r w:rsidRPr="00C42933">
        <w:t>SharkNinja</w:t>
      </w:r>
      <w:proofErr w:type="spellEnd"/>
      <w:r w:rsidRPr="00C42933">
        <w:t xml:space="preserve"> and Hoover (</w:t>
      </w:r>
      <w:proofErr w:type="gramStart"/>
      <w:r>
        <w:t>Mintel ,</w:t>
      </w:r>
      <w:proofErr w:type="gramEnd"/>
      <w:r>
        <w:t xml:space="preserve"> 2025</w:t>
      </w:r>
      <w:r w:rsidRPr="00C42933">
        <w:t>). Philips' exemplary sustainability reporting and sophisticated smart-home integration underscore weaknesses in Dyson's environmental transparency and technology framework (Royal Philips, 2023). Moreover, economic instability and inflation intensify the dangers linked to Dyson's dependence on premium product lines.</w:t>
      </w:r>
    </w:p>
    <w:p w14:paraId="6FC7AEFF" w14:textId="0F442957" w:rsidR="005174D3" w:rsidRPr="005174D3" w:rsidRDefault="005174D3" w:rsidP="005174D3">
      <w:pPr>
        <w:rPr>
          <w:lang w:eastAsia="en-GB"/>
        </w:rPr>
      </w:pPr>
      <w:r w:rsidRPr="005174D3">
        <w:rPr>
          <w:lang w:eastAsia="en-GB"/>
        </w:rPr>
        <w:t>These steps will assist Dyson in strengthening its uniqueness while handling issues of affordability, agility, and sustainability.</w:t>
      </w:r>
    </w:p>
    <w:p w14:paraId="37C82E2F" w14:textId="77777777" w:rsidR="005174D3" w:rsidRDefault="00C42933" w:rsidP="00C42933">
      <w:pPr>
        <w:pStyle w:val="ListParagraph"/>
        <w:numPr>
          <w:ilvl w:val="0"/>
          <w:numId w:val="6"/>
        </w:numPr>
      </w:pPr>
      <w:r w:rsidRPr="00C42933">
        <w:t xml:space="preserve">Launch a mid-range product line, such as a streamlined 'Dyson Lite' cordless vacuum, to mitigate affordability issues (Hitt, Ireland, and </w:t>
      </w:r>
      <w:proofErr w:type="spellStart"/>
      <w:r w:rsidRPr="00C42933">
        <w:t>Hoskisson</w:t>
      </w:r>
      <w:proofErr w:type="spellEnd"/>
      <w:r w:rsidRPr="00C42933">
        <w:t>, 2020). </w:t>
      </w:r>
    </w:p>
    <w:p w14:paraId="4C5880B5" w14:textId="77777777" w:rsidR="005174D3" w:rsidRDefault="00C42933" w:rsidP="00C42933">
      <w:pPr>
        <w:pStyle w:val="ListParagraph"/>
        <w:numPr>
          <w:ilvl w:val="0"/>
          <w:numId w:val="6"/>
        </w:numPr>
      </w:pPr>
      <w:r w:rsidRPr="00C42933">
        <w:t>Enhance app connection, IoT capabilities, and AI-driven automation to expedite smart-home integration and compete with Philips. </w:t>
      </w:r>
    </w:p>
    <w:p w14:paraId="2F7BEF51" w14:textId="77777777" w:rsidR="005174D3" w:rsidRDefault="00C42933" w:rsidP="00C42933">
      <w:pPr>
        <w:pStyle w:val="ListParagraph"/>
        <w:numPr>
          <w:ilvl w:val="0"/>
          <w:numId w:val="6"/>
        </w:numPr>
      </w:pPr>
      <w:r w:rsidRPr="00C42933">
        <w:t>Enhance sustainability transparency via comprehensive environmental reporting and circular economy efforts. </w:t>
      </w:r>
    </w:p>
    <w:p w14:paraId="3CB7C936" w14:textId="730E9BA0" w:rsidR="005174D3" w:rsidRDefault="00C42933" w:rsidP="00C42933">
      <w:pPr>
        <w:pStyle w:val="ListParagraph"/>
        <w:numPr>
          <w:ilvl w:val="0"/>
          <w:numId w:val="6"/>
        </w:numPr>
      </w:pPr>
      <w:r w:rsidRPr="00C42933">
        <w:t>Utilise dynamic skills to implement accelerated innovation cycles (Teece, 20</w:t>
      </w:r>
      <w:r w:rsidR="005174D3">
        <w:t>19</w:t>
      </w:r>
      <w:r w:rsidRPr="00C42933">
        <w:t>). </w:t>
      </w:r>
    </w:p>
    <w:p w14:paraId="6243B86A" w14:textId="4098B07F" w:rsidR="00C42933" w:rsidRPr="00C42933" w:rsidRDefault="00C42933" w:rsidP="00C42933">
      <w:pPr>
        <w:pStyle w:val="ListParagraph"/>
        <w:numPr>
          <w:ilvl w:val="0"/>
          <w:numId w:val="6"/>
        </w:numPr>
      </w:pPr>
      <w:r w:rsidRPr="00C42933">
        <w:t>Diversify production and logistics to mitigate political and supply chain risks linked to Brexit (BBC, 2021).</w:t>
      </w:r>
    </w:p>
    <w:p w14:paraId="55E6D6F4" w14:textId="097D54A5" w:rsidR="005174D3" w:rsidRPr="005174D3" w:rsidRDefault="005174D3" w:rsidP="005174D3">
      <w:pPr>
        <w:rPr>
          <w:lang w:eastAsia="en-GB"/>
        </w:rPr>
      </w:pPr>
      <w:r w:rsidRPr="005174D3">
        <w:rPr>
          <w:lang w:eastAsia="en-GB"/>
        </w:rPr>
        <w:lastRenderedPageBreak/>
        <w:t>This PESTLE analysis facilitates strategic decision-making by recognising external opportunities and threats (Wild and Wild, 202</w:t>
      </w:r>
      <w:r>
        <w:rPr>
          <w:lang w:eastAsia="en-GB"/>
        </w:rPr>
        <w:t>2</w:t>
      </w:r>
      <w:proofErr w:type="gramStart"/>
      <w:r w:rsidRPr="005174D3">
        <w:rPr>
          <w:lang w:eastAsia="en-GB"/>
        </w:rPr>
        <w:t>)</w:t>
      </w:r>
      <w:r>
        <w:rPr>
          <w:lang w:eastAsia="en-GB"/>
        </w:rPr>
        <w:t>,</w:t>
      </w:r>
      <w:proofErr w:type="gramEnd"/>
      <w:r>
        <w:rPr>
          <w:lang w:eastAsia="en-GB"/>
        </w:rPr>
        <w:t xml:space="preserve"> however </w:t>
      </w:r>
      <w:r w:rsidRPr="005174D3">
        <w:rPr>
          <w:lang w:eastAsia="en-GB"/>
        </w:rPr>
        <w:t>Dyson must consistently examine technical innovations, regulatory mandates, and customer demands to sustain market competitiveness.</w:t>
      </w:r>
    </w:p>
    <w:p w14:paraId="1FD00F10" w14:textId="77777777" w:rsidR="00DE4B71" w:rsidRDefault="00DE4B71">
      <w:pPr>
        <w:spacing w:line="278" w:lineRule="auto"/>
        <w:jc w:val="left"/>
        <w:rPr>
          <w:rFonts w:eastAsiaTheme="majorEastAsia"/>
          <w:b/>
          <w:bCs/>
          <w:sz w:val="28"/>
          <w:szCs w:val="28"/>
        </w:rPr>
      </w:pPr>
      <w:r>
        <w:br w:type="page"/>
      </w:r>
    </w:p>
    <w:p w14:paraId="6E647D52" w14:textId="6454AF25" w:rsidR="00FB160B" w:rsidRPr="00FB160B" w:rsidRDefault="00FB160B" w:rsidP="00DE4B71">
      <w:pPr>
        <w:pStyle w:val="Heading1"/>
      </w:pPr>
      <w:bookmarkStart w:id="10" w:name="_Toc214091488"/>
      <w:r w:rsidRPr="00FB160B">
        <w:lastRenderedPageBreak/>
        <w:t>References</w:t>
      </w:r>
      <w:bookmarkEnd w:id="10"/>
    </w:p>
    <w:p w14:paraId="2EB496F3" w14:textId="77777777" w:rsidR="002B6FD0" w:rsidRPr="002B6FD0" w:rsidRDefault="002B6FD0" w:rsidP="002B6FD0">
      <w:r w:rsidRPr="002B6FD0">
        <w:rPr>
          <w:b/>
          <w:bCs/>
        </w:rPr>
        <w:t>Barney, J. (1991)</w:t>
      </w:r>
      <w:r w:rsidRPr="002B6FD0">
        <w:t xml:space="preserve"> ‘Firm resources and sustained competitive advantage’, </w:t>
      </w:r>
      <w:r w:rsidRPr="002B6FD0">
        <w:rPr>
          <w:i/>
          <w:iCs/>
        </w:rPr>
        <w:t>Journal of Management</w:t>
      </w:r>
      <w:r w:rsidRPr="002B6FD0">
        <w:t>, 17(1), pp. 99–120.</w:t>
      </w:r>
    </w:p>
    <w:p w14:paraId="610FB30E" w14:textId="77777777" w:rsidR="002B6FD0" w:rsidRPr="002B6FD0" w:rsidRDefault="002B6FD0" w:rsidP="002B6FD0">
      <w:r w:rsidRPr="002B6FD0">
        <w:rPr>
          <w:b/>
          <w:bCs/>
        </w:rPr>
        <w:t>BBC News</w:t>
      </w:r>
      <w:r w:rsidRPr="002B6FD0">
        <w:t xml:space="preserve"> (2021) </w:t>
      </w:r>
      <w:r w:rsidRPr="002B6FD0">
        <w:rPr>
          <w:i/>
          <w:iCs/>
        </w:rPr>
        <w:t>James Dyson says Brexit has given him “freedom”</w:t>
      </w:r>
      <w:r w:rsidRPr="002B6FD0">
        <w:t xml:space="preserve">. Available at: </w:t>
      </w:r>
      <w:hyperlink r:id="rId7" w:tgtFrame="_new" w:history="1">
        <w:r w:rsidRPr="002B6FD0">
          <w:rPr>
            <w:rStyle w:val="Hyperlink"/>
          </w:rPr>
          <w:t>https://www.bbc.co.uk/news/business-56741000</w:t>
        </w:r>
      </w:hyperlink>
      <w:r w:rsidRPr="002B6FD0">
        <w:t xml:space="preserve"> (Accessed: 12 November 2025).</w:t>
      </w:r>
    </w:p>
    <w:p w14:paraId="32550491" w14:textId="77777777" w:rsidR="002B6FD0" w:rsidRPr="002B6FD0" w:rsidRDefault="002B6FD0" w:rsidP="002B6FD0">
      <w:r w:rsidRPr="002B6FD0">
        <w:rPr>
          <w:b/>
          <w:bCs/>
        </w:rPr>
        <w:t>Carroll, A.B.</w:t>
      </w:r>
      <w:r w:rsidRPr="002B6FD0">
        <w:t xml:space="preserve"> (1991) ‘The pyramid of corporate social responsibility: Toward the moral management of organisational stakeholders’, </w:t>
      </w:r>
      <w:r w:rsidRPr="002B6FD0">
        <w:rPr>
          <w:i/>
          <w:iCs/>
        </w:rPr>
        <w:t>Business Horizons</w:t>
      </w:r>
      <w:r w:rsidRPr="002B6FD0">
        <w:t>, 34(4), pp. 39–48.</w:t>
      </w:r>
    </w:p>
    <w:p w14:paraId="029CF869" w14:textId="77777777" w:rsidR="002B6FD0" w:rsidRPr="002B6FD0" w:rsidRDefault="002B6FD0" w:rsidP="002B6FD0">
      <w:r w:rsidRPr="002B6FD0">
        <w:rPr>
          <w:b/>
          <w:bCs/>
        </w:rPr>
        <w:t xml:space="preserve">Dana, L-P., </w:t>
      </w:r>
      <w:proofErr w:type="spellStart"/>
      <w:r w:rsidRPr="002B6FD0">
        <w:rPr>
          <w:b/>
          <w:bCs/>
        </w:rPr>
        <w:t>Salamzadeh</w:t>
      </w:r>
      <w:proofErr w:type="spellEnd"/>
      <w:r w:rsidRPr="002B6FD0">
        <w:rPr>
          <w:b/>
          <w:bCs/>
        </w:rPr>
        <w:t>, A., Mortazavi, S. and Hadizadeh, M.</w:t>
      </w:r>
      <w:r w:rsidRPr="002B6FD0">
        <w:t xml:space="preserve"> (2022) ‘Investigating the impact of international markets and new digital technologies on business innovation in emerging markets’, </w:t>
      </w:r>
      <w:r w:rsidRPr="002B6FD0">
        <w:rPr>
          <w:i/>
          <w:iCs/>
        </w:rPr>
        <w:t>Sustainability</w:t>
      </w:r>
      <w:r w:rsidRPr="002B6FD0">
        <w:t xml:space="preserve">, 14(2), 983. </w:t>
      </w:r>
      <w:proofErr w:type="spellStart"/>
      <w:r w:rsidRPr="002B6FD0">
        <w:t>doi</w:t>
      </w:r>
      <w:proofErr w:type="spellEnd"/>
      <w:r w:rsidRPr="002B6FD0">
        <w:t>: 10.3390/su14020983.</w:t>
      </w:r>
    </w:p>
    <w:p w14:paraId="5AF27D6E" w14:textId="77777777" w:rsidR="002B6FD0" w:rsidRPr="002B6FD0" w:rsidRDefault="002B6FD0" w:rsidP="002B6FD0">
      <w:r w:rsidRPr="002B6FD0">
        <w:rPr>
          <w:b/>
          <w:bCs/>
        </w:rPr>
        <w:t>Dyson Institute</w:t>
      </w:r>
      <w:r w:rsidRPr="002B6FD0">
        <w:t xml:space="preserve"> (2024) </w:t>
      </w:r>
      <w:r w:rsidRPr="002B6FD0">
        <w:rPr>
          <w:i/>
          <w:iCs/>
        </w:rPr>
        <w:t>Who we are</w:t>
      </w:r>
      <w:r w:rsidRPr="002B6FD0">
        <w:t xml:space="preserve">. Available at: </w:t>
      </w:r>
      <w:hyperlink r:id="rId8" w:tgtFrame="_new" w:history="1">
        <w:r w:rsidRPr="002B6FD0">
          <w:rPr>
            <w:rStyle w:val="Hyperlink"/>
          </w:rPr>
          <w:t>https://www.dysoninstitute.ac.uk/about-us/who-we-are/</w:t>
        </w:r>
      </w:hyperlink>
      <w:r w:rsidRPr="002B6FD0">
        <w:t xml:space="preserve"> (Accessed: 11 November 2025).</w:t>
      </w:r>
    </w:p>
    <w:p w14:paraId="23C2C207" w14:textId="77777777" w:rsidR="002B6FD0" w:rsidRPr="002B6FD0" w:rsidRDefault="002B6FD0" w:rsidP="002B6FD0">
      <w:r w:rsidRPr="002B6FD0">
        <w:rPr>
          <w:b/>
          <w:bCs/>
        </w:rPr>
        <w:t>Dyson Technology Limited</w:t>
      </w:r>
      <w:r w:rsidRPr="002B6FD0">
        <w:t xml:space="preserve"> (2024) </w:t>
      </w:r>
      <w:r w:rsidRPr="002B6FD0">
        <w:rPr>
          <w:i/>
          <w:iCs/>
        </w:rPr>
        <w:t>Corporate Governance Statement for the year ended 31 December 2024</w:t>
      </w:r>
      <w:r w:rsidRPr="002B6FD0">
        <w:t>. Dyson.</w:t>
      </w:r>
    </w:p>
    <w:p w14:paraId="019A4197" w14:textId="77777777" w:rsidR="002B6FD0" w:rsidRPr="002B6FD0" w:rsidRDefault="002B6FD0" w:rsidP="002B6FD0">
      <w:r w:rsidRPr="002B6FD0">
        <w:rPr>
          <w:b/>
          <w:bCs/>
        </w:rPr>
        <w:t>Grant, R.</w:t>
      </w:r>
      <w:r w:rsidRPr="002B6FD0">
        <w:t xml:space="preserve"> (2021) </w:t>
      </w:r>
      <w:r w:rsidRPr="002B6FD0">
        <w:rPr>
          <w:i/>
          <w:iCs/>
        </w:rPr>
        <w:t>Contemporary Strategy Analysis</w:t>
      </w:r>
      <w:r w:rsidRPr="002B6FD0">
        <w:t xml:space="preserve">. 11th </w:t>
      </w:r>
      <w:proofErr w:type="spellStart"/>
      <w:r w:rsidRPr="002B6FD0">
        <w:t>edn</w:t>
      </w:r>
      <w:proofErr w:type="spellEnd"/>
      <w:r w:rsidRPr="002B6FD0">
        <w:t>. Hoboken: Wiley.</w:t>
      </w:r>
    </w:p>
    <w:p w14:paraId="15D2F66E" w14:textId="77777777" w:rsidR="002B6FD0" w:rsidRPr="002B6FD0" w:rsidRDefault="002B6FD0" w:rsidP="002B6FD0">
      <w:r w:rsidRPr="002B6FD0">
        <w:rPr>
          <w:b/>
          <w:bCs/>
        </w:rPr>
        <w:t xml:space="preserve">Hitt, M., Ireland, R. and </w:t>
      </w:r>
      <w:proofErr w:type="spellStart"/>
      <w:r w:rsidRPr="002B6FD0">
        <w:rPr>
          <w:b/>
          <w:bCs/>
        </w:rPr>
        <w:t>Hoskisson</w:t>
      </w:r>
      <w:proofErr w:type="spellEnd"/>
      <w:r w:rsidRPr="002B6FD0">
        <w:rPr>
          <w:b/>
          <w:bCs/>
        </w:rPr>
        <w:t>, R.</w:t>
      </w:r>
      <w:r w:rsidRPr="002B6FD0">
        <w:t xml:space="preserve"> (2020) </w:t>
      </w:r>
      <w:r w:rsidRPr="002B6FD0">
        <w:rPr>
          <w:i/>
          <w:iCs/>
        </w:rPr>
        <w:t>Strategic Management: Competitiveness and Globalization</w:t>
      </w:r>
      <w:r w:rsidRPr="002B6FD0">
        <w:t xml:space="preserve">. 14th </w:t>
      </w:r>
      <w:proofErr w:type="spellStart"/>
      <w:r w:rsidRPr="002B6FD0">
        <w:t>edn</w:t>
      </w:r>
      <w:proofErr w:type="spellEnd"/>
      <w:r w:rsidRPr="002B6FD0">
        <w:t>. Boston: Cengage.</w:t>
      </w:r>
    </w:p>
    <w:p w14:paraId="594492C2" w14:textId="77777777" w:rsidR="002B6FD0" w:rsidRPr="002B6FD0" w:rsidRDefault="002B6FD0" w:rsidP="002B6FD0">
      <w:r w:rsidRPr="002B6FD0">
        <w:rPr>
          <w:b/>
          <w:bCs/>
        </w:rPr>
        <w:t>Mintel</w:t>
      </w:r>
      <w:r w:rsidRPr="002B6FD0">
        <w:t xml:space="preserve"> (2025) </w:t>
      </w:r>
      <w:r w:rsidRPr="002B6FD0">
        <w:rPr>
          <w:i/>
          <w:iCs/>
        </w:rPr>
        <w:t>UK Major Domestic Appliances Market Report 2024–29</w:t>
      </w:r>
      <w:r w:rsidRPr="002B6FD0">
        <w:t xml:space="preserve">. Available at: </w:t>
      </w:r>
      <w:hyperlink r:id="rId9" w:tgtFrame="_new" w:history="1">
        <w:r w:rsidRPr="002B6FD0">
          <w:rPr>
            <w:rStyle w:val="Hyperlink"/>
          </w:rPr>
          <w:t>https://store.mintel.com/report/uk-major-domestic-appliances-market-report-2024</w:t>
        </w:r>
      </w:hyperlink>
      <w:r w:rsidRPr="002B6FD0">
        <w:t xml:space="preserve"> (Accessed: 10 November 2025).</w:t>
      </w:r>
    </w:p>
    <w:p w14:paraId="36BEF5AE" w14:textId="77777777" w:rsidR="002B6FD0" w:rsidRPr="002B6FD0" w:rsidRDefault="002B6FD0" w:rsidP="002B6FD0">
      <w:r w:rsidRPr="002B6FD0">
        <w:rPr>
          <w:b/>
          <w:bCs/>
        </w:rPr>
        <w:t>ONS</w:t>
      </w:r>
      <w:r w:rsidRPr="002B6FD0">
        <w:t xml:space="preserve"> (2024) </w:t>
      </w:r>
      <w:r w:rsidRPr="002B6FD0">
        <w:rPr>
          <w:i/>
          <w:iCs/>
        </w:rPr>
        <w:t>UK Economic Indicators</w:t>
      </w:r>
      <w:r w:rsidRPr="002B6FD0">
        <w:t xml:space="preserve">. Available at: </w:t>
      </w:r>
      <w:hyperlink r:id="rId10" w:tgtFrame="_new" w:history="1">
        <w:r w:rsidRPr="002B6FD0">
          <w:rPr>
            <w:rStyle w:val="Hyperlink"/>
          </w:rPr>
          <w:t>https://www.ons.gov.uk</w:t>
        </w:r>
      </w:hyperlink>
      <w:r w:rsidRPr="002B6FD0">
        <w:t xml:space="preserve"> (Accessed: 11 November 2025).</w:t>
      </w:r>
    </w:p>
    <w:p w14:paraId="56E3E43C" w14:textId="77777777" w:rsidR="002B6FD0" w:rsidRPr="002B6FD0" w:rsidRDefault="002B6FD0" w:rsidP="002B6FD0">
      <w:r w:rsidRPr="002B6FD0">
        <w:rPr>
          <w:b/>
          <w:bCs/>
        </w:rPr>
        <w:t>Porter, M.E.</w:t>
      </w:r>
      <w:r w:rsidRPr="002B6FD0">
        <w:t xml:space="preserve"> (1980) </w:t>
      </w:r>
      <w:r w:rsidRPr="002B6FD0">
        <w:rPr>
          <w:i/>
          <w:iCs/>
        </w:rPr>
        <w:t xml:space="preserve">Competitive Strategy: Techniques for </w:t>
      </w:r>
      <w:proofErr w:type="spellStart"/>
      <w:r w:rsidRPr="002B6FD0">
        <w:rPr>
          <w:i/>
          <w:iCs/>
        </w:rPr>
        <w:t>Analyzing</w:t>
      </w:r>
      <w:proofErr w:type="spellEnd"/>
      <w:r w:rsidRPr="002B6FD0">
        <w:rPr>
          <w:i/>
          <w:iCs/>
        </w:rPr>
        <w:t xml:space="preserve"> Industries and Competitors</w:t>
      </w:r>
      <w:r w:rsidRPr="002B6FD0">
        <w:t>. New York: Free Press.</w:t>
      </w:r>
    </w:p>
    <w:p w14:paraId="7FB7AB55" w14:textId="77777777" w:rsidR="002B6FD0" w:rsidRPr="002B6FD0" w:rsidRDefault="002B6FD0" w:rsidP="002B6FD0">
      <w:r w:rsidRPr="002B6FD0">
        <w:rPr>
          <w:b/>
          <w:bCs/>
        </w:rPr>
        <w:t>Royal Philips</w:t>
      </w:r>
      <w:r w:rsidRPr="002B6FD0">
        <w:t xml:space="preserve"> (2023) </w:t>
      </w:r>
      <w:r w:rsidRPr="002B6FD0">
        <w:rPr>
          <w:i/>
          <w:iCs/>
        </w:rPr>
        <w:t>2023 Annual Report of Royal Philips</w:t>
      </w:r>
      <w:r w:rsidRPr="002B6FD0">
        <w:t xml:space="preserve">. Available at: </w:t>
      </w:r>
      <w:hyperlink r:id="rId11" w:tgtFrame="_new" w:history="1">
        <w:r w:rsidRPr="002B6FD0">
          <w:rPr>
            <w:rStyle w:val="Hyperlink"/>
          </w:rPr>
          <w:t>https://www.annreports.com/philips/philips-ar-2023.pdf</w:t>
        </w:r>
      </w:hyperlink>
      <w:r w:rsidRPr="002B6FD0">
        <w:t xml:space="preserve"> (Accessed: 12 November 2025).</w:t>
      </w:r>
    </w:p>
    <w:p w14:paraId="4434DE67" w14:textId="77777777" w:rsidR="002B6FD0" w:rsidRPr="002B6FD0" w:rsidRDefault="002B6FD0" w:rsidP="002B6FD0">
      <w:r w:rsidRPr="002B6FD0">
        <w:rPr>
          <w:b/>
          <w:bCs/>
        </w:rPr>
        <w:t>Teece, D.J.</w:t>
      </w:r>
      <w:r w:rsidRPr="002B6FD0">
        <w:t xml:space="preserve"> (2018) ‘Business models and dynamic capabilities’, </w:t>
      </w:r>
      <w:r w:rsidRPr="002B6FD0">
        <w:rPr>
          <w:i/>
          <w:iCs/>
        </w:rPr>
        <w:t>Long Range Planning</w:t>
      </w:r>
      <w:r w:rsidRPr="002B6FD0">
        <w:t>, 51(1), pp. 40–49.</w:t>
      </w:r>
    </w:p>
    <w:p w14:paraId="3B44FF71" w14:textId="77777777" w:rsidR="002B6FD0" w:rsidRPr="002B6FD0" w:rsidRDefault="002B6FD0" w:rsidP="002B6FD0">
      <w:r w:rsidRPr="002B6FD0">
        <w:rPr>
          <w:b/>
          <w:bCs/>
        </w:rPr>
        <w:lastRenderedPageBreak/>
        <w:t>Teece, D.J.</w:t>
      </w:r>
      <w:r w:rsidRPr="002B6FD0">
        <w:t xml:space="preserve"> (2019) ‘A capability theory of the firm: an economics and (strategic) management perspective’, </w:t>
      </w:r>
      <w:r w:rsidRPr="002B6FD0">
        <w:rPr>
          <w:i/>
          <w:iCs/>
        </w:rPr>
        <w:t>New Zealand Economic Papers</w:t>
      </w:r>
      <w:r w:rsidRPr="002B6FD0">
        <w:t>, 53(1), pp. 1–43.</w:t>
      </w:r>
    </w:p>
    <w:p w14:paraId="61086CB6" w14:textId="77777777" w:rsidR="002B6FD0" w:rsidRPr="002B6FD0" w:rsidRDefault="002B6FD0" w:rsidP="002B6FD0">
      <w:r w:rsidRPr="002B6FD0">
        <w:rPr>
          <w:b/>
          <w:bCs/>
        </w:rPr>
        <w:t>Wild, J.J. and Wild, K.L.</w:t>
      </w:r>
      <w:r w:rsidRPr="002B6FD0">
        <w:t xml:space="preserve"> (2022) </w:t>
      </w:r>
      <w:r w:rsidRPr="002B6FD0">
        <w:rPr>
          <w:i/>
          <w:iCs/>
        </w:rPr>
        <w:t>International Business: The Challenges of Globalization</w:t>
      </w:r>
      <w:r w:rsidRPr="002B6FD0">
        <w:t>. Pearson.</w:t>
      </w:r>
    </w:p>
    <w:p w14:paraId="5F8A4864" w14:textId="445291EA" w:rsidR="004E6DF1" w:rsidRPr="00FB160B" w:rsidRDefault="004E6DF1" w:rsidP="002B6FD0"/>
    <w:sectPr w:rsidR="004E6DF1" w:rsidRPr="00FB16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3B88"/>
    <w:multiLevelType w:val="multilevel"/>
    <w:tmpl w:val="4430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D729F7"/>
    <w:multiLevelType w:val="hybridMultilevel"/>
    <w:tmpl w:val="4D2E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0294E"/>
    <w:multiLevelType w:val="multilevel"/>
    <w:tmpl w:val="7B80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916D4"/>
    <w:multiLevelType w:val="multilevel"/>
    <w:tmpl w:val="CF24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D825B2"/>
    <w:multiLevelType w:val="multilevel"/>
    <w:tmpl w:val="AF422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650A60"/>
    <w:multiLevelType w:val="multilevel"/>
    <w:tmpl w:val="7352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4502354">
    <w:abstractNumId w:val="3"/>
  </w:num>
  <w:num w:numId="2" w16cid:durableId="1921325948">
    <w:abstractNumId w:val="4"/>
  </w:num>
  <w:num w:numId="3" w16cid:durableId="1832982661">
    <w:abstractNumId w:val="0"/>
  </w:num>
  <w:num w:numId="4" w16cid:durableId="390470685">
    <w:abstractNumId w:val="2"/>
  </w:num>
  <w:num w:numId="5" w16cid:durableId="486215553">
    <w:abstractNumId w:val="5"/>
  </w:num>
  <w:num w:numId="6" w16cid:durableId="1899395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5AC"/>
    <w:rsid w:val="00293369"/>
    <w:rsid w:val="002B6FD0"/>
    <w:rsid w:val="00334713"/>
    <w:rsid w:val="00345144"/>
    <w:rsid w:val="0037688A"/>
    <w:rsid w:val="004E6DF1"/>
    <w:rsid w:val="005174D3"/>
    <w:rsid w:val="006225AC"/>
    <w:rsid w:val="006E2957"/>
    <w:rsid w:val="00712C0F"/>
    <w:rsid w:val="00773D00"/>
    <w:rsid w:val="00C42933"/>
    <w:rsid w:val="00C643B8"/>
    <w:rsid w:val="00D62419"/>
    <w:rsid w:val="00DE4B71"/>
    <w:rsid w:val="00E56687"/>
    <w:rsid w:val="00FB1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78A7"/>
  <w15:chartTrackingRefBased/>
  <w15:docId w15:val="{94D41EF4-15A6-4245-B0AC-F8A88035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60B"/>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345144"/>
    <w:pPr>
      <w:keepNext/>
      <w:keepLines/>
      <w:spacing w:before="360" w:after="8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345144"/>
    <w:pPr>
      <w:keepNext/>
      <w:keepLines/>
      <w:spacing w:before="160" w:after="80"/>
      <w:outlineLvl w:val="1"/>
    </w:pPr>
    <w:rPr>
      <w:rFonts w:eastAsiaTheme="majorEastAsia"/>
      <w:b/>
      <w:bCs/>
    </w:rPr>
  </w:style>
  <w:style w:type="paragraph" w:styleId="Heading3">
    <w:name w:val="heading 3"/>
    <w:basedOn w:val="Normal"/>
    <w:next w:val="Normal"/>
    <w:link w:val="Heading3Char"/>
    <w:uiPriority w:val="9"/>
    <w:semiHidden/>
    <w:unhideWhenUsed/>
    <w:qFormat/>
    <w:rsid w:val="00622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144"/>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345144"/>
    <w:rPr>
      <w:rFonts w:ascii="Times New Roman" w:eastAsiaTheme="majorEastAsia" w:hAnsi="Times New Roman" w:cs="Times New Roman"/>
      <w:b/>
      <w:bCs/>
    </w:rPr>
  </w:style>
  <w:style w:type="character" w:customStyle="1" w:styleId="Heading3Char">
    <w:name w:val="Heading 3 Char"/>
    <w:basedOn w:val="DefaultParagraphFont"/>
    <w:link w:val="Heading3"/>
    <w:uiPriority w:val="9"/>
    <w:semiHidden/>
    <w:rsid w:val="00622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5AC"/>
    <w:rPr>
      <w:rFonts w:eastAsiaTheme="majorEastAsia" w:cstheme="majorBidi"/>
      <w:color w:val="272727" w:themeColor="text1" w:themeTint="D8"/>
    </w:rPr>
  </w:style>
  <w:style w:type="paragraph" w:styleId="Title">
    <w:name w:val="Title"/>
    <w:basedOn w:val="Normal"/>
    <w:next w:val="Normal"/>
    <w:link w:val="TitleChar"/>
    <w:uiPriority w:val="10"/>
    <w:qFormat/>
    <w:rsid w:val="00622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5AC"/>
    <w:pPr>
      <w:spacing w:before="160"/>
      <w:jc w:val="center"/>
    </w:pPr>
    <w:rPr>
      <w:i/>
      <w:iCs/>
      <w:color w:val="404040" w:themeColor="text1" w:themeTint="BF"/>
    </w:rPr>
  </w:style>
  <w:style w:type="character" w:customStyle="1" w:styleId="QuoteChar">
    <w:name w:val="Quote Char"/>
    <w:basedOn w:val="DefaultParagraphFont"/>
    <w:link w:val="Quote"/>
    <w:uiPriority w:val="29"/>
    <w:rsid w:val="006225AC"/>
    <w:rPr>
      <w:i/>
      <w:iCs/>
      <w:color w:val="404040" w:themeColor="text1" w:themeTint="BF"/>
    </w:rPr>
  </w:style>
  <w:style w:type="paragraph" w:styleId="ListParagraph">
    <w:name w:val="List Paragraph"/>
    <w:basedOn w:val="Normal"/>
    <w:uiPriority w:val="34"/>
    <w:qFormat/>
    <w:rsid w:val="006225AC"/>
    <w:pPr>
      <w:ind w:left="720"/>
      <w:contextualSpacing/>
    </w:pPr>
  </w:style>
  <w:style w:type="character" w:styleId="IntenseEmphasis">
    <w:name w:val="Intense Emphasis"/>
    <w:basedOn w:val="DefaultParagraphFont"/>
    <w:uiPriority w:val="21"/>
    <w:qFormat/>
    <w:rsid w:val="006225AC"/>
    <w:rPr>
      <w:i/>
      <w:iCs/>
      <w:color w:val="0F4761" w:themeColor="accent1" w:themeShade="BF"/>
    </w:rPr>
  </w:style>
  <w:style w:type="paragraph" w:styleId="IntenseQuote">
    <w:name w:val="Intense Quote"/>
    <w:basedOn w:val="Normal"/>
    <w:next w:val="Normal"/>
    <w:link w:val="IntenseQuoteChar"/>
    <w:uiPriority w:val="30"/>
    <w:qFormat/>
    <w:rsid w:val="00622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5AC"/>
    <w:rPr>
      <w:i/>
      <w:iCs/>
      <w:color w:val="0F4761" w:themeColor="accent1" w:themeShade="BF"/>
    </w:rPr>
  </w:style>
  <w:style w:type="character" w:styleId="IntenseReference">
    <w:name w:val="Intense Reference"/>
    <w:basedOn w:val="DefaultParagraphFont"/>
    <w:uiPriority w:val="32"/>
    <w:qFormat/>
    <w:rsid w:val="006225AC"/>
    <w:rPr>
      <w:b/>
      <w:bCs/>
      <w:smallCaps/>
      <w:color w:val="0F4761" w:themeColor="accent1" w:themeShade="BF"/>
      <w:spacing w:val="5"/>
    </w:rPr>
  </w:style>
  <w:style w:type="character" w:styleId="Hyperlink">
    <w:name w:val="Hyperlink"/>
    <w:basedOn w:val="DefaultParagraphFont"/>
    <w:uiPriority w:val="99"/>
    <w:unhideWhenUsed/>
    <w:rsid w:val="006225AC"/>
    <w:rPr>
      <w:color w:val="467886" w:themeColor="hyperlink"/>
      <w:u w:val="single"/>
    </w:rPr>
  </w:style>
  <w:style w:type="character" w:styleId="UnresolvedMention">
    <w:name w:val="Unresolved Mention"/>
    <w:basedOn w:val="DefaultParagraphFont"/>
    <w:uiPriority w:val="99"/>
    <w:semiHidden/>
    <w:unhideWhenUsed/>
    <w:rsid w:val="006225AC"/>
    <w:rPr>
      <w:color w:val="605E5C"/>
      <w:shd w:val="clear" w:color="auto" w:fill="E1DFDD"/>
    </w:rPr>
  </w:style>
  <w:style w:type="paragraph" w:styleId="TOCHeading">
    <w:name w:val="TOC Heading"/>
    <w:basedOn w:val="Heading1"/>
    <w:next w:val="Normal"/>
    <w:uiPriority w:val="39"/>
    <w:unhideWhenUsed/>
    <w:qFormat/>
    <w:rsid w:val="00293369"/>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93369"/>
    <w:pPr>
      <w:spacing w:after="100"/>
    </w:pPr>
  </w:style>
  <w:style w:type="paragraph" w:styleId="TOC2">
    <w:name w:val="toc 2"/>
    <w:basedOn w:val="Normal"/>
    <w:next w:val="Normal"/>
    <w:autoRedefine/>
    <w:uiPriority w:val="39"/>
    <w:unhideWhenUsed/>
    <w:rsid w:val="002933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soninstitute.ac.uk/about-us/who-we-a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news/business-5674100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nnreports.com/philips/philips-ar-2023.pdf" TargetMode="External"/><Relationship Id="rId5" Type="http://schemas.openxmlformats.org/officeDocument/2006/relationships/webSettings" Target="webSettings.xml"/><Relationship Id="rId10"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hyperlink" Target="https://store.mintel.com/report/uk-major-domestic-appliances-market-repor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8FF63-9077-4362-82B7-A4F25E78E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1960</Words>
  <Characters>11177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Pellegrini</dc:creator>
  <cp:keywords/>
  <dc:description/>
  <cp:lastModifiedBy>Mihai Radoi</cp:lastModifiedBy>
  <cp:revision>4</cp:revision>
  <dcterms:created xsi:type="dcterms:W3CDTF">2025-11-13T16:27:00Z</dcterms:created>
  <dcterms:modified xsi:type="dcterms:W3CDTF">2025-11-15T09:31:00Z</dcterms:modified>
</cp:coreProperties>
</file>