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21FE" w:rsidRPr="002521FE" w:rsidRDefault="002521FE" w:rsidP="002521FE">
      <w:pPr>
        <w:spacing w:before="100" w:beforeAutospacing="1" w:after="100" w:afterAutospacing="1" w:line="276" w:lineRule="auto"/>
        <w:jc w:val="center"/>
        <w:rPr>
          <w:rFonts w:ascii="Calibri" w:hAnsi="Calibri" w:cs="Calibri"/>
          <w:b/>
          <w:sz w:val="22"/>
          <w:szCs w:val="22"/>
        </w:rPr>
      </w:pPr>
      <w:bookmarkStart w:id="0" w:name="_GoBack"/>
      <w:bookmarkEnd w:id="0"/>
      <w:r w:rsidRPr="002521FE">
        <w:rPr>
          <w:rFonts w:ascii="Calibri" w:hAnsi="Calibri" w:cs="Calibri"/>
          <w:b/>
          <w:sz w:val="22"/>
          <w:szCs w:val="22"/>
        </w:rPr>
        <w:t>Human Rights Case Law</w:t>
      </w:r>
    </w:p>
    <w:p w:rsidR="006F4806" w:rsidRPr="002521FE" w:rsidRDefault="006F4806" w:rsidP="002521FE">
      <w:pPr>
        <w:spacing w:before="100" w:beforeAutospacing="1" w:after="100" w:afterAutospacing="1" w:line="276" w:lineRule="auto"/>
        <w:rPr>
          <w:rFonts w:ascii="Calibri" w:hAnsi="Calibri" w:cs="Calibri"/>
          <w:b/>
          <w:sz w:val="22"/>
          <w:szCs w:val="22"/>
        </w:rPr>
      </w:pPr>
      <w:r w:rsidRPr="002521FE">
        <w:rPr>
          <w:rFonts w:ascii="Calibri" w:hAnsi="Calibri" w:cs="Calibri"/>
          <w:b/>
          <w:sz w:val="22"/>
          <w:szCs w:val="22"/>
        </w:rPr>
        <w:t>Article 3 prohibition of torture</w:t>
      </w:r>
    </w:p>
    <w:p w:rsidR="006F4806" w:rsidRPr="002521FE" w:rsidRDefault="006F4806" w:rsidP="002521FE">
      <w:pPr>
        <w:spacing w:before="100" w:beforeAutospacing="1" w:after="100" w:afterAutospacing="1" w:line="276" w:lineRule="auto"/>
        <w:rPr>
          <w:rFonts w:ascii="Calibri" w:hAnsi="Calibri" w:cs="Calibri"/>
          <w:sz w:val="22"/>
          <w:szCs w:val="22"/>
        </w:rPr>
      </w:pPr>
      <w:r w:rsidRPr="002521FE">
        <w:rPr>
          <w:rFonts w:ascii="Calibri" w:hAnsi="Calibri" w:cs="Calibri"/>
          <w:sz w:val="22"/>
          <w:szCs w:val="22"/>
        </w:rPr>
        <w:t>A had been seriously injured in a serious road traffic accident following which he had endured surgery. He had been left permanently suffering chronic pain in his lower limbs for which he found relief through the use of cannabis. When police attended A's house on an unrelated matter they found a quantity of the cannabis</w:t>
      </w:r>
      <w:r w:rsidR="00FE42F6" w:rsidRPr="002521FE">
        <w:rPr>
          <w:rFonts w:ascii="Calibri" w:hAnsi="Calibri" w:cs="Calibri"/>
          <w:sz w:val="22"/>
          <w:szCs w:val="22"/>
        </w:rPr>
        <w:t xml:space="preserve">. </w:t>
      </w:r>
      <w:r w:rsidRPr="002521FE">
        <w:rPr>
          <w:rFonts w:ascii="Calibri" w:hAnsi="Calibri" w:cs="Calibri"/>
          <w:sz w:val="22"/>
          <w:szCs w:val="22"/>
        </w:rPr>
        <w:t xml:space="preserve"> </w:t>
      </w:r>
      <w:r w:rsidR="00FE42F6" w:rsidRPr="002521FE">
        <w:rPr>
          <w:rFonts w:ascii="Calibri" w:hAnsi="Calibri" w:cs="Calibri"/>
          <w:sz w:val="22"/>
          <w:szCs w:val="22"/>
        </w:rPr>
        <w:t>H</w:t>
      </w:r>
      <w:r w:rsidRPr="002521FE">
        <w:rPr>
          <w:rFonts w:ascii="Calibri" w:hAnsi="Calibri" w:cs="Calibri"/>
          <w:sz w:val="22"/>
          <w:szCs w:val="22"/>
        </w:rPr>
        <w:t>e openly admitted to smoking to ease his pain at the time the resin was found later in interview. He was charged with possession of a controlled drug.</w:t>
      </w:r>
    </w:p>
    <w:p w:rsidR="006F4806" w:rsidRPr="002521FE" w:rsidRDefault="006F4806" w:rsidP="002521FE">
      <w:pPr>
        <w:spacing w:before="100" w:beforeAutospacing="1" w:after="100" w:afterAutospacing="1" w:line="276" w:lineRule="auto"/>
        <w:rPr>
          <w:rFonts w:ascii="Calibri" w:hAnsi="Calibri" w:cs="Calibri"/>
          <w:sz w:val="22"/>
          <w:szCs w:val="22"/>
        </w:rPr>
      </w:pPr>
      <w:r w:rsidRPr="002521FE">
        <w:rPr>
          <w:rFonts w:ascii="Calibri" w:hAnsi="Calibri" w:cs="Calibri"/>
          <w:sz w:val="22"/>
          <w:szCs w:val="22"/>
        </w:rPr>
        <w:t xml:space="preserve">The defence argued that the defence of duress of circumstance should be open to A on the basis that he was suffering serious physical harm but the prosecution countered this arguing that pain can never amount to serious physical harm and was subjective, further that A should not have that defence available on a charge of possession of an illegal drug. A also argued that he should be protected under Article 3 of the </w:t>
      </w:r>
      <w:r w:rsidR="00A63082" w:rsidRPr="002521FE">
        <w:rPr>
          <w:rFonts w:ascii="Calibri" w:hAnsi="Calibri" w:cs="Calibri"/>
          <w:sz w:val="22"/>
          <w:szCs w:val="22"/>
        </w:rPr>
        <w:t>E</w:t>
      </w:r>
      <w:r w:rsidRPr="002521FE">
        <w:rPr>
          <w:rFonts w:ascii="Calibri" w:hAnsi="Calibri" w:cs="Calibri"/>
          <w:sz w:val="22"/>
          <w:szCs w:val="22"/>
        </w:rPr>
        <w:t>uropean Convention on Human Rights by virtue of the fact that the criminalisation of the use of cannabis caused him to be subjected to inhumane and degrading treatment by the state. The defence arguments were rejected by the court and A was convicted.</w:t>
      </w:r>
    </w:p>
    <w:p w:rsidR="006F4806" w:rsidRPr="002521FE" w:rsidRDefault="006F4806" w:rsidP="002521FE">
      <w:pPr>
        <w:spacing w:before="100" w:beforeAutospacing="1" w:after="100" w:afterAutospacing="1" w:line="276" w:lineRule="auto"/>
        <w:rPr>
          <w:rFonts w:ascii="Calibri" w:hAnsi="Calibri" w:cs="Calibri"/>
          <w:sz w:val="22"/>
          <w:szCs w:val="22"/>
        </w:rPr>
      </w:pPr>
      <w:r w:rsidRPr="002521FE">
        <w:rPr>
          <w:rStyle w:val="Strong"/>
          <w:rFonts w:ascii="Calibri" w:hAnsi="Calibri" w:cs="Calibri"/>
          <w:sz w:val="22"/>
          <w:szCs w:val="22"/>
        </w:rPr>
        <w:t>Held</w:t>
      </w:r>
      <w:r w:rsidR="002521FE" w:rsidRPr="002521FE">
        <w:rPr>
          <w:rFonts w:ascii="Calibri" w:hAnsi="Calibri" w:cs="Calibri"/>
          <w:sz w:val="22"/>
          <w:szCs w:val="22"/>
        </w:rPr>
        <w:t xml:space="preserve">: </w:t>
      </w:r>
      <w:r w:rsidRPr="002521FE">
        <w:rPr>
          <w:rFonts w:ascii="Calibri" w:hAnsi="Calibri" w:cs="Calibri"/>
          <w:sz w:val="22"/>
          <w:szCs w:val="22"/>
        </w:rPr>
        <w:t>Appeal dismissed. Conviction upheld.</w:t>
      </w:r>
    </w:p>
    <w:p w:rsidR="006F4806" w:rsidRPr="002521FE" w:rsidRDefault="006F4806" w:rsidP="002521FE">
      <w:pPr>
        <w:spacing w:before="100" w:beforeAutospacing="1" w:after="100" w:afterAutospacing="1" w:line="276" w:lineRule="auto"/>
        <w:rPr>
          <w:rFonts w:ascii="Calibri" w:hAnsi="Calibri" w:cs="Calibri"/>
          <w:sz w:val="22"/>
          <w:szCs w:val="22"/>
        </w:rPr>
      </w:pPr>
      <w:r w:rsidRPr="002521FE">
        <w:rPr>
          <w:rFonts w:ascii="Calibri" w:hAnsi="Calibri" w:cs="Calibri"/>
          <w:sz w:val="22"/>
          <w:szCs w:val="22"/>
        </w:rPr>
        <w:t>Article 3 had no application in this instan</w:t>
      </w:r>
      <w:r w:rsidR="005C5E91" w:rsidRPr="002521FE">
        <w:rPr>
          <w:rFonts w:ascii="Calibri" w:hAnsi="Calibri" w:cs="Calibri"/>
          <w:sz w:val="22"/>
          <w:szCs w:val="22"/>
        </w:rPr>
        <w:t>ce</w:t>
      </w:r>
      <w:r w:rsidRPr="002521FE">
        <w:rPr>
          <w:rFonts w:ascii="Calibri" w:hAnsi="Calibri" w:cs="Calibri"/>
          <w:sz w:val="22"/>
          <w:szCs w:val="22"/>
        </w:rPr>
        <w:t xml:space="preserve"> since the state was not subjecting A to the inhumane or degrading treatment which the Article referred to nor had the state done anything to exa</w:t>
      </w:r>
      <w:r w:rsidR="005C5E91" w:rsidRPr="002521FE">
        <w:rPr>
          <w:rFonts w:ascii="Calibri" w:hAnsi="Calibri" w:cs="Calibri"/>
          <w:sz w:val="22"/>
          <w:szCs w:val="22"/>
        </w:rPr>
        <w:t>cerbate</w:t>
      </w:r>
      <w:r w:rsidRPr="002521FE">
        <w:rPr>
          <w:rFonts w:ascii="Calibri" w:hAnsi="Calibri" w:cs="Calibri"/>
          <w:sz w:val="22"/>
          <w:szCs w:val="22"/>
        </w:rPr>
        <w:t xml:space="preserve"> the condition because it was as a result of circumstances which had nothing to do with anything done by the state or any public authority. Taking the cannabis had been A's free choice and there was no obligation on the state to alleviate A's condition.</w:t>
      </w:r>
    </w:p>
    <w:p w:rsidR="006F4806" w:rsidRPr="002521FE" w:rsidRDefault="006F4806" w:rsidP="002521FE">
      <w:pPr>
        <w:spacing w:before="100" w:beforeAutospacing="1" w:after="100" w:afterAutospacing="1" w:line="276" w:lineRule="auto"/>
        <w:rPr>
          <w:rFonts w:ascii="Calibri" w:hAnsi="Calibri" w:cs="Calibri"/>
          <w:sz w:val="22"/>
          <w:szCs w:val="22"/>
        </w:rPr>
      </w:pPr>
      <w:r w:rsidRPr="002521FE">
        <w:rPr>
          <w:rFonts w:ascii="Calibri" w:hAnsi="Calibri" w:cs="Calibri"/>
          <w:sz w:val="22"/>
          <w:szCs w:val="22"/>
        </w:rPr>
        <w:t>The defence of necessity could not be available in this type of circumstance because if it was it would allow unlawful activity to be undertaken and would be in direct conflict with the purpose and effect of the intention of the Misuse of Drugs Act 1971.</w:t>
      </w:r>
    </w:p>
    <w:p w:rsidR="00A508FD" w:rsidRPr="002521FE" w:rsidRDefault="00A508FD" w:rsidP="002521FE">
      <w:pPr>
        <w:spacing w:line="276" w:lineRule="auto"/>
        <w:rPr>
          <w:rFonts w:ascii="Calibri" w:hAnsi="Calibri" w:cs="Calibri"/>
          <w:sz w:val="22"/>
          <w:szCs w:val="22"/>
        </w:rPr>
      </w:pPr>
    </w:p>
    <w:p w:rsidR="006F4806" w:rsidRPr="002521FE" w:rsidRDefault="006F4806" w:rsidP="002521FE">
      <w:pPr>
        <w:spacing w:line="276" w:lineRule="auto"/>
        <w:rPr>
          <w:rFonts w:ascii="Calibri" w:hAnsi="Calibri" w:cs="Calibri"/>
          <w:b/>
          <w:sz w:val="22"/>
          <w:szCs w:val="22"/>
        </w:rPr>
      </w:pPr>
      <w:r w:rsidRPr="002521FE">
        <w:rPr>
          <w:rFonts w:ascii="Calibri" w:hAnsi="Calibri" w:cs="Calibri"/>
          <w:b/>
          <w:sz w:val="22"/>
          <w:szCs w:val="22"/>
        </w:rPr>
        <w:t>Freedom of expression</w:t>
      </w:r>
    </w:p>
    <w:p w:rsidR="006F4806" w:rsidRPr="002521FE" w:rsidRDefault="006F4806" w:rsidP="002521FE">
      <w:pPr>
        <w:spacing w:before="100" w:beforeAutospacing="1" w:after="100" w:afterAutospacing="1" w:line="276" w:lineRule="auto"/>
        <w:rPr>
          <w:rFonts w:ascii="Calibri" w:hAnsi="Calibri" w:cs="Calibri"/>
          <w:sz w:val="22"/>
          <w:szCs w:val="22"/>
        </w:rPr>
      </w:pPr>
      <w:r w:rsidRPr="002521FE">
        <w:rPr>
          <w:rFonts w:ascii="Calibri" w:hAnsi="Calibri" w:cs="Calibri"/>
          <w:sz w:val="22"/>
          <w:szCs w:val="22"/>
        </w:rPr>
        <w:t>G had been arrested whilst walking through a town centre wearing boots, socks and a hat, but was otherwise naked. He was consequently charged with causing harassment, alarm or distress contrary to section 5(1) of the Public Order Act 1986.</w:t>
      </w:r>
    </w:p>
    <w:p w:rsidR="006F4806" w:rsidRPr="002521FE" w:rsidRDefault="006F4806" w:rsidP="002521FE">
      <w:pPr>
        <w:spacing w:before="100" w:beforeAutospacing="1" w:after="100" w:afterAutospacing="1" w:line="276" w:lineRule="auto"/>
        <w:rPr>
          <w:rFonts w:ascii="Calibri" w:hAnsi="Calibri" w:cs="Calibri"/>
          <w:sz w:val="22"/>
          <w:szCs w:val="22"/>
        </w:rPr>
      </w:pPr>
      <w:r w:rsidRPr="002521FE">
        <w:rPr>
          <w:rFonts w:ascii="Calibri" w:hAnsi="Calibri" w:cs="Calibri"/>
          <w:sz w:val="22"/>
          <w:szCs w:val="22"/>
        </w:rPr>
        <w:t>The district judge found that his behaviour had caused alarm or distress to members of the public, indeed there was evidence that two women were "alarmed or distressed" and "disgusted" at seeing him naked. He found that G was at least aware that his behaviour could have been threatening, abusive, insulting or disorderly.</w:t>
      </w:r>
    </w:p>
    <w:p w:rsidR="006F4806" w:rsidRPr="002521FE" w:rsidRDefault="006F4806" w:rsidP="002521FE">
      <w:pPr>
        <w:spacing w:before="100" w:beforeAutospacing="1" w:after="100" w:afterAutospacing="1" w:line="276" w:lineRule="auto"/>
        <w:rPr>
          <w:rFonts w:ascii="Calibri" w:hAnsi="Calibri" w:cs="Calibri"/>
          <w:sz w:val="22"/>
          <w:szCs w:val="22"/>
        </w:rPr>
      </w:pPr>
      <w:r w:rsidRPr="002521FE">
        <w:rPr>
          <w:rFonts w:ascii="Calibri" w:hAnsi="Calibri" w:cs="Calibri"/>
          <w:sz w:val="22"/>
          <w:szCs w:val="22"/>
        </w:rPr>
        <w:t xml:space="preserve">G said that he would not be deterred from walking naked and that he would continue to do so until adverse reaction ceased. He submitted to the court reports from two experts </w:t>
      </w:r>
      <w:r w:rsidRPr="002521FE">
        <w:rPr>
          <w:rFonts w:ascii="Calibri" w:hAnsi="Calibri" w:cs="Calibri"/>
          <w:sz w:val="22"/>
          <w:szCs w:val="22"/>
        </w:rPr>
        <w:lastRenderedPageBreak/>
        <w:t>regarding changing public attitudes to nudity and the reactions of children to male nudity thus contending that his action was 'reasonable' as per the defence in section 5(3) of the Act.</w:t>
      </w:r>
    </w:p>
    <w:p w:rsidR="006F4806" w:rsidRPr="002521FE" w:rsidRDefault="006F4806" w:rsidP="002521FE">
      <w:pPr>
        <w:spacing w:before="100" w:beforeAutospacing="1" w:after="100" w:afterAutospacing="1" w:line="276" w:lineRule="auto"/>
        <w:rPr>
          <w:rFonts w:ascii="Calibri" w:hAnsi="Calibri" w:cs="Calibri"/>
          <w:sz w:val="22"/>
          <w:szCs w:val="22"/>
        </w:rPr>
      </w:pPr>
      <w:r w:rsidRPr="002521FE">
        <w:rPr>
          <w:rFonts w:ascii="Calibri" w:hAnsi="Calibri" w:cs="Calibri"/>
          <w:sz w:val="22"/>
          <w:szCs w:val="22"/>
        </w:rPr>
        <w:t xml:space="preserve">The district judge held however, that the issues to be determined were for the court and did not require expert evidence. He found that being naked was a form of expression such that G's rights under article 10 of the European Convention on Human Rights 1950 were engaged, but determined that there was a pressing social need for the restriction of his right to be naked. He held that the restriction imposed by section 5(1), under which the maximum penalty was a fine, was a proportionate response to that need. </w:t>
      </w:r>
    </w:p>
    <w:p w:rsidR="006F4806" w:rsidRPr="002521FE" w:rsidRDefault="006F4806" w:rsidP="002521FE">
      <w:pPr>
        <w:spacing w:before="100" w:beforeAutospacing="1" w:after="100" w:afterAutospacing="1" w:line="276" w:lineRule="auto"/>
        <w:rPr>
          <w:rFonts w:ascii="Calibri" w:hAnsi="Calibri" w:cs="Calibri"/>
          <w:sz w:val="22"/>
          <w:szCs w:val="22"/>
        </w:rPr>
      </w:pPr>
      <w:r w:rsidRPr="002521FE">
        <w:rPr>
          <w:rFonts w:ascii="Calibri" w:hAnsi="Calibri" w:cs="Calibri"/>
          <w:sz w:val="22"/>
          <w:szCs w:val="22"/>
        </w:rPr>
        <w:t>The questions posed for the High Court were regarding:</w:t>
      </w:r>
    </w:p>
    <w:p w:rsidR="006F4806" w:rsidRPr="002521FE" w:rsidRDefault="006F4806" w:rsidP="002521FE">
      <w:pPr>
        <w:spacing w:before="100" w:beforeAutospacing="1" w:after="100" w:afterAutospacing="1" w:line="276" w:lineRule="auto"/>
        <w:rPr>
          <w:rFonts w:ascii="Calibri" w:hAnsi="Calibri" w:cs="Calibri"/>
          <w:sz w:val="22"/>
          <w:szCs w:val="22"/>
        </w:rPr>
      </w:pPr>
      <w:r w:rsidRPr="002521FE">
        <w:rPr>
          <w:rFonts w:ascii="Calibri" w:hAnsi="Calibri" w:cs="Calibri"/>
          <w:sz w:val="22"/>
          <w:szCs w:val="22"/>
        </w:rPr>
        <w:t>(i) the admissibility of the expert evidence;</w:t>
      </w:r>
      <w:r w:rsidRPr="002521FE">
        <w:rPr>
          <w:rFonts w:ascii="Calibri" w:hAnsi="Calibri" w:cs="Calibri"/>
          <w:sz w:val="22"/>
          <w:szCs w:val="22"/>
        </w:rPr>
        <w:br/>
        <w:t>(ii) whether the elements of the offence were made out;</w:t>
      </w:r>
      <w:r w:rsidRPr="002521FE">
        <w:rPr>
          <w:rFonts w:ascii="Calibri" w:hAnsi="Calibri" w:cs="Calibri"/>
          <w:sz w:val="22"/>
          <w:szCs w:val="22"/>
        </w:rPr>
        <w:br/>
        <w:t>(iii) whether the defence under section 5(3) should have been rejected;</w:t>
      </w:r>
      <w:r w:rsidRPr="002521FE">
        <w:rPr>
          <w:rFonts w:ascii="Calibri" w:hAnsi="Calibri" w:cs="Calibri"/>
          <w:sz w:val="22"/>
          <w:szCs w:val="22"/>
        </w:rPr>
        <w:br/>
        <w:t>(iv) G's rights under article 10.</w:t>
      </w:r>
    </w:p>
    <w:p w:rsidR="006F4806" w:rsidRPr="002521FE" w:rsidRDefault="006F4806" w:rsidP="002521FE">
      <w:pPr>
        <w:spacing w:before="100" w:beforeAutospacing="1" w:after="100" w:afterAutospacing="1" w:line="276" w:lineRule="auto"/>
        <w:rPr>
          <w:rFonts w:ascii="Calibri" w:hAnsi="Calibri" w:cs="Calibri"/>
          <w:sz w:val="22"/>
          <w:szCs w:val="22"/>
        </w:rPr>
      </w:pPr>
      <w:r w:rsidRPr="002521FE">
        <w:rPr>
          <w:rStyle w:val="Strong"/>
          <w:rFonts w:ascii="Calibri" w:hAnsi="Calibri" w:cs="Calibri"/>
          <w:sz w:val="22"/>
          <w:szCs w:val="22"/>
        </w:rPr>
        <w:t>Held</w:t>
      </w:r>
      <w:r w:rsidR="002521FE" w:rsidRPr="002521FE">
        <w:rPr>
          <w:rFonts w:ascii="Calibri" w:hAnsi="Calibri" w:cs="Calibri"/>
          <w:sz w:val="22"/>
          <w:szCs w:val="22"/>
        </w:rPr>
        <w:t xml:space="preserve">: </w:t>
      </w:r>
      <w:r w:rsidRPr="002521FE">
        <w:rPr>
          <w:rFonts w:ascii="Calibri" w:hAnsi="Calibri" w:cs="Calibri"/>
          <w:sz w:val="22"/>
          <w:szCs w:val="22"/>
        </w:rPr>
        <w:t>Appeal dismissed. Conviction upheld.</w:t>
      </w:r>
    </w:p>
    <w:p w:rsidR="006F4806" w:rsidRPr="002521FE" w:rsidRDefault="006F4806" w:rsidP="002521FE">
      <w:pPr>
        <w:spacing w:before="100" w:beforeAutospacing="1" w:after="100" w:afterAutospacing="1" w:line="276" w:lineRule="auto"/>
        <w:rPr>
          <w:rFonts w:ascii="Calibri" w:hAnsi="Calibri" w:cs="Calibri"/>
          <w:sz w:val="22"/>
          <w:szCs w:val="22"/>
        </w:rPr>
      </w:pPr>
      <w:r w:rsidRPr="002521FE">
        <w:rPr>
          <w:rFonts w:ascii="Calibri" w:hAnsi="Calibri" w:cs="Calibri"/>
          <w:sz w:val="22"/>
          <w:szCs w:val="22"/>
        </w:rPr>
        <w:t>(1) G had conceded that people who saw him naked might be distressed or concerned and that there would be a reaction from those who did not share his views. The expert evidence did not advance the case at all and the issues were for the court to decide.</w:t>
      </w:r>
    </w:p>
    <w:p w:rsidR="006F4806" w:rsidRPr="002521FE" w:rsidRDefault="006F4806" w:rsidP="002521FE">
      <w:pPr>
        <w:spacing w:before="100" w:beforeAutospacing="1" w:after="100" w:afterAutospacing="1" w:line="276" w:lineRule="auto"/>
        <w:rPr>
          <w:rFonts w:ascii="Calibri" w:hAnsi="Calibri" w:cs="Calibri"/>
          <w:sz w:val="22"/>
          <w:szCs w:val="22"/>
        </w:rPr>
      </w:pPr>
      <w:r w:rsidRPr="002521FE">
        <w:rPr>
          <w:rFonts w:ascii="Calibri" w:hAnsi="Calibri" w:cs="Calibri"/>
          <w:sz w:val="22"/>
          <w:szCs w:val="22"/>
        </w:rPr>
        <w:t>(2) The district judge was entitled to conclude that G was threatening, abusive or insulting; he was entitled to conclude that, by walking through a town centre naked, he was violating public order and he was therefore disorderly. G knew full well that many members of the public would be alarmed and distressed by sight of his naked body whether or not others would take a more lenient view. With regard to G's intention, the argument that the reaction of those whom he might pass would be unlikely to reach a level to satisfy the threshold of harassment, alarm or distress ignored the evidence accepted by the district judge. It was beyond argument that G was aware that his behaviour could be disorderly.</w:t>
      </w:r>
    </w:p>
    <w:p w:rsidR="006F4806" w:rsidRPr="002521FE" w:rsidRDefault="006F4806" w:rsidP="002521FE">
      <w:pPr>
        <w:spacing w:before="100" w:beforeAutospacing="1" w:after="100" w:afterAutospacing="1" w:line="276" w:lineRule="auto"/>
        <w:rPr>
          <w:rFonts w:ascii="Calibri" w:hAnsi="Calibri" w:cs="Calibri"/>
          <w:sz w:val="22"/>
          <w:szCs w:val="22"/>
        </w:rPr>
      </w:pPr>
      <w:r w:rsidRPr="002521FE">
        <w:rPr>
          <w:rFonts w:ascii="Calibri" w:hAnsi="Calibri" w:cs="Calibri"/>
          <w:sz w:val="22"/>
          <w:szCs w:val="22"/>
        </w:rPr>
        <w:t>(3) The potential defence under section 5(3) that G's conduct was objectively reasonable overlapped with the article 10 point. The existence of nudist colonies and naturist beaches were clearly identifiable and therefore avoidable. The unchallenged existence of naked cycle rides was also not determinative and each case would be fact-sensitive and should be considered on its merits. The fact that, on occasion, the police had helped G, while naked, to leave urban areas and had declined to arrest or prosecute him, or the fact that some people had not reacted adversely to his nudity were not to the point. To say that the adverse reaction to his nudity was not his problem or the result of his behaviour was to ignore reality. It was therefore open to the district judge to conclude that the restriction imposed by section 5 corresponded to the social need to restrict G's right to be naked and was a proportionate response.</w:t>
      </w:r>
    </w:p>
    <w:p w:rsidR="006F4806" w:rsidRPr="006F4806" w:rsidRDefault="006F4806">
      <w:pPr>
        <w:rPr>
          <w:rFonts w:ascii="Arial" w:hAnsi="Arial" w:cs="Arial"/>
          <w:sz w:val="22"/>
          <w:szCs w:val="22"/>
        </w:rPr>
      </w:pPr>
    </w:p>
    <w:sectPr w:rsidR="006F4806" w:rsidRPr="006F4806">
      <w:foot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7987" w:rsidRDefault="00EA7987" w:rsidP="002521FE">
      <w:r>
        <w:separator/>
      </w:r>
    </w:p>
  </w:endnote>
  <w:endnote w:type="continuationSeparator" w:id="0">
    <w:p w:rsidR="00EA7987" w:rsidRDefault="00EA7987" w:rsidP="002521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1FE" w:rsidRPr="002521FE" w:rsidRDefault="002521FE" w:rsidP="002521FE">
    <w:pPr>
      <w:pStyle w:val="Footer"/>
      <w:tabs>
        <w:tab w:val="clear" w:pos="4513"/>
        <w:tab w:val="clear" w:pos="9026"/>
        <w:tab w:val="center" w:pos="4153"/>
        <w:tab w:val="right" w:pos="8306"/>
      </w:tabs>
      <w:rPr>
        <w:rFonts w:ascii="Calibri" w:hAnsi="Calibri" w:cs="Calibri"/>
        <w:sz w:val="20"/>
        <w:szCs w:val="20"/>
      </w:rPr>
    </w:pPr>
    <w:r w:rsidRPr="002521FE">
      <w:rPr>
        <w:rFonts w:ascii="Calibri" w:hAnsi="Calibri" w:cs="Calibri"/>
        <w:sz w:val="20"/>
        <w:szCs w:val="20"/>
      </w:rPr>
      <w:t>AJW54949</w:t>
    </w:r>
    <w:r w:rsidRPr="002521FE">
      <w:rPr>
        <w:rFonts w:ascii="Calibri" w:hAnsi="Calibri" w:cs="Calibri"/>
        <w:sz w:val="20"/>
        <w:szCs w:val="20"/>
      </w:rPr>
      <w:tab/>
      <w:t>Version 1.0</w:t>
    </w:r>
    <w:r w:rsidRPr="002521FE">
      <w:rPr>
        <w:rFonts w:ascii="Calibri" w:hAnsi="Calibri" w:cs="Calibri"/>
        <w:sz w:val="20"/>
        <w:szCs w:val="20"/>
      </w:rPr>
      <w:tab/>
    </w:r>
  </w:p>
  <w:p w:rsidR="002521FE" w:rsidRPr="002521FE" w:rsidRDefault="002521FE" w:rsidP="002521FE">
    <w:pPr>
      <w:pStyle w:val="Footer"/>
      <w:tabs>
        <w:tab w:val="clear" w:pos="4513"/>
        <w:tab w:val="clear" w:pos="9026"/>
        <w:tab w:val="center" w:pos="4153"/>
        <w:tab w:val="right" w:pos="8306"/>
      </w:tabs>
      <w:rPr>
        <w:rFonts w:ascii="Calibri" w:hAnsi="Calibri" w:cs="Calibri"/>
        <w:sz w:val="20"/>
        <w:szCs w:val="20"/>
      </w:rPr>
    </w:pPr>
    <w:r w:rsidRPr="002521FE">
      <w:rPr>
        <w:rFonts w:ascii="Calibri" w:hAnsi="Calibri" w:cs="Calibri"/>
        <w:sz w:val="20"/>
        <w:szCs w:val="20"/>
      </w:rPr>
      <w:t>March 2019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7987" w:rsidRDefault="00EA7987" w:rsidP="002521FE">
      <w:r>
        <w:separator/>
      </w:r>
    </w:p>
  </w:footnote>
  <w:footnote w:type="continuationSeparator" w:id="0">
    <w:p w:rsidR="00EA7987" w:rsidRDefault="00EA7987" w:rsidP="002521F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cryptProviderType="rsaAES" w:cryptAlgorithmClass="hash" w:cryptAlgorithmType="typeAny" w:cryptAlgorithmSid="14" w:cryptSpinCount="100000" w:hash="/epzNfsb6dNbcycvTNKNiXUHhmL4HyTv3zo7TFobyL6gwqjWonfqytoJrZL7CCSxgSL6Ypx0y+MtskQYAB5D7Q==" w:salt="rF+Jkl+8EAOLN77Erhg+uQ=="/>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4806"/>
    <w:rsid w:val="00001D39"/>
    <w:rsid w:val="001375ED"/>
    <w:rsid w:val="00173341"/>
    <w:rsid w:val="00182ECB"/>
    <w:rsid w:val="00195324"/>
    <w:rsid w:val="001B621D"/>
    <w:rsid w:val="002521FE"/>
    <w:rsid w:val="002715B4"/>
    <w:rsid w:val="00370073"/>
    <w:rsid w:val="003F42A7"/>
    <w:rsid w:val="004230DE"/>
    <w:rsid w:val="0047331D"/>
    <w:rsid w:val="004B3247"/>
    <w:rsid w:val="004E1581"/>
    <w:rsid w:val="004E1F5F"/>
    <w:rsid w:val="005972BC"/>
    <w:rsid w:val="005C5E91"/>
    <w:rsid w:val="0063770D"/>
    <w:rsid w:val="00646F46"/>
    <w:rsid w:val="006F4806"/>
    <w:rsid w:val="007024B9"/>
    <w:rsid w:val="008000D4"/>
    <w:rsid w:val="00A1712D"/>
    <w:rsid w:val="00A508FD"/>
    <w:rsid w:val="00A63082"/>
    <w:rsid w:val="00A85903"/>
    <w:rsid w:val="00A85EF7"/>
    <w:rsid w:val="00AC38F2"/>
    <w:rsid w:val="00B24646"/>
    <w:rsid w:val="00C45894"/>
    <w:rsid w:val="00C67173"/>
    <w:rsid w:val="00CB5AB9"/>
    <w:rsid w:val="00D1114B"/>
    <w:rsid w:val="00D1769A"/>
    <w:rsid w:val="00DB4971"/>
    <w:rsid w:val="00EA7987"/>
    <w:rsid w:val="00EC2911"/>
    <w:rsid w:val="00F32478"/>
    <w:rsid w:val="00FE42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2BD251CC-48D0-4B25-9C03-CEF589B25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Strong">
    <w:name w:val="Strong"/>
    <w:qFormat/>
    <w:rsid w:val="006F4806"/>
    <w:rPr>
      <w:b/>
      <w:bCs/>
    </w:rPr>
  </w:style>
  <w:style w:type="paragraph" w:styleId="Header">
    <w:name w:val="header"/>
    <w:basedOn w:val="Normal"/>
    <w:link w:val="HeaderChar"/>
    <w:rsid w:val="002521FE"/>
    <w:pPr>
      <w:tabs>
        <w:tab w:val="center" w:pos="4513"/>
        <w:tab w:val="right" w:pos="9026"/>
      </w:tabs>
    </w:pPr>
  </w:style>
  <w:style w:type="character" w:customStyle="1" w:styleId="HeaderChar">
    <w:name w:val="Header Char"/>
    <w:link w:val="Header"/>
    <w:rsid w:val="002521FE"/>
    <w:rPr>
      <w:sz w:val="24"/>
      <w:szCs w:val="24"/>
    </w:rPr>
  </w:style>
  <w:style w:type="paragraph" w:styleId="Footer">
    <w:name w:val="footer"/>
    <w:basedOn w:val="Normal"/>
    <w:link w:val="FooterChar"/>
    <w:rsid w:val="002521FE"/>
    <w:pPr>
      <w:tabs>
        <w:tab w:val="center" w:pos="4513"/>
        <w:tab w:val="right" w:pos="9026"/>
      </w:tabs>
    </w:pPr>
  </w:style>
  <w:style w:type="character" w:customStyle="1" w:styleId="FooterChar">
    <w:name w:val="Footer Char"/>
    <w:link w:val="Footer"/>
    <w:rsid w:val="002521F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0420302">
      <w:bodyDiv w:val="1"/>
      <w:marLeft w:val="0"/>
      <w:marRight w:val="0"/>
      <w:marTop w:val="0"/>
      <w:marBottom w:val="0"/>
      <w:divBdr>
        <w:top w:val="none" w:sz="0" w:space="0" w:color="auto"/>
        <w:left w:val="none" w:sz="0" w:space="0" w:color="auto"/>
        <w:bottom w:val="none" w:sz="0" w:space="0" w:color="auto"/>
        <w:right w:val="none" w:sz="0" w:space="0" w:color="auto"/>
      </w:divBdr>
      <w:divsChild>
        <w:div w:id="1976139505">
          <w:marLeft w:val="0"/>
          <w:marRight w:val="0"/>
          <w:marTop w:val="0"/>
          <w:marBottom w:val="0"/>
          <w:divBdr>
            <w:top w:val="none" w:sz="0" w:space="0" w:color="auto"/>
            <w:left w:val="none" w:sz="0" w:space="0" w:color="auto"/>
            <w:bottom w:val="none" w:sz="0" w:space="0" w:color="auto"/>
            <w:right w:val="none" w:sz="0" w:space="0" w:color="auto"/>
          </w:divBdr>
          <w:divsChild>
            <w:div w:id="2072457960">
              <w:marLeft w:val="0"/>
              <w:marRight w:val="0"/>
              <w:marTop w:val="0"/>
              <w:marBottom w:val="0"/>
              <w:divBdr>
                <w:top w:val="none" w:sz="0" w:space="0" w:color="auto"/>
                <w:left w:val="none" w:sz="0" w:space="0" w:color="auto"/>
                <w:bottom w:val="none" w:sz="0" w:space="0" w:color="auto"/>
                <w:right w:val="none" w:sz="0" w:space="0" w:color="auto"/>
              </w:divBdr>
              <w:divsChild>
                <w:div w:id="939603021">
                  <w:marLeft w:val="0"/>
                  <w:marRight w:val="0"/>
                  <w:marTop w:val="0"/>
                  <w:marBottom w:val="400"/>
                  <w:divBdr>
                    <w:top w:val="none" w:sz="0" w:space="0" w:color="auto"/>
                    <w:left w:val="none" w:sz="0" w:space="0" w:color="auto"/>
                    <w:bottom w:val="none" w:sz="0" w:space="0" w:color="auto"/>
                    <w:right w:val="none" w:sz="0" w:space="0" w:color="auto"/>
                  </w:divBdr>
                  <w:divsChild>
                    <w:div w:id="173307603">
                      <w:marLeft w:val="0"/>
                      <w:marRight w:val="0"/>
                      <w:marTop w:val="0"/>
                      <w:marBottom w:val="0"/>
                      <w:divBdr>
                        <w:top w:val="none" w:sz="0" w:space="0" w:color="auto"/>
                        <w:left w:val="none" w:sz="0" w:space="0" w:color="auto"/>
                        <w:bottom w:val="none" w:sz="0" w:space="0" w:color="auto"/>
                        <w:right w:val="none" w:sz="0" w:space="0" w:color="auto"/>
                      </w:divBdr>
                      <w:divsChild>
                        <w:div w:id="566843135">
                          <w:marLeft w:val="0"/>
                          <w:marRight w:val="0"/>
                          <w:marTop w:val="0"/>
                          <w:marBottom w:val="0"/>
                          <w:divBdr>
                            <w:top w:val="none" w:sz="0" w:space="0" w:color="auto"/>
                            <w:left w:val="none" w:sz="0" w:space="0" w:color="auto"/>
                            <w:bottom w:val="none" w:sz="0" w:space="0" w:color="auto"/>
                            <w:right w:val="none" w:sz="0" w:space="0" w:color="auto"/>
                          </w:divBdr>
                          <w:divsChild>
                            <w:div w:id="1963807817">
                              <w:marLeft w:val="0"/>
                              <w:marRight w:val="0"/>
                              <w:marTop w:val="200"/>
                              <w:marBottom w:val="0"/>
                              <w:divBdr>
                                <w:top w:val="none" w:sz="0" w:space="0" w:color="auto"/>
                                <w:left w:val="none" w:sz="0" w:space="0" w:color="auto"/>
                                <w:bottom w:val="none" w:sz="0" w:space="0" w:color="auto"/>
                                <w:right w:val="none" w:sz="0" w:space="0" w:color="auto"/>
                              </w:divBdr>
                              <w:divsChild>
                                <w:div w:id="1953123310">
                                  <w:marLeft w:val="0"/>
                                  <w:marRight w:val="0"/>
                                  <w:marTop w:val="0"/>
                                  <w:marBottom w:val="0"/>
                                  <w:divBdr>
                                    <w:top w:val="none" w:sz="0" w:space="0" w:color="auto"/>
                                    <w:left w:val="none" w:sz="0" w:space="0" w:color="auto"/>
                                    <w:bottom w:val="none" w:sz="0" w:space="0" w:color="auto"/>
                                    <w:right w:val="none" w:sz="0" w:space="0" w:color="auto"/>
                                  </w:divBdr>
                                  <w:divsChild>
                                    <w:div w:id="1867787507">
                                      <w:marLeft w:val="0"/>
                                      <w:marRight w:val="0"/>
                                      <w:marTop w:val="0"/>
                                      <w:marBottom w:val="0"/>
                                      <w:divBdr>
                                        <w:top w:val="none" w:sz="0" w:space="0" w:color="auto"/>
                                        <w:left w:val="none" w:sz="0" w:space="0" w:color="auto"/>
                                        <w:bottom w:val="single" w:sz="6" w:space="0" w:color="AAAAAA"/>
                                        <w:right w:val="none" w:sz="0" w:space="0" w:color="auto"/>
                                      </w:divBdr>
                                      <w:divsChild>
                                        <w:div w:id="1582518270">
                                          <w:marLeft w:val="0"/>
                                          <w:marRight w:val="0"/>
                                          <w:marTop w:val="0"/>
                                          <w:marBottom w:val="0"/>
                                          <w:divBdr>
                                            <w:top w:val="none" w:sz="0" w:space="0" w:color="auto"/>
                                            <w:left w:val="none" w:sz="0" w:space="0" w:color="auto"/>
                                            <w:bottom w:val="none" w:sz="0" w:space="0" w:color="auto"/>
                                            <w:right w:val="none" w:sz="0" w:space="0" w:color="auto"/>
                                          </w:divBdr>
                                          <w:divsChild>
                                            <w:div w:id="170119789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837</Words>
  <Characters>4773</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Article 3 prohibition of torture</vt:lpstr>
    </vt:vector>
  </TitlesOfParts>
  <Company>South Wales Police</Company>
  <LinksUpToDate>false</LinksUpToDate>
  <CharactersWithSpaces>5599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 3 prohibition of torture</dc:title>
  <dc:subject/>
  <dc:creator>swp3305</dc:creator>
  <cp:keywords/>
  <dc:description/>
  <cp:lastModifiedBy>Neil,Sharon swp3514</cp:lastModifiedBy>
  <cp:revision>2</cp:revision>
  <dcterms:created xsi:type="dcterms:W3CDTF">2021-02-15T13:46:00Z</dcterms:created>
  <dcterms:modified xsi:type="dcterms:W3CDTF">2021-02-15T13:46:00Z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dde71592-1429-4048-b6d2-5d459b73d0aa</vt:lpwstr>
  </property>
  <property fmtid="{D5CDD505-2E9C-101B-9397-08002B2CF9AE}" pid="3" name="SWPIL">
    <vt:lpwstr>NOT PROTECTIVELY MARKED</vt:lpwstr>
  </property>
  <property fmtid="{D5CDD505-2E9C-101B-9397-08002B2CF9AE}" pid="4" name="SWPVNV">
    <vt:lpwstr>No Visual Mark</vt:lpwstr>
  </property>
  <property fmtid="{D5CDD505-2E9C-101B-9397-08002B2CF9AE}" pid="5" name="Classification">
    <vt:lpwstr>OFFICIAL</vt:lpwstr>
  </property>
  <property fmtid="{D5CDD505-2E9C-101B-9397-08002B2CF9AE}" pid="6" name="Visibility">
    <vt:lpwstr>NOT VISIBLE</vt:lpwstr>
  </property>
</Properties>
</file>