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707E16" w14:textId="763F2404" w:rsidR="00196F32" w:rsidRDefault="00C60477" w:rsidP="00734430">
      <w:pPr>
        <w:spacing w:line="480" w:lineRule="auto"/>
        <w:rPr>
          <w:u w:val="single"/>
        </w:rPr>
      </w:pPr>
      <w:r>
        <w:rPr>
          <w:u w:val="single"/>
        </w:rPr>
        <w:t>Judaism and Hellenism in 2 Maccabees- article review.</w:t>
      </w:r>
    </w:p>
    <w:p w14:paraId="6F55A689" w14:textId="43E2C3FD" w:rsidR="00C60477" w:rsidRDefault="00C60477" w:rsidP="00734430">
      <w:pPr>
        <w:spacing w:line="480" w:lineRule="auto"/>
        <w:rPr>
          <w:u w:val="single"/>
        </w:rPr>
      </w:pPr>
    </w:p>
    <w:p w14:paraId="6D85A23D" w14:textId="7CA42603" w:rsidR="00C60477" w:rsidRDefault="00C60477" w:rsidP="00734430">
      <w:pPr>
        <w:spacing w:line="480" w:lineRule="auto"/>
      </w:pPr>
      <w:r>
        <w:t>The a</w:t>
      </w:r>
      <w:r w:rsidR="004A0824">
        <w:t xml:space="preserve">rticle </w:t>
      </w:r>
      <w:r w:rsidR="004A0824">
        <w:rPr>
          <w:i/>
          <w:iCs/>
        </w:rPr>
        <w:t>Judaism and Hellenism in 2 Maccabees</w:t>
      </w:r>
      <w:r w:rsidR="004A0824">
        <w:t xml:space="preserve"> by Martha Himmelfarb, </w:t>
      </w:r>
      <w:r w:rsidR="00E21681">
        <w:t>investigates</w:t>
      </w:r>
      <w:r w:rsidR="004A0824">
        <w:t xml:space="preserve"> the way that Greece had influenced Judea</w:t>
      </w:r>
      <w:r w:rsidR="00AF64A6">
        <w:t>. She also explores the depiction of Judah and the martyrs in 2 Maccabees.</w:t>
      </w:r>
    </w:p>
    <w:p w14:paraId="70EE0DC2" w14:textId="77777777" w:rsidR="00734430" w:rsidRDefault="00734430" w:rsidP="00734430">
      <w:pPr>
        <w:spacing w:line="480" w:lineRule="auto"/>
      </w:pPr>
    </w:p>
    <w:p w14:paraId="16972C99" w14:textId="776858B7" w:rsidR="00734430" w:rsidRDefault="00FF54C8" w:rsidP="00734430">
      <w:pPr>
        <w:spacing w:line="480" w:lineRule="auto"/>
      </w:pPr>
      <w:r>
        <w:t>2 Maccabees depicts Antiochus trying to Hellenize Judea by forbidding Jewish customs and the Maccabees revolt against Antiochus.</w:t>
      </w:r>
    </w:p>
    <w:p w14:paraId="68F49437" w14:textId="77777777" w:rsidR="00FF54C8" w:rsidRDefault="00FF54C8" w:rsidP="00734430">
      <w:pPr>
        <w:spacing w:line="480" w:lineRule="auto"/>
      </w:pPr>
    </w:p>
    <w:p w14:paraId="3D17426B" w14:textId="2C51E133" w:rsidR="00733C54" w:rsidRDefault="00AF64A6" w:rsidP="00734430">
      <w:pPr>
        <w:spacing w:line="480" w:lineRule="auto"/>
      </w:pPr>
      <w:r>
        <w:t xml:space="preserve">The first section of Himmelfarb’s article </w:t>
      </w:r>
      <w:r w:rsidR="00E21681">
        <w:t>explores</w:t>
      </w:r>
      <w:r>
        <w:t xml:space="preserve"> the differences between the books of Maccabees 1 and 2. One was originally written in Hebrew and the other in Greek. 2 Maccabees covers a shorter time period than the first book and is also written in a more Hellenistic style.</w:t>
      </w:r>
    </w:p>
    <w:p w14:paraId="4BFAF2A8" w14:textId="753BF9C9" w:rsidR="00AF64A6" w:rsidRDefault="00AF64A6" w:rsidP="00734430">
      <w:pPr>
        <w:spacing w:line="480" w:lineRule="auto"/>
      </w:pPr>
    </w:p>
    <w:p w14:paraId="1BB001F2" w14:textId="37169CDA" w:rsidR="00AF64A6" w:rsidRDefault="00E21681" w:rsidP="00734430">
      <w:pPr>
        <w:spacing w:line="480" w:lineRule="auto"/>
      </w:pPr>
      <w:r>
        <w:t>Himmelfarb</w:t>
      </w:r>
      <w:r w:rsidR="00AF64A6">
        <w:t xml:space="preserve"> then moves onto</w:t>
      </w:r>
      <w:r>
        <w:t xml:space="preserve"> to describe</w:t>
      </w:r>
      <w:r w:rsidR="00AF64A6">
        <w:t xml:space="preserve"> the Hellenization of the city through the addi</w:t>
      </w:r>
      <w:r>
        <w:t>tion</w:t>
      </w:r>
      <w:r w:rsidR="00AF64A6">
        <w:t xml:space="preserve"> of a gymnasium</w:t>
      </w:r>
      <w:r>
        <w:t>.</w:t>
      </w:r>
      <w:r w:rsidR="00CC1807">
        <w:t xml:space="preserve"> </w:t>
      </w:r>
      <w:r w:rsidR="00AF64A6">
        <w:t xml:space="preserve">Himmelfarb’s next section goes into more detail about how 2 Maccabees is more Hellenistic than Biblical in </w:t>
      </w:r>
      <w:r w:rsidR="00F04F74">
        <w:t>its</w:t>
      </w:r>
      <w:r w:rsidR="00AF64A6">
        <w:t xml:space="preserve"> writing style. </w:t>
      </w:r>
    </w:p>
    <w:p w14:paraId="737614AD" w14:textId="14041EEC" w:rsidR="00AF64A6" w:rsidRDefault="00AF64A6" w:rsidP="00734430">
      <w:pPr>
        <w:spacing w:line="480" w:lineRule="auto"/>
      </w:pPr>
    </w:p>
    <w:p w14:paraId="7D22F0C3" w14:textId="10821007" w:rsidR="00AF64A6" w:rsidRDefault="00AF64A6" w:rsidP="00734430">
      <w:pPr>
        <w:spacing w:line="480" w:lineRule="auto"/>
      </w:pPr>
      <w:r>
        <w:t>The main section of Himmelfarb’s article explores how 2 Maccabees depicts</w:t>
      </w:r>
      <w:r w:rsidR="00E21681">
        <w:t xml:space="preserve"> Judah,</w:t>
      </w:r>
      <w:r>
        <w:t xml:space="preserve"> the main hero of the Maccabean revolt</w:t>
      </w:r>
      <w:r w:rsidR="00E21681">
        <w:t>,</w:t>
      </w:r>
      <w:r>
        <w:t xml:space="preserve"> and the martyrs. She particularly </w:t>
      </w:r>
      <w:r w:rsidR="00E21681">
        <w:t xml:space="preserve">highlights </w:t>
      </w:r>
      <w:r>
        <w:t>that Judah and the martyrs are referred to as noble. Himmelfarb also focuses on the importance of the use of Hebrew in 2 Maccabees.</w:t>
      </w:r>
    </w:p>
    <w:p w14:paraId="178E8CA3" w14:textId="602D3EF4" w:rsidR="005F3AFF" w:rsidRDefault="005F3AFF" w:rsidP="00734430">
      <w:pPr>
        <w:spacing w:line="480" w:lineRule="auto"/>
      </w:pPr>
    </w:p>
    <w:p w14:paraId="2D2A0744" w14:textId="2C4E3BCA" w:rsidR="005F3AFF" w:rsidRDefault="008F1D80" w:rsidP="00734430">
      <w:pPr>
        <w:spacing w:line="480" w:lineRule="auto"/>
      </w:pPr>
      <w:r>
        <w:lastRenderedPageBreak/>
        <w:t xml:space="preserve">One thing that is exceptionally good about Himmelfarb’s article </w:t>
      </w:r>
      <w:r>
        <w:rPr>
          <w:i/>
          <w:iCs/>
        </w:rPr>
        <w:t>Judaism and Hellenism in 2 Maccabees</w:t>
      </w:r>
      <w:r>
        <w:t xml:space="preserve"> is her use of other languages. This can be seen through </w:t>
      </w:r>
      <w:r w:rsidR="00E21681">
        <w:t>how</w:t>
      </w:r>
      <w:r>
        <w:t xml:space="preserve"> Himmelfarb </w:t>
      </w:r>
      <w:r w:rsidR="00E94F5B">
        <w:t xml:space="preserve">has translated a quote from Christian </w:t>
      </w:r>
      <w:proofErr w:type="spellStart"/>
      <w:r w:rsidR="00E94F5B">
        <w:t>Habicht’s</w:t>
      </w:r>
      <w:proofErr w:type="spellEnd"/>
      <w:r w:rsidR="00E94F5B">
        <w:t xml:space="preserve"> article from German into English.</w:t>
      </w:r>
      <w:r w:rsidR="00E94F5B">
        <w:rPr>
          <w:rStyle w:val="FootnoteReference"/>
        </w:rPr>
        <w:footnoteReference w:id="2"/>
      </w:r>
      <w:r w:rsidR="00E94F5B">
        <w:t xml:space="preserve"> This is useful because by translating the quote into English</w:t>
      </w:r>
      <w:r w:rsidR="00E21681">
        <w:t>,</w:t>
      </w:r>
      <w:r w:rsidR="00E94F5B">
        <w:t xml:space="preserve"> the quote</w:t>
      </w:r>
      <w:r w:rsidR="00E21681">
        <w:t xml:space="preserve"> becomes</w:t>
      </w:r>
      <w:r w:rsidR="00E94F5B">
        <w:t xml:space="preserve"> more accessible to the reader and not all scholars do this in their articles.</w:t>
      </w:r>
    </w:p>
    <w:p w14:paraId="2435A127" w14:textId="38742C16" w:rsidR="00E94F5B" w:rsidRDefault="00E94F5B" w:rsidP="00734430">
      <w:pPr>
        <w:spacing w:line="480" w:lineRule="auto"/>
      </w:pPr>
    </w:p>
    <w:p w14:paraId="5BCC1671" w14:textId="0FAC9F47" w:rsidR="00E94F5B" w:rsidRDefault="00E94F5B" w:rsidP="00734430">
      <w:pPr>
        <w:spacing w:line="480" w:lineRule="auto"/>
      </w:pPr>
      <w:r>
        <w:t>This can also be s</w:t>
      </w:r>
      <w:r w:rsidR="00E21681">
        <w:t>een</w:t>
      </w:r>
      <w:r>
        <w:t xml:space="preserve"> through Himmelfarb’s use of Greek</w:t>
      </w:r>
      <w:r w:rsidR="00E21681">
        <w:t>.</w:t>
      </w:r>
      <w:r>
        <w:t xml:space="preserve"> Himmelfarb use</w:t>
      </w:r>
      <w:r w:rsidR="00E21681">
        <w:t>s</w:t>
      </w:r>
      <w:r>
        <w:t xml:space="preserve"> ancient Greek in her article which is understandable as 2 Maccabees was originally written in ancient Greek. </w:t>
      </w:r>
      <w:r w:rsidR="00F04F74">
        <w:t>However,</w:t>
      </w:r>
      <w:r>
        <w:t xml:space="preserve"> she does not overuse it</w:t>
      </w:r>
      <w:r w:rsidR="00E21681">
        <w:t>.</w:t>
      </w:r>
      <w:r>
        <w:t xml:space="preserve"> </w:t>
      </w:r>
      <w:r w:rsidR="00E21681">
        <w:t xml:space="preserve"> S</w:t>
      </w:r>
      <w:r>
        <w:t xml:space="preserve">he always supplies a translation in </w:t>
      </w:r>
      <w:r w:rsidR="00F04F74">
        <w:t>English,</w:t>
      </w:r>
      <w:r>
        <w:t xml:space="preserve"> and she does not use overly long quotations, usually only a few words.</w:t>
      </w:r>
      <w:r w:rsidR="00B84282">
        <w:t xml:space="preserve"> An</w:t>
      </w:r>
      <w:r>
        <w:t xml:space="preserve"> </w:t>
      </w:r>
      <w:r w:rsidR="00B84282">
        <w:t>e</w:t>
      </w:r>
      <w:r>
        <w:t xml:space="preserve">xample of this can be seen when she discusses ancestral laws </w:t>
      </w:r>
      <w:r w:rsidR="00F04F74">
        <w:t xml:space="preserve">or </w:t>
      </w:r>
      <w:proofErr w:type="spellStart"/>
      <w:r w:rsidR="00F04F74">
        <w:rPr>
          <w:i/>
          <w:iCs/>
        </w:rPr>
        <w:t>nomois</w:t>
      </w:r>
      <w:proofErr w:type="spellEnd"/>
      <w:r w:rsidR="00F04F74">
        <w:rPr>
          <w:i/>
          <w:iCs/>
        </w:rPr>
        <w:t xml:space="preserve"> </w:t>
      </w:r>
      <w:proofErr w:type="spellStart"/>
      <w:r w:rsidR="00F04F74">
        <w:rPr>
          <w:i/>
          <w:iCs/>
        </w:rPr>
        <w:t>tois</w:t>
      </w:r>
      <w:proofErr w:type="spellEnd"/>
      <w:r w:rsidR="00F04F74">
        <w:rPr>
          <w:i/>
          <w:iCs/>
        </w:rPr>
        <w:t xml:space="preserve"> </w:t>
      </w:r>
      <w:proofErr w:type="spellStart"/>
      <w:r w:rsidR="00F04F74">
        <w:rPr>
          <w:i/>
          <w:iCs/>
        </w:rPr>
        <w:t>patriois</w:t>
      </w:r>
      <w:proofErr w:type="spellEnd"/>
      <w:r w:rsidR="00F04F74">
        <w:rPr>
          <w:i/>
          <w:iCs/>
        </w:rPr>
        <w:t>.</w:t>
      </w:r>
      <w:r w:rsidR="00F04F74">
        <w:rPr>
          <w:rStyle w:val="FootnoteReference"/>
          <w:i/>
          <w:iCs/>
        </w:rPr>
        <w:footnoteReference w:id="3"/>
      </w:r>
      <w:r w:rsidR="00F04F74">
        <w:t xml:space="preserve"> </w:t>
      </w:r>
    </w:p>
    <w:p w14:paraId="54973053" w14:textId="4725B2A6" w:rsidR="00F04F74" w:rsidRDefault="00F04F74" w:rsidP="00734430">
      <w:pPr>
        <w:spacing w:line="480" w:lineRule="auto"/>
      </w:pPr>
    </w:p>
    <w:p w14:paraId="0C43639F" w14:textId="287BCA78" w:rsidR="00F04F74" w:rsidRDefault="00F04F74" w:rsidP="00734430">
      <w:pPr>
        <w:spacing w:line="480" w:lineRule="auto"/>
      </w:pPr>
      <w:r>
        <w:t>Some scholars overuse Latin or ancient Greek in their articles</w:t>
      </w:r>
      <w:r w:rsidR="00E21681">
        <w:t>.</w:t>
      </w:r>
      <w:r>
        <w:t xml:space="preserve"> </w:t>
      </w:r>
      <w:r w:rsidR="00E21681">
        <w:t>T</w:t>
      </w:r>
      <w:r>
        <w:t>his can be off</w:t>
      </w:r>
      <w:r w:rsidR="00E21681">
        <w:t>-</w:t>
      </w:r>
      <w:r>
        <w:t>putting</w:t>
      </w:r>
      <w:r w:rsidR="00B84282">
        <w:t>,</w:t>
      </w:r>
      <w:r w:rsidR="00FF54C8">
        <w:t xml:space="preserve"> b</w:t>
      </w:r>
      <w:r>
        <w:t>ut it is important to sometimes include the original Latin or Greek so that the reader can make their own translation</w:t>
      </w:r>
      <w:r w:rsidR="00B84282">
        <w:t>,</w:t>
      </w:r>
      <w:r>
        <w:t xml:space="preserve"> if they wish. Himmelfarb has done this to an exceptional standard because she has included the original Greek at some points such as when she is discussing the importance of </w:t>
      </w:r>
      <w:proofErr w:type="spellStart"/>
      <w:r>
        <w:rPr>
          <w:i/>
          <w:iCs/>
        </w:rPr>
        <w:t>gennaios</w:t>
      </w:r>
      <w:proofErr w:type="spellEnd"/>
      <w:r>
        <w:t xml:space="preserve"> or nobility, but she has not used so much that it is off-putting.</w:t>
      </w:r>
    </w:p>
    <w:p w14:paraId="6B14366C" w14:textId="0178C81F" w:rsidR="00F04F74" w:rsidRDefault="00F04F74" w:rsidP="00734430">
      <w:pPr>
        <w:spacing w:line="480" w:lineRule="auto"/>
      </w:pPr>
    </w:p>
    <w:p w14:paraId="11A1FC8B" w14:textId="0FA2852B" w:rsidR="00F04F74" w:rsidRDefault="00F04F74" w:rsidP="00734430">
      <w:pPr>
        <w:spacing w:line="480" w:lineRule="auto"/>
      </w:pPr>
      <w:r>
        <w:t xml:space="preserve">Himmelfarb also has a good use of scholarship in her article. She discusses other writers’ opinions on </w:t>
      </w:r>
      <w:r w:rsidR="00B84282">
        <w:t>the topics</w:t>
      </w:r>
      <w:r>
        <w:t xml:space="preserve"> </w:t>
      </w:r>
      <w:r w:rsidR="00B84282">
        <w:t xml:space="preserve">and also </w:t>
      </w:r>
      <w:r>
        <w:t xml:space="preserve">voices her own. An example of this </w:t>
      </w:r>
      <w:r w:rsidR="00B84282">
        <w:t xml:space="preserve">is </w:t>
      </w:r>
      <w:r w:rsidR="00C258BE">
        <w:t>when Himmelfarb</w:t>
      </w:r>
      <w:r>
        <w:t xml:space="preserve"> is discussing the scholarly debate over whether 2 Maccabees</w:t>
      </w:r>
      <w:r w:rsidR="00B84282">
        <w:t>,</w:t>
      </w:r>
      <w:r>
        <w:t xml:space="preserve"> chapter </w:t>
      </w:r>
      <w:r w:rsidR="000D2C3B">
        <w:t>seven</w:t>
      </w:r>
      <w:r w:rsidR="00C258BE">
        <w:t xml:space="preserve"> was</w:t>
      </w:r>
      <w:r>
        <w:t xml:space="preserve"> </w:t>
      </w:r>
      <w:r w:rsidR="00C258BE">
        <w:t xml:space="preserve">an original part of the book or </w:t>
      </w:r>
      <w:r w:rsidR="00B84282">
        <w:t>whether</w:t>
      </w:r>
      <w:r w:rsidR="00C258BE">
        <w:t xml:space="preserve"> it was a later addition.</w:t>
      </w:r>
      <w:r w:rsidR="00C258BE">
        <w:rPr>
          <w:rStyle w:val="FootnoteReference"/>
        </w:rPr>
        <w:footnoteReference w:id="4"/>
      </w:r>
      <w:r w:rsidR="00C258BE">
        <w:t xml:space="preserve"> She discusses other scholars such as </w:t>
      </w:r>
      <w:proofErr w:type="spellStart"/>
      <w:r w:rsidR="00C258BE">
        <w:lastRenderedPageBreak/>
        <w:t>Habic</w:t>
      </w:r>
      <w:r w:rsidR="00F27687">
        <w:t>h</w:t>
      </w:r>
      <w:r w:rsidR="00C258BE">
        <w:t>t’s</w:t>
      </w:r>
      <w:proofErr w:type="spellEnd"/>
      <w:r w:rsidR="00C258BE">
        <w:t xml:space="preserve">  before deciding</w:t>
      </w:r>
      <w:r w:rsidR="009C2C58">
        <w:t xml:space="preserve"> that chapter seven was probably an original part of 2 Maccabees because of the continuities</w:t>
      </w:r>
      <w:r w:rsidR="00C258BE">
        <w:t>.</w:t>
      </w:r>
      <w:r w:rsidR="00C258BE">
        <w:rPr>
          <w:rStyle w:val="FootnoteReference"/>
        </w:rPr>
        <w:footnoteReference w:id="5"/>
      </w:r>
      <w:r w:rsidR="00C258BE">
        <w:t xml:space="preserve"> This is an excellent use of secondary scholarship because she provides </w:t>
      </w:r>
      <w:r w:rsidR="009C2C58">
        <w:t xml:space="preserve">the opinions of </w:t>
      </w:r>
      <w:r w:rsidR="00C258BE">
        <w:t>scholar</w:t>
      </w:r>
      <w:r w:rsidR="009C2C58">
        <w:t>’</w:t>
      </w:r>
      <w:r w:rsidR="00C258BE">
        <w:t>s from both sides of the argument before coming to her own conclusion. She also uses evidence from the text to back up her opinio</w:t>
      </w:r>
      <w:r w:rsidR="00FF54C8">
        <w:t>n</w:t>
      </w:r>
      <w:r w:rsidR="00C258BE">
        <w:t>.</w:t>
      </w:r>
      <w:r w:rsidR="00C258BE">
        <w:rPr>
          <w:rStyle w:val="FootnoteReference"/>
        </w:rPr>
        <w:footnoteReference w:id="6"/>
      </w:r>
    </w:p>
    <w:p w14:paraId="7849F4F4" w14:textId="48471B98" w:rsidR="00F27687" w:rsidRDefault="00F27687" w:rsidP="00734430">
      <w:pPr>
        <w:spacing w:line="480" w:lineRule="auto"/>
      </w:pPr>
    </w:p>
    <w:p w14:paraId="3415C295" w14:textId="2F8C8F45" w:rsidR="0010075A" w:rsidRDefault="00F27687" w:rsidP="00734430">
      <w:pPr>
        <w:spacing w:line="480" w:lineRule="auto"/>
      </w:pPr>
      <w:r>
        <w:t xml:space="preserve">One of the main problems with this article is Himmelfarb’s engagement with the primary sources. </w:t>
      </w:r>
      <w:r w:rsidR="0010075A">
        <w:t>The problem is not that she does not engage with them but that she is inconsistent.</w:t>
      </w:r>
      <w:r w:rsidR="009C2C58">
        <w:t xml:space="preserve"> </w:t>
      </w:r>
      <w:r w:rsidR="0010075A">
        <w:t>At some points in her article</w:t>
      </w:r>
      <w:r w:rsidR="009C2C58">
        <w:t>,</w:t>
      </w:r>
      <w:r w:rsidR="0010075A">
        <w:t xml:space="preserve"> she engages well with her main primary source which is </w:t>
      </w:r>
      <w:r w:rsidR="009C2C58">
        <w:t xml:space="preserve">2 </w:t>
      </w:r>
      <w:r w:rsidR="0010075A">
        <w:t xml:space="preserve">Maccabees. Himmelfarb can be very good when picking quotations to use in her article. One example of this </w:t>
      </w:r>
      <w:r w:rsidR="009C2C58">
        <w:t>is</w:t>
      </w:r>
      <w:r w:rsidR="0010075A">
        <w:t xml:space="preserve"> when she quotes chapter 8 when Judah “enlisted those who had continued in the Jewish faith, and so they gathered about six thousand”.</w:t>
      </w:r>
      <w:r w:rsidR="0010075A">
        <w:rPr>
          <w:rStyle w:val="FootnoteReference"/>
        </w:rPr>
        <w:footnoteReference w:id="7"/>
      </w:r>
      <w:r w:rsidR="0010075A">
        <w:t xml:space="preserve"> This is a good use of quotation because</w:t>
      </w:r>
      <w:r w:rsidR="009C2C58">
        <w:t xml:space="preserve"> she reminds the reader that the number of people still following the Jewish faith was quite low</w:t>
      </w:r>
      <w:r w:rsidR="0010075A">
        <w:t>. This also highlights the importance of the martyrs</w:t>
      </w:r>
      <w:r w:rsidR="009C2C58">
        <w:t>,</w:t>
      </w:r>
      <w:r w:rsidR="0010075A">
        <w:t xml:space="preserve"> who she discusses later in the article, because not only were they still following the Jewish faith, but they were prepared to die for doing so.</w:t>
      </w:r>
    </w:p>
    <w:p w14:paraId="4BC27766" w14:textId="7E6B4EE8" w:rsidR="0010075A" w:rsidRDefault="0010075A" w:rsidP="00734430">
      <w:pPr>
        <w:spacing w:line="480" w:lineRule="auto"/>
      </w:pPr>
    </w:p>
    <w:p w14:paraId="6E66C0C1" w14:textId="038782D0" w:rsidR="005611A3" w:rsidRDefault="0010075A" w:rsidP="00734430">
      <w:pPr>
        <w:spacing w:line="480" w:lineRule="auto"/>
      </w:pPr>
      <w:r>
        <w:t>This shows that Himmelfarb’s engagement with primary sources</w:t>
      </w:r>
      <w:r w:rsidR="00613D10">
        <w:t xml:space="preserve"> such as the </w:t>
      </w:r>
      <w:r w:rsidR="00FF54C8">
        <w:t>B</w:t>
      </w:r>
      <w:r w:rsidR="00613D10">
        <w:t>ible</w:t>
      </w:r>
      <w:r w:rsidR="009C2C58">
        <w:t>,</w:t>
      </w:r>
      <w:r w:rsidR="00613D10">
        <w:t xml:space="preserve"> particularly</w:t>
      </w:r>
      <w:r w:rsidR="00AA22C2">
        <w:t xml:space="preserve"> 2</w:t>
      </w:r>
      <w:r w:rsidR="00613D10">
        <w:t xml:space="preserve"> Maccabees</w:t>
      </w:r>
      <w:r w:rsidR="00A2046A">
        <w:t>,</w:t>
      </w:r>
      <w:r w:rsidR="00613D10">
        <w:t xml:space="preserve"> can be very good. </w:t>
      </w:r>
      <w:r w:rsidR="00A2046A">
        <w:t>However, her</w:t>
      </w:r>
      <w:r w:rsidR="00613D10">
        <w:t xml:space="preserve"> engagement with other primary sources </w:t>
      </w:r>
      <w:r w:rsidR="00A2046A">
        <w:t>(</w:t>
      </w:r>
      <w:r w:rsidR="00613D10">
        <w:t>such as Plutarch or Plato</w:t>
      </w:r>
      <w:r w:rsidR="00A2046A">
        <w:t>)</w:t>
      </w:r>
      <w:r w:rsidR="00613D10">
        <w:t xml:space="preserve"> is not as good. This inconsistency can be seen most clearly when she compares the use of </w:t>
      </w:r>
      <w:proofErr w:type="spellStart"/>
      <w:r w:rsidR="00613D10">
        <w:rPr>
          <w:i/>
          <w:iCs/>
        </w:rPr>
        <w:t>gennaios</w:t>
      </w:r>
      <w:proofErr w:type="spellEnd"/>
      <w:r w:rsidR="00613D10">
        <w:t xml:space="preserve"> or noble in Maccabees 2 and other ancient </w:t>
      </w:r>
      <w:r w:rsidR="00613D10">
        <w:lastRenderedPageBreak/>
        <w:t xml:space="preserve">sources. Forms of </w:t>
      </w:r>
      <w:proofErr w:type="spellStart"/>
      <w:r w:rsidR="00613D10">
        <w:rPr>
          <w:i/>
          <w:iCs/>
        </w:rPr>
        <w:t>gennaios</w:t>
      </w:r>
      <w:proofErr w:type="spellEnd"/>
      <w:r w:rsidR="00613D10">
        <w:t xml:space="preserve"> are used eleven times through the course of 2 Maccabees,</w:t>
      </w:r>
      <w:r w:rsidR="00613D10">
        <w:rPr>
          <w:rStyle w:val="FootnoteReference"/>
        </w:rPr>
        <w:footnoteReference w:id="8"/>
      </w:r>
      <w:r w:rsidR="00613D10">
        <w:t xml:space="preserve"> and she describes each of them. </w:t>
      </w:r>
    </w:p>
    <w:p w14:paraId="5790A2FA" w14:textId="62C93AEB" w:rsidR="001A35B0" w:rsidRDefault="001A35B0" w:rsidP="00734430">
      <w:pPr>
        <w:spacing w:line="480" w:lineRule="auto"/>
      </w:pPr>
    </w:p>
    <w:p w14:paraId="6D385285" w14:textId="1ACFBD13" w:rsidR="00DF1C72" w:rsidRPr="00DF1C72" w:rsidRDefault="001A35B0" w:rsidP="00734430">
      <w:pPr>
        <w:spacing w:line="480" w:lineRule="auto"/>
        <w:rPr>
          <w:rFonts w:ascii="Times New Roman" w:eastAsia="Times New Roman" w:hAnsi="Times New Roman" w:cs="Times New Roman"/>
          <w:lang w:eastAsia="en-GB"/>
        </w:rPr>
      </w:pPr>
      <w:r>
        <w:t xml:space="preserve">An example of this can be seen </w:t>
      </w:r>
      <w:r w:rsidR="00A2046A">
        <w:t>in</w:t>
      </w:r>
      <w:r>
        <w:t xml:space="preserve"> chapter seven when the mother encourages her </w:t>
      </w:r>
      <w:r w:rsidR="00DF1C72">
        <w:t>sons, “</w:t>
      </w:r>
      <w:r w:rsidR="00DF1C72" w:rsidRPr="00DF1C72">
        <w:rPr>
          <w:rFonts w:eastAsia="Times New Roman" w:cstheme="minorHAnsi"/>
          <w:color w:val="000000"/>
          <w:shd w:val="clear" w:color="auto" w:fill="FFFFFF"/>
          <w:lang w:eastAsia="en-GB"/>
        </w:rPr>
        <w:t>Filled with a noble spirit, she reinforced her woman’s reasoning with a man’s courage</w:t>
      </w:r>
      <w:r w:rsidR="00DF1C72">
        <w:rPr>
          <w:rFonts w:eastAsia="Times New Roman" w:cstheme="minorHAnsi"/>
          <w:color w:val="000000"/>
          <w:shd w:val="clear" w:color="auto" w:fill="FFFFFF"/>
          <w:lang w:eastAsia="en-GB"/>
        </w:rPr>
        <w:t>.”</w:t>
      </w:r>
      <w:r w:rsidR="00DF1C72">
        <w:rPr>
          <w:rStyle w:val="FootnoteReference"/>
          <w:rFonts w:eastAsia="Times New Roman" w:cstheme="minorHAnsi"/>
          <w:color w:val="000000"/>
          <w:shd w:val="clear" w:color="auto" w:fill="FFFFFF"/>
          <w:lang w:eastAsia="en-GB"/>
        </w:rPr>
        <w:footnoteReference w:id="9"/>
      </w:r>
      <w:r w:rsidR="00DF1C72">
        <w:rPr>
          <w:rFonts w:eastAsia="Times New Roman" w:cstheme="minorHAnsi"/>
          <w:color w:val="000000"/>
          <w:shd w:val="clear" w:color="auto" w:fill="FFFFFF"/>
          <w:lang w:eastAsia="en-GB"/>
        </w:rPr>
        <w:t xml:space="preserve"> Craven comments </w:t>
      </w:r>
      <w:r w:rsidR="00A2046A">
        <w:rPr>
          <w:rFonts w:eastAsia="Times New Roman" w:cstheme="minorHAnsi"/>
          <w:color w:val="000000"/>
          <w:shd w:val="clear" w:color="auto" w:fill="FFFFFF"/>
          <w:lang w:eastAsia="en-GB"/>
        </w:rPr>
        <w:t>in</w:t>
      </w:r>
      <w:r w:rsidR="00DF1C72">
        <w:rPr>
          <w:rFonts w:eastAsia="Times New Roman" w:cstheme="minorHAnsi"/>
          <w:color w:val="000000"/>
          <w:shd w:val="clear" w:color="auto" w:fill="FFFFFF"/>
          <w:lang w:eastAsia="en-GB"/>
        </w:rPr>
        <w:t xml:space="preserve"> her commentary of chapter</w:t>
      </w:r>
      <w:r w:rsidR="00A2046A">
        <w:rPr>
          <w:rFonts w:eastAsia="Times New Roman" w:cstheme="minorHAnsi"/>
          <w:color w:val="000000"/>
          <w:shd w:val="clear" w:color="auto" w:fill="FFFFFF"/>
          <w:lang w:eastAsia="en-GB"/>
        </w:rPr>
        <w:t xml:space="preserve"> seven</w:t>
      </w:r>
      <w:r w:rsidR="00DF1C72">
        <w:rPr>
          <w:rFonts w:eastAsia="Times New Roman" w:cstheme="minorHAnsi"/>
          <w:color w:val="000000"/>
          <w:shd w:val="clear" w:color="auto" w:fill="FFFFFF"/>
          <w:lang w:eastAsia="en-GB"/>
        </w:rPr>
        <w:t xml:space="preserve"> that these are Greek values and that</w:t>
      </w:r>
      <w:r w:rsidR="00A2046A">
        <w:rPr>
          <w:rFonts w:eastAsia="Times New Roman" w:cstheme="minorHAnsi"/>
          <w:color w:val="000000"/>
          <w:shd w:val="clear" w:color="auto" w:fill="FFFFFF"/>
          <w:lang w:eastAsia="en-GB"/>
        </w:rPr>
        <w:t xml:space="preserve"> the mother</w:t>
      </w:r>
      <w:r w:rsidR="00DF1C72">
        <w:rPr>
          <w:rFonts w:eastAsia="Times New Roman" w:cstheme="minorHAnsi"/>
          <w:color w:val="000000"/>
          <w:shd w:val="clear" w:color="auto" w:fill="FFFFFF"/>
          <w:lang w:eastAsia="en-GB"/>
        </w:rPr>
        <w:t xml:space="preserve"> is praised for “being like a man.”</w:t>
      </w:r>
      <w:r w:rsidR="00DF1C72">
        <w:rPr>
          <w:rStyle w:val="FootnoteReference"/>
          <w:rFonts w:eastAsia="Times New Roman" w:cstheme="minorHAnsi"/>
          <w:color w:val="000000"/>
          <w:shd w:val="clear" w:color="auto" w:fill="FFFFFF"/>
          <w:lang w:eastAsia="en-GB"/>
        </w:rPr>
        <w:footnoteReference w:id="10"/>
      </w:r>
      <w:r w:rsidR="00DF1C72">
        <w:rPr>
          <w:rFonts w:eastAsia="Times New Roman" w:cstheme="minorHAnsi"/>
          <w:color w:val="000000"/>
          <w:shd w:val="clear" w:color="auto" w:fill="FFFFFF"/>
          <w:lang w:eastAsia="en-GB"/>
        </w:rPr>
        <w:t xml:space="preserve"> This show</w:t>
      </w:r>
      <w:r w:rsidR="00A2046A">
        <w:rPr>
          <w:rFonts w:eastAsia="Times New Roman" w:cstheme="minorHAnsi"/>
          <w:color w:val="000000"/>
          <w:shd w:val="clear" w:color="auto" w:fill="FFFFFF"/>
          <w:lang w:eastAsia="en-GB"/>
        </w:rPr>
        <w:t>s</w:t>
      </w:r>
      <w:r w:rsidR="00DF1C72">
        <w:rPr>
          <w:rFonts w:eastAsia="Times New Roman" w:cstheme="minorHAnsi"/>
          <w:color w:val="000000"/>
          <w:shd w:val="clear" w:color="auto" w:fill="FFFFFF"/>
          <w:lang w:eastAsia="en-GB"/>
        </w:rPr>
        <w:t xml:space="preserve"> the importance of nobility and courage which were Greek values in 2 Maccabees.</w:t>
      </w:r>
    </w:p>
    <w:p w14:paraId="5CE62B00" w14:textId="24C2B8E5" w:rsidR="001A35B0" w:rsidRDefault="001A35B0" w:rsidP="00734430">
      <w:pPr>
        <w:spacing w:line="480" w:lineRule="auto"/>
      </w:pPr>
    </w:p>
    <w:p w14:paraId="0538157E" w14:textId="0ECACA6B" w:rsidR="00AA22C2" w:rsidRDefault="00613D10" w:rsidP="00734430">
      <w:pPr>
        <w:spacing w:line="480" w:lineRule="auto"/>
      </w:pPr>
      <w:r>
        <w:t>However</w:t>
      </w:r>
      <w:r w:rsidR="00A2046A">
        <w:t>,</w:t>
      </w:r>
      <w:r>
        <w:t xml:space="preserve"> the same cannot be said of the other ancient sources</w:t>
      </w:r>
      <w:r w:rsidR="00A2046A">
        <w:t>.</w:t>
      </w:r>
      <w:r>
        <w:t xml:space="preserve"> </w:t>
      </w:r>
      <w:r w:rsidR="005611A3">
        <w:t>Himmelfarb states</w:t>
      </w:r>
      <w:r w:rsidR="00A2046A">
        <w:t xml:space="preserve"> i</w:t>
      </w:r>
      <w:r w:rsidR="00A2046A">
        <w:t xml:space="preserve">n her footnotes, </w:t>
      </w:r>
      <w:r w:rsidR="005611A3">
        <w:t xml:space="preserve">that her research showed that Plato used a form of </w:t>
      </w:r>
      <w:proofErr w:type="spellStart"/>
      <w:r w:rsidR="005611A3">
        <w:rPr>
          <w:i/>
          <w:iCs/>
        </w:rPr>
        <w:t>gennaios</w:t>
      </w:r>
      <w:proofErr w:type="spellEnd"/>
      <w:r w:rsidR="005611A3">
        <w:rPr>
          <w:i/>
          <w:iCs/>
        </w:rPr>
        <w:t xml:space="preserve"> </w:t>
      </w:r>
      <w:r w:rsidR="005611A3">
        <w:t>one hundred times and Plutarch one hundred and twenty</w:t>
      </w:r>
      <w:r w:rsidR="00A2046A">
        <w:t xml:space="preserve"> times</w:t>
      </w:r>
      <w:r w:rsidR="005611A3">
        <w:t>.</w:t>
      </w:r>
      <w:r w:rsidR="005611A3">
        <w:rPr>
          <w:rStyle w:val="FootnoteReference"/>
        </w:rPr>
        <w:footnoteReference w:id="11"/>
      </w:r>
      <w:r w:rsidR="005611A3">
        <w:t xml:space="preserve"> This could suggest that nobility was very important in the Greek world</w:t>
      </w:r>
      <w:r w:rsidR="00FF54C8">
        <w:t>.</w:t>
      </w:r>
      <w:r w:rsidR="005611A3">
        <w:t xml:space="preserve"> She only includes one quotation on </w:t>
      </w:r>
      <w:proofErr w:type="spellStart"/>
      <w:r w:rsidR="005611A3">
        <w:rPr>
          <w:i/>
          <w:iCs/>
        </w:rPr>
        <w:t>gennaios</w:t>
      </w:r>
      <w:proofErr w:type="spellEnd"/>
      <w:r w:rsidR="005611A3">
        <w:t xml:space="preserve"> which is not from the </w:t>
      </w:r>
      <w:r w:rsidR="00A2046A">
        <w:t>B</w:t>
      </w:r>
      <w:r w:rsidR="005611A3">
        <w:t>ible, “Therefore on this occasion they gallantly faced opponents who largely outnumbered them”</w:t>
      </w:r>
      <w:r w:rsidR="00A2046A">
        <w:t>.</w:t>
      </w:r>
      <w:r w:rsidR="005611A3">
        <w:rPr>
          <w:rStyle w:val="FootnoteReference"/>
        </w:rPr>
        <w:footnoteReference w:id="12"/>
      </w:r>
      <w:r w:rsidR="005611A3">
        <w:t xml:space="preserve"> </w:t>
      </w:r>
      <w:r w:rsidR="00A2046A">
        <w:t>G</w:t>
      </w:r>
      <w:r w:rsidR="005611A3">
        <w:t xml:space="preserve">allantly in the original Greek is </w:t>
      </w:r>
      <w:proofErr w:type="spellStart"/>
      <w:r w:rsidR="005611A3">
        <w:rPr>
          <w:i/>
          <w:iCs/>
        </w:rPr>
        <w:t>gennaios</w:t>
      </w:r>
      <w:proofErr w:type="spellEnd"/>
      <w:r w:rsidR="005611A3">
        <w:rPr>
          <w:i/>
          <w:iCs/>
        </w:rPr>
        <w:t>.</w:t>
      </w:r>
      <w:r w:rsidR="005611A3">
        <w:t xml:space="preserve"> This is Himmelfarb </w:t>
      </w:r>
      <w:r w:rsidR="00AA22C2">
        <w:t>suggesting that 2 Maccabees was trying to place Greek values of nobility on its martyrs and heroes such as Judah, but she does not give enough direct quotations from the other ancient texts to back this up. She gives eleven quotations from 2 Maccabees but only one out of hundreds</w:t>
      </w:r>
      <w:r w:rsidR="00A2046A">
        <w:t xml:space="preserve"> of possibilities</w:t>
      </w:r>
      <w:r w:rsidR="00AA22C2">
        <w:t xml:space="preserve"> from the other sources. In Himmelfarb’s defence</w:t>
      </w:r>
      <w:r w:rsidR="00A2046A">
        <w:t>,</w:t>
      </w:r>
      <w:r w:rsidR="00AA22C2">
        <w:t xml:space="preserve"> she does try to explain this inconsistency in her footnotes, “The great</w:t>
      </w:r>
      <w:r w:rsidR="000D2C3B">
        <w:t>er</w:t>
      </w:r>
      <w:r w:rsidR="00AA22C2">
        <w:t xml:space="preserve"> size of these corpora means </w:t>
      </w:r>
      <w:r w:rsidR="00AA22C2">
        <w:lastRenderedPageBreak/>
        <w:t>that these terms are relatively far less frequent in these authors than in 2 Maccabees”</w:t>
      </w:r>
      <w:r w:rsidR="000D2C3B">
        <w:t>.</w:t>
      </w:r>
      <w:r w:rsidR="00AA22C2">
        <w:rPr>
          <w:rStyle w:val="FootnoteReference"/>
        </w:rPr>
        <w:footnoteReference w:id="13"/>
      </w:r>
      <w:r w:rsidR="00AA22C2">
        <w:t xml:space="preserve"> </w:t>
      </w:r>
      <w:r w:rsidR="000D2C3B">
        <w:t>For the reader a</w:t>
      </w:r>
      <w:r w:rsidR="00AA22C2">
        <w:t xml:space="preserve"> broader comparison between</w:t>
      </w:r>
      <w:r w:rsidR="000D2C3B">
        <w:t xml:space="preserve"> 2</w:t>
      </w:r>
      <w:r w:rsidR="00AA22C2">
        <w:t xml:space="preserve"> Maccabees and the other ancient texts would have been appreciated.</w:t>
      </w:r>
    </w:p>
    <w:p w14:paraId="055F104D" w14:textId="2B011CA9" w:rsidR="00AA22C2" w:rsidRDefault="00AA22C2" w:rsidP="00734430">
      <w:pPr>
        <w:spacing w:line="480" w:lineRule="auto"/>
      </w:pPr>
    </w:p>
    <w:p w14:paraId="30A7067F" w14:textId="5E85EC8B" w:rsidR="00D242A9" w:rsidRDefault="00AA22C2" w:rsidP="00734430">
      <w:pPr>
        <w:spacing w:line="480" w:lineRule="auto"/>
      </w:pPr>
      <w:r>
        <w:t>To add to this</w:t>
      </w:r>
      <w:r w:rsidR="000D2C3B">
        <w:t>,</w:t>
      </w:r>
      <w:r>
        <w:t xml:space="preserve"> Himmelfarb states at the beginning of the article that 2 Maccabees was writ</w:t>
      </w:r>
      <w:r w:rsidR="000D2C3B">
        <w:t>ten</w:t>
      </w:r>
      <w:r>
        <w:t xml:space="preserve"> in a</w:t>
      </w:r>
      <w:r w:rsidR="000D2C3B">
        <w:t>n</w:t>
      </w:r>
      <w:r>
        <w:t xml:space="preserve"> “elevated and highly rhetorical style,”</w:t>
      </w:r>
      <w:r>
        <w:rPr>
          <w:rStyle w:val="FootnoteReference"/>
        </w:rPr>
        <w:footnoteReference w:id="14"/>
      </w:r>
      <w:r>
        <w:t xml:space="preserve"> which was popular in histories during the Hellenistic period. </w:t>
      </w:r>
      <w:r w:rsidR="000D2C3B">
        <w:t>However</w:t>
      </w:r>
      <w:r>
        <w:t xml:space="preserve">, Himmelfarb gives no examples as to which particular texts 2 Maccabees may have been inspired by. </w:t>
      </w:r>
    </w:p>
    <w:p w14:paraId="2B4937D1" w14:textId="77777777" w:rsidR="00D242A9" w:rsidRDefault="00D242A9" w:rsidP="00734430">
      <w:pPr>
        <w:spacing w:line="480" w:lineRule="auto"/>
      </w:pPr>
    </w:p>
    <w:p w14:paraId="64B54C32" w14:textId="13D02479" w:rsidR="00AA22C2" w:rsidRDefault="00D242A9" w:rsidP="00734430">
      <w:pPr>
        <w:spacing w:line="480" w:lineRule="auto"/>
      </w:pPr>
      <w:r>
        <w:t xml:space="preserve">Daniel </w:t>
      </w:r>
      <w:proofErr w:type="spellStart"/>
      <w:r>
        <w:t>Schwarez</w:t>
      </w:r>
      <w:proofErr w:type="spellEnd"/>
      <w:r w:rsidR="000D2C3B">
        <w:t xml:space="preserve"> suggest</w:t>
      </w:r>
      <w:r w:rsidR="000D2C3B">
        <w:t>s</w:t>
      </w:r>
      <w:r>
        <w:t xml:space="preserve"> in his lecture </w:t>
      </w:r>
      <w:r>
        <w:rPr>
          <w:i/>
          <w:iCs/>
        </w:rPr>
        <w:t>Maccabees 1 and 2</w:t>
      </w:r>
      <w:r>
        <w:t xml:space="preserve"> some ancient texts that 2 Maccabees may have been inspired by.</w:t>
      </w:r>
      <w:r>
        <w:rPr>
          <w:rStyle w:val="FootnoteReference"/>
        </w:rPr>
        <w:footnoteReference w:id="15"/>
      </w:r>
      <w:r>
        <w:t xml:space="preserve"> He s</w:t>
      </w:r>
      <w:r w:rsidR="000D2C3B">
        <w:t>tates</w:t>
      </w:r>
      <w:r>
        <w:t xml:space="preserve"> that the martyrdom of Eleazar in chapter six may have been inspired by the death of Socrates</w:t>
      </w:r>
      <w:r w:rsidR="000D2C3B">
        <w:t>.</w:t>
      </w:r>
      <w:r>
        <w:rPr>
          <w:rStyle w:val="FootnoteReference"/>
        </w:rPr>
        <w:footnoteReference w:id="16"/>
      </w:r>
      <w:r>
        <w:t xml:space="preserve"> </w:t>
      </w:r>
      <w:r w:rsidR="000D2C3B">
        <w:t>According to him,</w:t>
      </w:r>
      <w:r>
        <w:t xml:space="preserve"> the arrogance of Antiochus in chapter five can be compared to Herodotus’ description of Xerxes trying to build a bridge across the Hellespont</w:t>
      </w:r>
      <w:r w:rsidR="00630102">
        <w:rPr>
          <w:rStyle w:val="FootnoteReference"/>
        </w:rPr>
        <w:footnoteReference w:id="17"/>
      </w:r>
      <w:r>
        <w:t xml:space="preserve"> because they both show the arrogance of oriental tyrants. The most interesting comparison though in my opinion is that of the mother from chapter seven to Antigone from Sophocles’ play. This is because both of these women are martyrs as they are both willing to die for what they believe to be right, and they both do this because of their religion, “having committed a crime that is holy.”</w:t>
      </w:r>
      <w:r>
        <w:rPr>
          <w:rStyle w:val="FootnoteReference"/>
        </w:rPr>
        <w:footnoteReference w:id="18"/>
      </w:r>
      <w:r>
        <w:t xml:space="preserve"> In addition</w:t>
      </w:r>
      <w:r w:rsidR="000D2C3B">
        <w:t>,</w:t>
      </w:r>
      <w:r>
        <w:t xml:space="preserve"> both women stand up to an evil tyrant.</w:t>
      </w:r>
    </w:p>
    <w:p w14:paraId="50D0641A" w14:textId="659D1B13" w:rsidR="00DF1C72" w:rsidRDefault="00DF1C72" w:rsidP="00734430">
      <w:pPr>
        <w:spacing w:line="480" w:lineRule="auto"/>
      </w:pPr>
    </w:p>
    <w:p w14:paraId="37F5E86E" w14:textId="081AE720" w:rsidR="00E71FF7" w:rsidRDefault="00DF1C72" w:rsidP="00734430">
      <w:pPr>
        <w:spacing w:line="480" w:lineRule="auto"/>
      </w:pPr>
      <w:r>
        <w:lastRenderedPageBreak/>
        <w:t xml:space="preserve">The final section in Himmelfarb’s article explores the use of ancestral language or Hebrew in 2 Maccabees. </w:t>
      </w:r>
      <w:r w:rsidR="00E71FF7">
        <w:t>She does this by doing a close reading of chapter seven and analysing the uses of Hebrew.</w:t>
      </w:r>
    </w:p>
    <w:p w14:paraId="62DB1E02" w14:textId="77777777" w:rsidR="00E71FF7" w:rsidRDefault="00E71FF7" w:rsidP="00734430">
      <w:pPr>
        <w:spacing w:line="480" w:lineRule="auto"/>
      </w:pPr>
    </w:p>
    <w:p w14:paraId="1A6BE970" w14:textId="27B68B36" w:rsidR="00DF1C72" w:rsidRDefault="00E71FF7" w:rsidP="00734430">
      <w:pPr>
        <w:spacing w:line="480" w:lineRule="auto"/>
        <w:rPr>
          <w:rFonts w:eastAsia="Times New Roman" w:cstheme="minorHAnsi"/>
          <w:color w:val="000000"/>
          <w:shd w:val="clear" w:color="auto" w:fill="FFFFFF"/>
          <w:lang w:eastAsia="en-GB"/>
        </w:rPr>
      </w:pPr>
      <w:r>
        <w:t>She analyses all the uses of Hebrew in the book but o</w:t>
      </w:r>
      <w:r w:rsidR="00DF1C72">
        <w:t xml:space="preserve">ne of the most effective uses of Hebrew </w:t>
      </w:r>
      <w:r>
        <w:t>occurs when one of the sons is refusing to eat the pork</w:t>
      </w:r>
      <w:r w:rsidR="00DF1C72">
        <w:t xml:space="preserve">, </w:t>
      </w:r>
      <w:r w:rsidR="00DF1C72" w:rsidRPr="00DF1C72">
        <w:rPr>
          <w:rFonts w:cstheme="minorHAnsi"/>
        </w:rPr>
        <w:t>“</w:t>
      </w:r>
      <w:r w:rsidR="00DF1C72" w:rsidRPr="00DF1C72">
        <w:rPr>
          <w:rFonts w:eastAsia="Times New Roman" w:cstheme="minorHAnsi"/>
          <w:color w:val="000000"/>
          <w:shd w:val="clear" w:color="auto" w:fill="FFFFFF"/>
          <w:lang w:eastAsia="en-GB"/>
        </w:rPr>
        <w:t>He replied in the language of his ancestors and said to them, “No.”</w:t>
      </w:r>
      <w:r w:rsidR="00DF1C72">
        <w:rPr>
          <w:rFonts w:eastAsia="Times New Roman" w:cstheme="minorHAnsi"/>
          <w:color w:val="000000"/>
          <w:shd w:val="clear" w:color="auto" w:fill="FFFFFF"/>
          <w:lang w:eastAsia="en-GB"/>
        </w:rPr>
        <w:t>”</w:t>
      </w:r>
      <w:r w:rsidR="00DF1C72">
        <w:rPr>
          <w:rStyle w:val="FootnoteReference"/>
          <w:rFonts w:eastAsia="Times New Roman" w:cstheme="minorHAnsi"/>
          <w:color w:val="000000"/>
          <w:shd w:val="clear" w:color="auto" w:fill="FFFFFF"/>
          <w:lang w:eastAsia="en-GB"/>
        </w:rPr>
        <w:footnoteReference w:id="19"/>
      </w:r>
      <w:r w:rsidR="00DF1C72">
        <w:rPr>
          <w:rFonts w:eastAsia="Times New Roman" w:cstheme="minorHAnsi"/>
          <w:color w:val="000000"/>
          <w:shd w:val="clear" w:color="auto" w:fill="FFFFFF"/>
          <w:lang w:eastAsia="en-GB"/>
        </w:rPr>
        <w:t xml:space="preserve"> </w:t>
      </w:r>
      <w:r w:rsidR="00B77605">
        <w:rPr>
          <w:rFonts w:eastAsia="Times New Roman" w:cstheme="minorHAnsi"/>
          <w:color w:val="000000"/>
          <w:shd w:val="clear" w:color="auto" w:fill="FFFFFF"/>
          <w:lang w:eastAsia="en-GB"/>
        </w:rPr>
        <w:t>This is an effective use of Hebrew because it makes it clear that the son answered in Hebrew</w:t>
      </w:r>
      <w:r w:rsidR="000D2C3B">
        <w:rPr>
          <w:rFonts w:eastAsia="Times New Roman" w:cstheme="minorHAnsi"/>
          <w:color w:val="000000"/>
          <w:shd w:val="clear" w:color="auto" w:fill="FFFFFF"/>
          <w:lang w:eastAsia="en-GB"/>
        </w:rPr>
        <w:t xml:space="preserve">, </w:t>
      </w:r>
      <w:r w:rsidR="00B77605">
        <w:rPr>
          <w:rFonts w:eastAsia="Times New Roman" w:cstheme="minorHAnsi"/>
          <w:color w:val="000000"/>
          <w:shd w:val="clear" w:color="auto" w:fill="FFFFFF"/>
          <w:lang w:eastAsia="en-GB"/>
        </w:rPr>
        <w:t xml:space="preserve"> “</w:t>
      </w:r>
      <w:r w:rsidR="000D2C3B">
        <w:rPr>
          <w:rFonts w:eastAsia="Times New Roman" w:cstheme="minorHAnsi"/>
          <w:color w:val="000000"/>
          <w:shd w:val="clear" w:color="auto" w:fill="FFFFFF"/>
          <w:lang w:eastAsia="en-GB"/>
        </w:rPr>
        <w:t xml:space="preserve">the </w:t>
      </w:r>
      <w:r w:rsidR="00B77605">
        <w:rPr>
          <w:rFonts w:eastAsia="Times New Roman" w:cstheme="minorHAnsi"/>
          <w:color w:val="000000"/>
          <w:shd w:val="clear" w:color="auto" w:fill="FFFFFF"/>
          <w:lang w:eastAsia="en-GB"/>
        </w:rPr>
        <w:t>language of his ancestors”</w:t>
      </w:r>
      <w:r w:rsidR="00B77605">
        <w:rPr>
          <w:rStyle w:val="FootnoteReference"/>
          <w:rFonts w:eastAsia="Times New Roman" w:cstheme="minorHAnsi"/>
          <w:color w:val="000000"/>
          <w:shd w:val="clear" w:color="auto" w:fill="FFFFFF"/>
          <w:lang w:eastAsia="en-GB"/>
        </w:rPr>
        <w:footnoteReference w:id="20"/>
      </w:r>
      <w:r w:rsidR="00B77605">
        <w:rPr>
          <w:rFonts w:eastAsia="Times New Roman" w:cstheme="minorHAnsi"/>
          <w:color w:val="000000"/>
          <w:shd w:val="clear" w:color="auto" w:fill="FFFFFF"/>
          <w:lang w:eastAsia="en-GB"/>
        </w:rPr>
        <w:t xml:space="preserve"> but he gives an abrupt one</w:t>
      </w:r>
      <w:r w:rsidR="000D2C3B">
        <w:rPr>
          <w:rFonts w:eastAsia="Times New Roman" w:cstheme="minorHAnsi"/>
          <w:color w:val="000000"/>
          <w:shd w:val="clear" w:color="auto" w:fill="FFFFFF"/>
          <w:lang w:eastAsia="en-GB"/>
        </w:rPr>
        <w:t>-</w:t>
      </w:r>
      <w:r w:rsidR="00B77605">
        <w:rPr>
          <w:rFonts w:eastAsia="Times New Roman" w:cstheme="minorHAnsi"/>
          <w:color w:val="000000"/>
          <w:shd w:val="clear" w:color="auto" w:fill="FFFFFF"/>
          <w:lang w:eastAsia="en-GB"/>
        </w:rPr>
        <w:t>word answer, “No.”</w:t>
      </w:r>
      <w:r w:rsidR="00B77605">
        <w:rPr>
          <w:rStyle w:val="FootnoteReference"/>
          <w:rFonts w:eastAsia="Times New Roman" w:cstheme="minorHAnsi"/>
          <w:color w:val="000000"/>
          <w:shd w:val="clear" w:color="auto" w:fill="FFFFFF"/>
          <w:lang w:eastAsia="en-GB"/>
        </w:rPr>
        <w:footnoteReference w:id="21"/>
      </w:r>
      <w:r w:rsidR="00B77605">
        <w:rPr>
          <w:rFonts w:eastAsia="Times New Roman" w:cstheme="minorHAnsi"/>
          <w:color w:val="000000"/>
          <w:shd w:val="clear" w:color="auto" w:fill="FFFFFF"/>
          <w:lang w:eastAsia="en-GB"/>
        </w:rPr>
        <w:t xml:space="preserve"> As Himmelfarb notes</w:t>
      </w:r>
      <w:r w:rsidR="00CC1807">
        <w:rPr>
          <w:rFonts w:eastAsia="Times New Roman" w:cstheme="minorHAnsi"/>
          <w:color w:val="000000"/>
          <w:shd w:val="clear" w:color="auto" w:fill="FFFFFF"/>
          <w:lang w:eastAsia="en-GB"/>
        </w:rPr>
        <w:t>,</w:t>
      </w:r>
      <w:r w:rsidR="00B77605">
        <w:rPr>
          <w:rFonts w:eastAsia="Times New Roman" w:cstheme="minorHAnsi"/>
          <w:color w:val="000000"/>
          <w:shd w:val="clear" w:color="auto" w:fill="FFFFFF"/>
          <w:lang w:eastAsia="en-GB"/>
        </w:rPr>
        <w:t xml:space="preserve"> as the son would have been a subject of the Hellenistic empire, he would at least have been able to give this answer in Greek.</w:t>
      </w:r>
      <w:r w:rsidR="00B77605">
        <w:rPr>
          <w:rStyle w:val="FootnoteReference"/>
          <w:rFonts w:eastAsia="Times New Roman" w:cstheme="minorHAnsi"/>
          <w:color w:val="000000"/>
          <w:shd w:val="clear" w:color="auto" w:fill="FFFFFF"/>
          <w:lang w:eastAsia="en-GB"/>
        </w:rPr>
        <w:footnoteReference w:id="22"/>
      </w:r>
      <w:r w:rsidR="00B77605">
        <w:rPr>
          <w:rFonts w:eastAsia="Times New Roman" w:cstheme="minorHAnsi"/>
          <w:color w:val="000000"/>
          <w:shd w:val="clear" w:color="auto" w:fill="FFFFFF"/>
          <w:lang w:eastAsia="en-GB"/>
        </w:rPr>
        <w:t xml:space="preserve"> This means that when Hebrew was used it was an act of resistance or defiance</w:t>
      </w:r>
      <w:r w:rsidR="000D2C3B">
        <w:rPr>
          <w:rFonts w:eastAsia="Times New Roman" w:cstheme="minorHAnsi"/>
          <w:color w:val="000000"/>
          <w:shd w:val="clear" w:color="auto" w:fill="FFFFFF"/>
          <w:lang w:eastAsia="en-GB"/>
        </w:rPr>
        <w:t>.</w:t>
      </w:r>
      <w:r w:rsidR="00B77605">
        <w:rPr>
          <w:rFonts w:eastAsia="Times New Roman" w:cstheme="minorHAnsi"/>
          <w:color w:val="000000"/>
          <w:shd w:val="clear" w:color="auto" w:fill="FFFFFF"/>
          <w:lang w:eastAsia="en-GB"/>
        </w:rPr>
        <w:t xml:space="preserve"> Hebrew was also used by Judah later in the book when commanding his army.</w:t>
      </w:r>
      <w:r w:rsidR="00B77605">
        <w:rPr>
          <w:rStyle w:val="FootnoteReference"/>
          <w:rFonts w:eastAsia="Times New Roman" w:cstheme="minorHAnsi"/>
          <w:color w:val="000000"/>
          <w:shd w:val="clear" w:color="auto" w:fill="FFFFFF"/>
          <w:lang w:eastAsia="en-GB"/>
        </w:rPr>
        <w:footnoteReference w:id="23"/>
      </w:r>
      <w:r w:rsidR="00B77605">
        <w:rPr>
          <w:rFonts w:eastAsia="Times New Roman" w:cstheme="minorHAnsi"/>
          <w:color w:val="000000"/>
          <w:shd w:val="clear" w:color="auto" w:fill="FFFFFF"/>
          <w:lang w:eastAsia="en-GB"/>
        </w:rPr>
        <w:t xml:space="preserve"> </w:t>
      </w:r>
    </w:p>
    <w:p w14:paraId="37410688" w14:textId="54A45EFB" w:rsidR="00B77605" w:rsidRDefault="00B77605" w:rsidP="00734430">
      <w:pPr>
        <w:spacing w:line="480" w:lineRule="auto"/>
        <w:rPr>
          <w:rFonts w:eastAsia="Times New Roman" w:cstheme="minorHAnsi"/>
          <w:color w:val="000000"/>
          <w:shd w:val="clear" w:color="auto" w:fill="FFFFFF"/>
          <w:lang w:eastAsia="en-GB"/>
        </w:rPr>
      </w:pPr>
    </w:p>
    <w:p w14:paraId="40DC9947" w14:textId="4BF35BE5" w:rsidR="00B77605" w:rsidRDefault="00B77605" w:rsidP="00734430">
      <w:pPr>
        <w:spacing w:line="48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Schwartz</w:t>
      </w:r>
      <w:r w:rsidR="000D2C3B">
        <w:rPr>
          <w:rFonts w:eastAsia="Times New Roman" w:cstheme="minorHAnsi"/>
          <w:color w:val="000000"/>
          <w:shd w:val="clear" w:color="auto" w:fill="FFFFFF"/>
          <w:lang w:eastAsia="en-GB"/>
        </w:rPr>
        <w:t xml:space="preserve"> notes</w:t>
      </w:r>
      <w:r>
        <w:rPr>
          <w:rFonts w:eastAsia="Times New Roman" w:cstheme="minorHAnsi"/>
          <w:color w:val="000000"/>
          <w:shd w:val="clear" w:color="auto" w:fill="FFFFFF"/>
          <w:lang w:eastAsia="en-GB"/>
        </w:rPr>
        <w:t xml:space="preserve"> in his article that the Hasmoneans may have tried to use Hebrew as a “national symbol,”</w:t>
      </w:r>
      <w:r>
        <w:rPr>
          <w:rStyle w:val="FootnoteReference"/>
          <w:rFonts w:eastAsia="Times New Roman" w:cstheme="minorHAnsi"/>
          <w:color w:val="000000"/>
          <w:shd w:val="clear" w:color="auto" w:fill="FFFFFF"/>
          <w:lang w:eastAsia="en-GB"/>
        </w:rPr>
        <w:footnoteReference w:id="24"/>
      </w:r>
      <w:r>
        <w:rPr>
          <w:rFonts w:eastAsia="Times New Roman" w:cstheme="minorHAnsi"/>
          <w:color w:val="000000"/>
          <w:shd w:val="clear" w:color="auto" w:fill="FFFFFF"/>
          <w:lang w:eastAsia="en-GB"/>
        </w:rPr>
        <w:t xml:space="preserve"> which can be s</w:t>
      </w:r>
      <w:r w:rsidR="000D2C3B">
        <w:rPr>
          <w:rFonts w:eastAsia="Times New Roman" w:cstheme="minorHAnsi"/>
          <w:color w:val="000000"/>
          <w:shd w:val="clear" w:color="auto" w:fill="FFFFFF"/>
          <w:lang w:eastAsia="en-GB"/>
        </w:rPr>
        <w:t>een</w:t>
      </w:r>
      <w:r>
        <w:rPr>
          <w:rFonts w:eastAsia="Times New Roman" w:cstheme="minorHAnsi"/>
          <w:color w:val="000000"/>
          <w:shd w:val="clear" w:color="auto" w:fill="FFFFFF"/>
          <w:lang w:eastAsia="en-GB"/>
        </w:rPr>
        <w:t xml:space="preserve"> through the way </w:t>
      </w:r>
      <w:r w:rsidR="000D2C3B">
        <w:rPr>
          <w:rFonts w:eastAsia="Times New Roman" w:cstheme="minorHAnsi"/>
          <w:color w:val="000000"/>
          <w:shd w:val="clear" w:color="auto" w:fill="FFFFFF"/>
          <w:lang w:eastAsia="en-GB"/>
        </w:rPr>
        <w:t>in which</w:t>
      </w:r>
      <w:r>
        <w:rPr>
          <w:rFonts w:eastAsia="Times New Roman" w:cstheme="minorHAnsi"/>
          <w:color w:val="000000"/>
          <w:shd w:val="clear" w:color="auto" w:fill="FFFFFF"/>
          <w:lang w:eastAsia="en-GB"/>
        </w:rPr>
        <w:t xml:space="preserve"> the </w:t>
      </w:r>
      <w:r w:rsidR="00E71FF7">
        <w:rPr>
          <w:rFonts w:eastAsia="Times New Roman" w:cstheme="minorHAnsi"/>
          <w:color w:val="000000"/>
          <w:shd w:val="clear" w:color="auto" w:fill="FFFFFF"/>
          <w:lang w:eastAsia="en-GB"/>
        </w:rPr>
        <w:t>Hasmonaeans</w:t>
      </w:r>
      <w:r>
        <w:rPr>
          <w:rFonts w:eastAsia="Times New Roman" w:cstheme="minorHAnsi"/>
          <w:color w:val="000000"/>
          <w:shd w:val="clear" w:color="auto" w:fill="FFFFFF"/>
          <w:lang w:eastAsia="en-GB"/>
        </w:rPr>
        <w:t xml:space="preserve"> had Hebrew</w:t>
      </w:r>
      <w:r w:rsidR="00E71FF7">
        <w:rPr>
          <w:rFonts w:eastAsia="Times New Roman" w:cstheme="minorHAnsi"/>
          <w:color w:val="000000"/>
          <w:shd w:val="clear" w:color="auto" w:fill="FFFFFF"/>
          <w:lang w:eastAsia="en-GB"/>
        </w:rPr>
        <w:t xml:space="preserve"> inscriptions</w:t>
      </w:r>
      <w:r>
        <w:rPr>
          <w:rFonts w:eastAsia="Times New Roman" w:cstheme="minorHAnsi"/>
          <w:color w:val="000000"/>
          <w:shd w:val="clear" w:color="auto" w:fill="FFFFFF"/>
          <w:lang w:eastAsia="en-GB"/>
        </w:rPr>
        <w:t xml:space="preserve"> on early coinage</w:t>
      </w:r>
      <w:r w:rsidR="00E71FF7">
        <w:rPr>
          <w:rFonts w:eastAsia="Times New Roman" w:cstheme="minorHAnsi"/>
          <w:color w:val="000000"/>
          <w:shd w:val="clear" w:color="auto" w:fill="FFFFFF"/>
          <w:lang w:eastAsia="en-GB"/>
        </w:rPr>
        <w:t>.</w:t>
      </w:r>
      <w:r w:rsidR="00E71FF7">
        <w:rPr>
          <w:rStyle w:val="FootnoteReference"/>
          <w:rFonts w:eastAsia="Times New Roman" w:cstheme="minorHAnsi"/>
          <w:color w:val="000000"/>
          <w:shd w:val="clear" w:color="auto" w:fill="FFFFFF"/>
          <w:lang w:eastAsia="en-GB"/>
        </w:rPr>
        <w:footnoteReference w:id="25"/>
      </w:r>
      <w:r w:rsidR="00E71FF7">
        <w:rPr>
          <w:rFonts w:eastAsia="Times New Roman" w:cstheme="minorHAnsi"/>
          <w:color w:val="000000"/>
          <w:shd w:val="clear" w:color="auto" w:fill="FFFFFF"/>
          <w:lang w:eastAsia="en-GB"/>
        </w:rPr>
        <w:t xml:space="preserve"> As 2 Maccabees was written in Greek rather than Hebrew like 1 Maccabees</w:t>
      </w:r>
      <w:r w:rsidR="000D2C3B">
        <w:rPr>
          <w:rFonts w:eastAsia="Times New Roman" w:cstheme="minorHAnsi"/>
          <w:color w:val="000000"/>
          <w:shd w:val="clear" w:color="auto" w:fill="FFFFFF"/>
          <w:lang w:eastAsia="en-GB"/>
        </w:rPr>
        <w:t>,</w:t>
      </w:r>
      <w:r w:rsidR="00E71FF7">
        <w:rPr>
          <w:rFonts w:eastAsia="Times New Roman" w:cstheme="minorHAnsi"/>
          <w:color w:val="000000"/>
          <w:shd w:val="clear" w:color="auto" w:fill="FFFFFF"/>
          <w:lang w:eastAsia="en-GB"/>
        </w:rPr>
        <w:t xml:space="preserve"> </w:t>
      </w:r>
      <w:r w:rsidR="00C2668D">
        <w:rPr>
          <w:rFonts w:eastAsia="Times New Roman" w:cstheme="minorHAnsi"/>
          <w:color w:val="000000"/>
          <w:shd w:val="clear" w:color="auto" w:fill="FFFFFF"/>
          <w:lang w:eastAsia="en-GB"/>
        </w:rPr>
        <w:t>this</w:t>
      </w:r>
      <w:r w:rsidR="00E71FF7">
        <w:rPr>
          <w:rFonts w:eastAsia="Times New Roman" w:cstheme="minorHAnsi"/>
          <w:color w:val="000000"/>
          <w:shd w:val="clear" w:color="auto" w:fill="FFFFFF"/>
          <w:lang w:eastAsia="en-GB"/>
        </w:rPr>
        <w:t xml:space="preserve"> emphasises the points in the book where Hebrew is used. T</w:t>
      </w:r>
      <w:r w:rsidR="00C2668D">
        <w:rPr>
          <w:rFonts w:eastAsia="Times New Roman" w:cstheme="minorHAnsi"/>
          <w:color w:val="000000"/>
          <w:shd w:val="clear" w:color="auto" w:fill="FFFFFF"/>
          <w:lang w:eastAsia="en-GB"/>
        </w:rPr>
        <w:t>he fact that</w:t>
      </w:r>
      <w:r w:rsidR="00E71FF7">
        <w:rPr>
          <w:rFonts w:eastAsia="Times New Roman" w:cstheme="minorHAnsi"/>
          <w:color w:val="000000"/>
          <w:shd w:val="clear" w:color="auto" w:fill="FFFFFF"/>
          <w:lang w:eastAsia="en-GB"/>
        </w:rPr>
        <w:t xml:space="preserve"> the rebels </w:t>
      </w:r>
      <w:r w:rsidR="00C2668D">
        <w:rPr>
          <w:rFonts w:eastAsia="Times New Roman" w:cstheme="minorHAnsi"/>
          <w:color w:val="000000"/>
          <w:shd w:val="clear" w:color="auto" w:fill="FFFFFF"/>
          <w:lang w:eastAsia="en-GB"/>
        </w:rPr>
        <w:t>such as</w:t>
      </w:r>
      <w:r w:rsidR="00E71FF7">
        <w:rPr>
          <w:rFonts w:eastAsia="Times New Roman" w:cstheme="minorHAnsi"/>
          <w:color w:val="000000"/>
          <w:shd w:val="clear" w:color="auto" w:fill="FFFFFF"/>
          <w:lang w:eastAsia="en-GB"/>
        </w:rPr>
        <w:t xml:space="preserve"> Judah and the martyrs used Hebrew could have</w:t>
      </w:r>
      <w:r w:rsidR="00C2668D">
        <w:rPr>
          <w:rFonts w:eastAsia="Times New Roman" w:cstheme="minorHAnsi"/>
          <w:color w:val="000000"/>
          <w:shd w:val="clear" w:color="auto" w:fill="FFFFFF"/>
          <w:lang w:eastAsia="en-GB"/>
        </w:rPr>
        <w:t xml:space="preserve"> been</w:t>
      </w:r>
      <w:r w:rsidR="00E71FF7">
        <w:rPr>
          <w:rFonts w:eastAsia="Times New Roman" w:cstheme="minorHAnsi"/>
          <w:color w:val="000000"/>
          <w:shd w:val="clear" w:color="auto" w:fill="FFFFFF"/>
          <w:lang w:eastAsia="en-GB"/>
        </w:rPr>
        <w:t xml:space="preserve"> added to the symbolic importance of the language.</w:t>
      </w:r>
    </w:p>
    <w:p w14:paraId="6C65007C" w14:textId="79D094A6" w:rsidR="00E71FF7" w:rsidRDefault="00E71FF7" w:rsidP="00734430">
      <w:pPr>
        <w:spacing w:line="480" w:lineRule="auto"/>
        <w:rPr>
          <w:rFonts w:eastAsia="Times New Roman" w:cstheme="minorHAnsi"/>
          <w:color w:val="000000"/>
          <w:shd w:val="clear" w:color="auto" w:fill="FFFFFF"/>
          <w:lang w:eastAsia="en-GB"/>
        </w:rPr>
      </w:pPr>
    </w:p>
    <w:p w14:paraId="2B170FC7" w14:textId="0D9BFC1E" w:rsidR="00E71FF7" w:rsidRDefault="0023310C" w:rsidP="00734430">
      <w:pPr>
        <w:spacing w:line="48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lastRenderedPageBreak/>
        <w:t>As Himmelfarb focuses so much on the use of Hebrew in chapter seven</w:t>
      </w:r>
      <w:r w:rsidR="00C2668D">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she does not consider the other themes present in the chapter</w:t>
      </w:r>
      <w:r w:rsidR="00C2668D">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such as the resurrection of the martyrs. This is understandable as her article focuses on the relationship between Hellenism and Judaism, but</w:t>
      </w:r>
      <w:r w:rsidR="00C2668D">
        <w:rPr>
          <w:rFonts w:eastAsia="Times New Roman" w:cstheme="minorHAnsi"/>
          <w:color w:val="000000"/>
          <w:shd w:val="clear" w:color="auto" w:fill="FFFFFF"/>
          <w:lang w:eastAsia="en-GB"/>
        </w:rPr>
        <w:t xml:space="preserve"> the</w:t>
      </w:r>
      <w:r>
        <w:rPr>
          <w:rFonts w:eastAsia="Times New Roman" w:cstheme="minorHAnsi"/>
          <w:color w:val="000000"/>
          <w:shd w:val="clear" w:color="auto" w:fill="FFFFFF"/>
          <w:lang w:eastAsia="en-GB"/>
        </w:rPr>
        <w:t xml:space="preserve"> resurrection of the martyrs is still an important theme in 2 Maccabees</w:t>
      </w:r>
      <w:r w:rsidR="00C2668D">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especially as it does not appear in 1 Maccabees.</w:t>
      </w:r>
      <w:r>
        <w:rPr>
          <w:rStyle w:val="FootnoteReference"/>
          <w:rFonts w:eastAsia="Times New Roman" w:cstheme="minorHAnsi"/>
          <w:color w:val="000000"/>
          <w:shd w:val="clear" w:color="auto" w:fill="FFFFFF"/>
          <w:lang w:eastAsia="en-GB"/>
        </w:rPr>
        <w:footnoteReference w:id="26"/>
      </w:r>
    </w:p>
    <w:p w14:paraId="3D0F67DC" w14:textId="131028D5" w:rsidR="0023310C" w:rsidRDefault="0023310C" w:rsidP="00734430">
      <w:pPr>
        <w:spacing w:line="480" w:lineRule="auto"/>
        <w:rPr>
          <w:rFonts w:eastAsia="Times New Roman" w:cstheme="minorHAnsi"/>
          <w:color w:val="000000"/>
          <w:shd w:val="clear" w:color="auto" w:fill="FFFFFF"/>
          <w:lang w:eastAsia="en-GB"/>
        </w:rPr>
      </w:pPr>
    </w:p>
    <w:p w14:paraId="6DFB38E9" w14:textId="21ED24A7" w:rsidR="0023310C" w:rsidRDefault="0023310C" w:rsidP="00734430">
      <w:pPr>
        <w:spacing w:line="48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Himmelfarb concludes her article by discussing the complicated relationship between Judaism and Hellenism in 2 Maccabees. The book seems to hate gymnasium and all that it represents, but</w:t>
      </w:r>
      <w:r w:rsidR="00C2668D">
        <w:rPr>
          <w:rFonts w:eastAsia="Times New Roman" w:cstheme="minorHAnsi"/>
          <w:color w:val="000000"/>
          <w:shd w:val="clear" w:color="auto" w:fill="FFFFFF"/>
          <w:lang w:eastAsia="en-GB"/>
        </w:rPr>
        <w:t xml:space="preserve"> it </w:t>
      </w:r>
      <w:r>
        <w:rPr>
          <w:rFonts w:eastAsia="Times New Roman" w:cstheme="minorHAnsi"/>
          <w:color w:val="000000"/>
          <w:shd w:val="clear" w:color="auto" w:fill="FFFFFF"/>
          <w:lang w:eastAsia="en-GB"/>
        </w:rPr>
        <w:t>still uses Greek values such as nobility to praise its heroes.</w:t>
      </w:r>
      <w:r>
        <w:rPr>
          <w:rStyle w:val="FootnoteReference"/>
          <w:rFonts w:eastAsia="Times New Roman" w:cstheme="minorHAnsi"/>
          <w:color w:val="000000"/>
          <w:shd w:val="clear" w:color="auto" w:fill="FFFFFF"/>
          <w:lang w:eastAsia="en-GB"/>
        </w:rPr>
        <w:footnoteReference w:id="27"/>
      </w:r>
      <w:r>
        <w:rPr>
          <w:rFonts w:eastAsia="Times New Roman" w:cstheme="minorHAnsi"/>
          <w:color w:val="000000"/>
          <w:shd w:val="clear" w:color="auto" w:fill="FFFFFF"/>
          <w:lang w:eastAsia="en-GB"/>
        </w:rPr>
        <w:t xml:space="preserve"> So even though 2 Maccabees claims to hate everything Greek</w:t>
      </w:r>
      <w:r w:rsidR="00C2668D">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such as the gymnasium</w:t>
      </w:r>
      <w:r w:rsidR="00C2668D">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the relationship is</w:t>
      </w:r>
      <w:r w:rsidR="00CC1807">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far more complex.</w:t>
      </w:r>
      <w:r>
        <w:rPr>
          <w:rStyle w:val="FootnoteReference"/>
          <w:rFonts w:eastAsia="Times New Roman" w:cstheme="minorHAnsi"/>
          <w:color w:val="000000"/>
          <w:shd w:val="clear" w:color="auto" w:fill="FFFFFF"/>
          <w:lang w:eastAsia="en-GB"/>
        </w:rPr>
        <w:footnoteReference w:id="28"/>
      </w:r>
    </w:p>
    <w:p w14:paraId="597681F9" w14:textId="77777777" w:rsidR="00E71FF7" w:rsidRDefault="00E71FF7" w:rsidP="00734430">
      <w:pPr>
        <w:spacing w:line="480" w:lineRule="auto"/>
        <w:rPr>
          <w:rFonts w:eastAsia="Times New Roman" w:cstheme="minorHAnsi"/>
          <w:color w:val="000000"/>
          <w:shd w:val="clear" w:color="auto" w:fill="FFFFFF"/>
          <w:lang w:eastAsia="en-GB"/>
        </w:rPr>
      </w:pPr>
    </w:p>
    <w:p w14:paraId="6ECC4CB7" w14:textId="2724D0B7" w:rsidR="00E71FF7" w:rsidRPr="00E33303" w:rsidRDefault="0023310C" w:rsidP="00734430">
      <w:pPr>
        <w:spacing w:line="48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To conclude</w:t>
      </w:r>
      <w:r w:rsidR="00C2668D">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I </w:t>
      </w:r>
      <w:r w:rsidR="00E33303">
        <w:rPr>
          <w:rFonts w:eastAsia="Times New Roman" w:cstheme="minorHAnsi"/>
          <w:color w:val="000000"/>
          <w:shd w:val="clear" w:color="auto" w:fill="FFFFFF"/>
          <w:lang w:eastAsia="en-GB"/>
        </w:rPr>
        <w:t>believe</w:t>
      </w:r>
      <w:r>
        <w:rPr>
          <w:rFonts w:eastAsia="Times New Roman" w:cstheme="minorHAnsi"/>
          <w:color w:val="000000"/>
          <w:shd w:val="clear" w:color="auto" w:fill="FFFFFF"/>
          <w:lang w:eastAsia="en-GB"/>
        </w:rPr>
        <w:t xml:space="preserve"> that Himmelf</w:t>
      </w:r>
      <w:r w:rsidR="00E33303">
        <w:rPr>
          <w:rFonts w:eastAsia="Times New Roman" w:cstheme="minorHAnsi"/>
          <w:color w:val="000000"/>
          <w:shd w:val="clear" w:color="auto" w:fill="FFFFFF"/>
          <w:lang w:eastAsia="en-GB"/>
        </w:rPr>
        <w:t xml:space="preserve">arb’s article </w:t>
      </w:r>
      <w:r w:rsidR="00E33303">
        <w:rPr>
          <w:rFonts w:eastAsia="Times New Roman" w:cstheme="minorHAnsi"/>
          <w:i/>
          <w:iCs/>
          <w:color w:val="000000"/>
          <w:shd w:val="clear" w:color="auto" w:fill="FFFFFF"/>
          <w:lang w:eastAsia="en-GB"/>
        </w:rPr>
        <w:t>Judaism and Hellenism in</w:t>
      </w:r>
      <w:r w:rsidR="00C2668D">
        <w:rPr>
          <w:rFonts w:eastAsia="Times New Roman" w:cstheme="minorHAnsi"/>
          <w:i/>
          <w:iCs/>
          <w:color w:val="000000"/>
          <w:shd w:val="clear" w:color="auto" w:fill="FFFFFF"/>
          <w:lang w:eastAsia="en-GB"/>
        </w:rPr>
        <w:t xml:space="preserve"> </w:t>
      </w:r>
      <w:r w:rsidR="00E33303">
        <w:rPr>
          <w:rFonts w:eastAsia="Times New Roman" w:cstheme="minorHAnsi"/>
          <w:i/>
          <w:iCs/>
          <w:color w:val="000000"/>
          <w:shd w:val="clear" w:color="auto" w:fill="FFFFFF"/>
          <w:lang w:eastAsia="en-GB"/>
        </w:rPr>
        <w:t xml:space="preserve">2 Maccabees, </w:t>
      </w:r>
      <w:r w:rsidR="00E33303">
        <w:rPr>
          <w:rFonts w:eastAsia="Times New Roman" w:cstheme="minorHAnsi"/>
          <w:color w:val="000000"/>
          <w:shd w:val="clear" w:color="auto" w:fill="FFFFFF"/>
          <w:lang w:eastAsia="en-GB"/>
        </w:rPr>
        <w:t xml:space="preserve">is excellent. It is very well written, and I particularly appreciate the analysis of the text, especially the use of Hebrew in 2 Maccabees. However, I would have appreciated it if Himmelfarb had used more of the ancient Greek texts that 2 Maccabees is meant to be inspired by.   </w:t>
      </w:r>
    </w:p>
    <w:p w14:paraId="7BCFDC71" w14:textId="77777777" w:rsidR="00E71FF7" w:rsidRPr="00DF1C72" w:rsidRDefault="00E71FF7" w:rsidP="00734430">
      <w:pPr>
        <w:spacing w:line="480" w:lineRule="auto"/>
        <w:rPr>
          <w:rFonts w:ascii="Times New Roman" w:eastAsia="Times New Roman" w:hAnsi="Times New Roman" w:cs="Times New Roman"/>
          <w:lang w:eastAsia="en-GB"/>
        </w:rPr>
      </w:pPr>
    </w:p>
    <w:p w14:paraId="63AD423F" w14:textId="77777777" w:rsidR="00B84282" w:rsidRDefault="00B84282" w:rsidP="00734430">
      <w:pPr>
        <w:spacing w:line="480" w:lineRule="auto"/>
        <w:rPr>
          <w:u w:val="single"/>
        </w:rPr>
      </w:pPr>
    </w:p>
    <w:p w14:paraId="305BB311" w14:textId="77777777" w:rsidR="00B84282" w:rsidRDefault="00B84282" w:rsidP="00734430">
      <w:pPr>
        <w:spacing w:line="480" w:lineRule="auto"/>
        <w:rPr>
          <w:u w:val="single"/>
        </w:rPr>
      </w:pPr>
    </w:p>
    <w:p w14:paraId="6CF671E7" w14:textId="77777777" w:rsidR="00B84282" w:rsidRDefault="00B84282" w:rsidP="00734430">
      <w:pPr>
        <w:spacing w:line="480" w:lineRule="auto"/>
        <w:rPr>
          <w:u w:val="single"/>
        </w:rPr>
      </w:pPr>
    </w:p>
    <w:p w14:paraId="5AD494F9" w14:textId="77777777" w:rsidR="00B84282" w:rsidRDefault="00B84282" w:rsidP="00734430">
      <w:pPr>
        <w:spacing w:line="480" w:lineRule="auto"/>
        <w:rPr>
          <w:u w:val="single"/>
        </w:rPr>
      </w:pPr>
    </w:p>
    <w:p w14:paraId="2F0868A3" w14:textId="457CABB8" w:rsidR="00F27687" w:rsidRPr="00FF54C8" w:rsidRDefault="000123E9" w:rsidP="00734430">
      <w:pPr>
        <w:spacing w:line="480" w:lineRule="auto"/>
      </w:pPr>
      <w:r w:rsidRPr="000123E9">
        <w:rPr>
          <w:u w:val="single"/>
        </w:rPr>
        <w:lastRenderedPageBreak/>
        <w:t>Bibliography</w:t>
      </w:r>
      <w:r>
        <w:rPr>
          <w:u w:val="single"/>
        </w:rPr>
        <w:t>-</w:t>
      </w:r>
    </w:p>
    <w:p w14:paraId="55C47B1A" w14:textId="2B14543B" w:rsidR="000123E9" w:rsidRDefault="00FF54C8" w:rsidP="00734430">
      <w:pPr>
        <w:spacing w:line="480" w:lineRule="auto"/>
        <w:rPr>
          <w:u w:val="single"/>
        </w:rPr>
      </w:pPr>
      <w:r>
        <w:rPr>
          <w:u w:val="single"/>
        </w:rPr>
        <w:t>Primary</w:t>
      </w:r>
      <w:r w:rsidR="000123E9">
        <w:rPr>
          <w:u w:val="single"/>
        </w:rPr>
        <w:t xml:space="preserve"> Sources-</w:t>
      </w:r>
    </w:p>
    <w:p w14:paraId="5D739A0C" w14:textId="77777777" w:rsidR="00156650" w:rsidRDefault="00156650" w:rsidP="00734430">
      <w:pPr>
        <w:spacing w:line="480" w:lineRule="auto"/>
      </w:pPr>
      <w:r>
        <w:t>Herodotus, Histories, Loeb Trans.</w:t>
      </w:r>
    </w:p>
    <w:p w14:paraId="22B3E443" w14:textId="7FAC9276" w:rsidR="00156650" w:rsidRDefault="00156650" w:rsidP="00734430">
      <w:pPr>
        <w:spacing w:line="480" w:lineRule="auto"/>
      </w:pPr>
      <w:r>
        <w:t>Polybius, Histories, Loeb Trans.</w:t>
      </w:r>
    </w:p>
    <w:p w14:paraId="17031584" w14:textId="470A3B26" w:rsidR="00A86927" w:rsidRDefault="00A86927" w:rsidP="00734430">
      <w:pPr>
        <w:spacing w:line="480" w:lineRule="auto"/>
      </w:pPr>
      <w:r>
        <w:t>Plato, Phaedo, Loeb Trans.</w:t>
      </w:r>
    </w:p>
    <w:p w14:paraId="3993BBCA" w14:textId="56EA7B7B" w:rsidR="00156650" w:rsidRDefault="00156650" w:rsidP="00734430">
      <w:pPr>
        <w:spacing w:line="480" w:lineRule="auto"/>
      </w:pPr>
      <w:r>
        <w:t>Sophocles, Antigone, Loeb Trans.</w:t>
      </w:r>
    </w:p>
    <w:p w14:paraId="2D77CD4F" w14:textId="1A07A5B1" w:rsidR="00156650" w:rsidRPr="00734430" w:rsidRDefault="00156650" w:rsidP="00734430">
      <w:pPr>
        <w:spacing w:line="480" w:lineRule="auto"/>
        <w:rPr>
          <w:rFonts w:cstheme="minorHAnsi"/>
          <w:u w:val="single"/>
        </w:rPr>
      </w:pPr>
      <w:r w:rsidRPr="00734430">
        <w:rPr>
          <w:rFonts w:cstheme="minorHAnsi"/>
          <w:u w:val="single"/>
        </w:rPr>
        <w:t>Modern Scholarship-</w:t>
      </w:r>
    </w:p>
    <w:p w14:paraId="378F21CC" w14:textId="3ED2435E" w:rsidR="00734430" w:rsidRPr="00734430" w:rsidRDefault="00734430" w:rsidP="00734430">
      <w:pPr>
        <w:pStyle w:val="NormalWeb"/>
        <w:shd w:val="clear" w:color="auto" w:fill="FFFFFF"/>
        <w:spacing w:before="0" w:beforeAutospacing="0" w:after="173" w:afterAutospacing="0" w:line="480" w:lineRule="auto"/>
        <w:rPr>
          <w:rFonts w:asciiTheme="minorHAnsi" w:hAnsiTheme="minorHAnsi" w:cstheme="minorHAnsi"/>
        </w:rPr>
      </w:pPr>
      <w:r w:rsidRPr="00734430">
        <w:rPr>
          <w:rFonts w:asciiTheme="minorHAnsi" w:hAnsiTheme="minorHAnsi" w:cstheme="minorHAnsi"/>
        </w:rPr>
        <w:t xml:space="preserve">Craven, T., 27 </w:t>
      </w:r>
      <w:proofErr w:type="gramStart"/>
      <w:r w:rsidRPr="00734430">
        <w:rPr>
          <w:rFonts w:asciiTheme="minorHAnsi" w:hAnsiTheme="minorHAnsi" w:cstheme="minorHAnsi"/>
        </w:rPr>
        <w:t>February,</w:t>
      </w:r>
      <w:proofErr w:type="gramEnd"/>
      <w:r w:rsidRPr="00734430">
        <w:rPr>
          <w:rFonts w:asciiTheme="minorHAnsi" w:hAnsiTheme="minorHAnsi" w:cstheme="minorHAnsi"/>
        </w:rPr>
        <w:t xml:space="preserve"> 2009, Martyred Mother with seven sons (2 </w:t>
      </w:r>
      <w:proofErr w:type="spellStart"/>
      <w:r w:rsidRPr="00734430">
        <w:rPr>
          <w:rFonts w:asciiTheme="minorHAnsi" w:hAnsiTheme="minorHAnsi" w:cstheme="minorHAnsi"/>
        </w:rPr>
        <w:t>Macc</w:t>
      </w:r>
      <w:proofErr w:type="spellEnd"/>
      <w:r w:rsidRPr="00734430">
        <w:rPr>
          <w:rFonts w:asciiTheme="minorHAnsi" w:hAnsiTheme="minorHAnsi" w:cstheme="minorHAnsi"/>
        </w:rPr>
        <w:t>): Apocrypha, last accessed 28.05.2020</w:t>
      </w:r>
    </w:p>
    <w:p w14:paraId="09104D9A" w14:textId="1FA14DCC" w:rsidR="00734430" w:rsidRPr="00734430" w:rsidRDefault="00734430" w:rsidP="00734430">
      <w:pPr>
        <w:pStyle w:val="NormalWeb"/>
        <w:shd w:val="clear" w:color="auto" w:fill="FFFFFF"/>
        <w:spacing w:before="0" w:beforeAutospacing="0" w:after="173" w:afterAutospacing="0" w:line="480" w:lineRule="auto"/>
        <w:rPr>
          <w:rFonts w:asciiTheme="minorHAnsi" w:hAnsiTheme="minorHAnsi" w:cstheme="minorHAnsi"/>
        </w:rPr>
      </w:pPr>
      <w:r w:rsidRPr="00734430">
        <w:rPr>
          <w:rFonts w:asciiTheme="minorHAnsi" w:hAnsiTheme="minorHAnsi" w:cstheme="minorHAnsi"/>
        </w:rPr>
        <w:t>Himmelfarb, M., 1998. Judaism and Hellenism in 2 Maccabees. </w:t>
      </w:r>
      <w:r w:rsidRPr="00734430">
        <w:rPr>
          <w:rFonts w:asciiTheme="minorHAnsi" w:hAnsiTheme="minorHAnsi" w:cstheme="minorHAnsi"/>
          <w:i/>
          <w:iCs/>
        </w:rPr>
        <w:t>Poetics Today, </w:t>
      </w:r>
      <w:r w:rsidRPr="00734430">
        <w:rPr>
          <w:rFonts w:asciiTheme="minorHAnsi" w:hAnsiTheme="minorHAnsi" w:cstheme="minorHAnsi"/>
        </w:rPr>
        <w:t>19(1), pp. 19.</w:t>
      </w:r>
    </w:p>
    <w:p w14:paraId="0A3249E7" w14:textId="0A893C7E" w:rsidR="00734430" w:rsidRPr="00734430" w:rsidRDefault="00734430" w:rsidP="00734430">
      <w:pPr>
        <w:spacing w:line="480" w:lineRule="auto"/>
        <w:rPr>
          <w:rFonts w:eastAsia="Times New Roman" w:cstheme="minorHAnsi"/>
          <w:lang w:eastAsia="en-GB"/>
        </w:rPr>
      </w:pPr>
      <w:proofErr w:type="spellStart"/>
      <w:r w:rsidRPr="00734430">
        <w:rPr>
          <w:rFonts w:cstheme="minorHAnsi"/>
        </w:rPr>
        <w:t>Schwarez</w:t>
      </w:r>
      <w:proofErr w:type="spellEnd"/>
      <w:r w:rsidRPr="00734430">
        <w:rPr>
          <w:rFonts w:cstheme="minorHAnsi"/>
        </w:rPr>
        <w:t xml:space="preserve">, D., Maccabees 1 and 2, </w:t>
      </w:r>
      <w:hyperlink r:id="rId6" w:history="1">
        <w:r w:rsidRPr="00734430">
          <w:rPr>
            <w:rFonts w:eastAsia="Times New Roman" w:cstheme="minorHAnsi"/>
            <w:u w:val="single"/>
            <w:lang w:eastAsia="en-GB"/>
          </w:rPr>
          <w:t>https://www.youtube.com/watch?v=5RQhysxU2GU</w:t>
        </w:r>
      </w:hyperlink>
      <w:r w:rsidRPr="00734430">
        <w:rPr>
          <w:rFonts w:eastAsia="Times New Roman" w:cstheme="minorHAnsi"/>
          <w:lang w:eastAsia="en-GB"/>
        </w:rPr>
        <w:t>, last accessed 28.05.2020</w:t>
      </w:r>
    </w:p>
    <w:p w14:paraId="517DD327" w14:textId="39944DFA" w:rsidR="00734430" w:rsidRPr="00734430" w:rsidRDefault="00734430" w:rsidP="00734430">
      <w:pPr>
        <w:pStyle w:val="NormalWeb"/>
        <w:shd w:val="clear" w:color="auto" w:fill="FFFFFF"/>
        <w:spacing w:before="0" w:beforeAutospacing="0" w:after="173" w:afterAutospacing="0" w:line="480" w:lineRule="auto"/>
        <w:rPr>
          <w:rFonts w:asciiTheme="minorHAnsi" w:hAnsiTheme="minorHAnsi" w:cstheme="minorHAnsi"/>
        </w:rPr>
      </w:pPr>
      <w:r w:rsidRPr="00734430">
        <w:rPr>
          <w:rFonts w:asciiTheme="minorHAnsi" w:hAnsiTheme="minorHAnsi" w:cstheme="minorHAnsi"/>
        </w:rPr>
        <w:t>Schwartz, S., 1995. Language, Power and Identity in Ancient Palestine. </w:t>
      </w:r>
      <w:r w:rsidRPr="00734430">
        <w:rPr>
          <w:rFonts w:asciiTheme="minorHAnsi" w:hAnsiTheme="minorHAnsi" w:cstheme="minorHAnsi"/>
          <w:i/>
          <w:iCs/>
        </w:rPr>
        <w:t>Past &amp; Present, </w:t>
      </w:r>
      <w:r>
        <w:rPr>
          <w:rFonts w:asciiTheme="minorHAnsi" w:hAnsiTheme="minorHAnsi" w:cstheme="minorHAnsi"/>
        </w:rPr>
        <w:t>148</w:t>
      </w:r>
      <w:r w:rsidRPr="00734430">
        <w:rPr>
          <w:rFonts w:asciiTheme="minorHAnsi" w:hAnsiTheme="minorHAnsi" w:cstheme="minorHAnsi"/>
        </w:rPr>
        <w:t>(1), pp. 3-47.</w:t>
      </w:r>
    </w:p>
    <w:p w14:paraId="46394F3A" w14:textId="77777777" w:rsidR="00734430" w:rsidRDefault="00734430" w:rsidP="00734430">
      <w:pPr>
        <w:pStyle w:val="NormalWeb"/>
        <w:shd w:val="clear" w:color="auto" w:fill="FFFFFF"/>
        <w:spacing w:before="0" w:beforeAutospacing="0" w:after="173" w:afterAutospacing="0"/>
        <w:rPr>
          <w:rFonts w:ascii="Helvetica" w:hAnsi="Helvetica"/>
          <w:color w:val="53565A"/>
          <w:sz w:val="21"/>
          <w:szCs w:val="21"/>
        </w:rPr>
      </w:pPr>
    </w:p>
    <w:p w14:paraId="3EB97D93" w14:textId="77777777" w:rsidR="00156650" w:rsidRDefault="00156650"/>
    <w:p w14:paraId="7A750B96" w14:textId="77777777" w:rsidR="00A86927" w:rsidRDefault="00A86927"/>
    <w:p w14:paraId="15965394" w14:textId="77777777" w:rsidR="00A86927" w:rsidRPr="00A86927" w:rsidRDefault="00A86927"/>
    <w:p w14:paraId="60FE3D48" w14:textId="519906A2" w:rsidR="000123E9" w:rsidRDefault="000123E9">
      <w:pPr>
        <w:rPr>
          <w:u w:val="single"/>
        </w:rPr>
      </w:pPr>
    </w:p>
    <w:p w14:paraId="76A05E0C" w14:textId="77777777" w:rsidR="000123E9" w:rsidRDefault="000123E9">
      <w:pPr>
        <w:rPr>
          <w:u w:val="single"/>
        </w:rPr>
      </w:pPr>
    </w:p>
    <w:p w14:paraId="560EDCDD" w14:textId="77777777" w:rsidR="000123E9" w:rsidRPr="000123E9" w:rsidRDefault="000123E9">
      <w:pPr>
        <w:rPr>
          <w:u w:val="single"/>
        </w:rPr>
      </w:pPr>
    </w:p>
    <w:p w14:paraId="73245375" w14:textId="53A2B327" w:rsidR="00F27687" w:rsidRDefault="00F27687"/>
    <w:p w14:paraId="23BFBE8E" w14:textId="77777777" w:rsidR="00F27687" w:rsidRDefault="00F27687"/>
    <w:p w14:paraId="4CAAA8ED" w14:textId="4A1F62DD" w:rsidR="00F04F74" w:rsidRDefault="00F04F74"/>
    <w:p w14:paraId="31209F2A" w14:textId="77777777" w:rsidR="00F04F74" w:rsidRPr="00F04F74" w:rsidRDefault="00F04F74"/>
    <w:sectPr w:rsidR="00F04F74" w:rsidRPr="00F04F74" w:rsidSect="00D05EC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D2473B" w14:textId="77777777" w:rsidR="001826C6" w:rsidRDefault="001826C6" w:rsidP="00367A3B">
      <w:r>
        <w:separator/>
      </w:r>
    </w:p>
  </w:endnote>
  <w:endnote w:type="continuationSeparator" w:id="0">
    <w:p w14:paraId="3215B271" w14:textId="77777777" w:rsidR="001826C6" w:rsidRDefault="001826C6" w:rsidP="00367A3B">
      <w:r>
        <w:continuationSeparator/>
      </w:r>
    </w:p>
  </w:endnote>
  <w:endnote w:type="continuationNotice" w:id="1">
    <w:p w14:paraId="05688EE9" w14:textId="77777777" w:rsidR="001826C6" w:rsidRDefault="001826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6267EB" w14:textId="77777777" w:rsidR="001826C6" w:rsidRDefault="001826C6" w:rsidP="00367A3B">
      <w:r>
        <w:separator/>
      </w:r>
    </w:p>
  </w:footnote>
  <w:footnote w:type="continuationSeparator" w:id="0">
    <w:p w14:paraId="39D272A6" w14:textId="77777777" w:rsidR="001826C6" w:rsidRDefault="001826C6" w:rsidP="00367A3B">
      <w:r>
        <w:continuationSeparator/>
      </w:r>
    </w:p>
  </w:footnote>
  <w:footnote w:type="continuationNotice" w:id="1">
    <w:p w14:paraId="602DBAA0" w14:textId="77777777" w:rsidR="001826C6" w:rsidRDefault="001826C6"/>
  </w:footnote>
  <w:footnote w:id="2">
    <w:p w14:paraId="4225304E" w14:textId="2F70A09C" w:rsidR="00BB103A" w:rsidRDefault="00BB103A">
      <w:pPr>
        <w:pStyle w:val="FootnoteText"/>
      </w:pPr>
      <w:r>
        <w:rPr>
          <w:rStyle w:val="FootnoteReference"/>
        </w:rPr>
        <w:footnoteRef/>
      </w:r>
      <w:r>
        <w:t xml:space="preserve"> Himmelfarb, 1998, 20</w:t>
      </w:r>
    </w:p>
  </w:footnote>
  <w:footnote w:id="3">
    <w:p w14:paraId="602D28F1" w14:textId="035C2897" w:rsidR="00BB103A" w:rsidRDefault="00BB103A">
      <w:pPr>
        <w:pStyle w:val="FootnoteText"/>
      </w:pPr>
      <w:r>
        <w:rPr>
          <w:rStyle w:val="FootnoteReference"/>
        </w:rPr>
        <w:footnoteRef/>
      </w:r>
      <w:r>
        <w:t xml:space="preserve"> Himmelfarb, 1998, 28</w:t>
      </w:r>
    </w:p>
  </w:footnote>
  <w:footnote w:id="4">
    <w:p w14:paraId="49568FCB" w14:textId="3BBB3F18" w:rsidR="00BB103A" w:rsidRDefault="00BB103A">
      <w:pPr>
        <w:pStyle w:val="FootnoteText"/>
      </w:pPr>
      <w:r>
        <w:rPr>
          <w:rStyle w:val="FootnoteReference"/>
        </w:rPr>
        <w:footnoteRef/>
      </w:r>
      <w:r>
        <w:t xml:space="preserve"> Himmelfarb, 1998, 31-2</w:t>
      </w:r>
    </w:p>
  </w:footnote>
  <w:footnote w:id="5">
    <w:p w14:paraId="47D62328" w14:textId="74EEF4C2" w:rsidR="00BB103A" w:rsidRDefault="00BB103A">
      <w:pPr>
        <w:pStyle w:val="FootnoteText"/>
      </w:pPr>
      <w:r>
        <w:rPr>
          <w:rStyle w:val="FootnoteReference"/>
        </w:rPr>
        <w:footnoteRef/>
      </w:r>
      <w:r>
        <w:t xml:space="preserve"> Himmelfarb, 1998, 32</w:t>
      </w:r>
    </w:p>
  </w:footnote>
  <w:footnote w:id="6">
    <w:p w14:paraId="1DE8A791" w14:textId="3B59BEC0" w:rsidR="00BB103A" w:rsidRDefault="00BB103A">
      <w:pPr>
        <w:pStyle w:val="FootnoteText"/>
      </w:pPr>
      <w:r>
        <w:rPr>
          <w:rStyle w:val="FootnoteReference"/>
        </w:rPr>
        <w:footnoteRef/>
      </w:r>
      <w:r>
        <w:t xml:space="preserve"> Himmelfarb, 1998, 32-4</w:t>
      </w:r>
    </w:p>
  </w:footnote>
  <w:footnote w:id="7">
    <w:p w14:paraId="382A768C" w14:textId="7807228B" w:rsidR="00BB103A" w:rsidRDefault="00BB103A">
      <w:pPr>
        <w:pStyle w:val="FootnoteText"/>
      </w:pPr>
      <w:r>
        <w:rPr>
          <w:rStyle w:val="FootnoteReference"/>
        </w:rPr>
        <w:footnoteRef/>
      </w:r>
      <w:r>
        <w:t xml:space="preserve"> 2 Macc. 8:1</w:t>
      </w:r>
    </w:p>
  </w:footnote>
  <w:footnote w:id="8">
    <w:p w14:paraId="7ADE197B" w14:textId="03F8A382" w:rsidR="00BB103A" w:rsidRDefault="00BB103A">
      <w:pPr>
        <w:pStyle w:val="FootnoteText"/>
      </w:pPr>
      <w:r>
        <w:rPr>
          <w:rStyle w:val="FootnoteReference"/>
        </w:rPr>
        <w:footnoteRef/>
      </w:r>
      <w:r>
        <w:t xml:space="preserve"> 2 Macc. 6:27-8, 6:31, 7:5, 7:11, 7:21, 8:16, 12:42, 13;14, 14:42, 14:43, 15:17</w:t>
      </w:r>
    </w:p>
  </w:footnote>
  <w:footnote w:id="9">
    <w:p w14:paraId="323E5591" w14:textId="23C9296E" w:rsidR="00BB103A" w:rsidRDefault="00BB103A">
      <w:pPr>
        <w:pStyle w:val="FootnoteText"/>
      </w:pPr>
      <w:r>
        <w:rPr>
          <w:rStyle w:val="FootnoteReference"/>
        </w:rPr>
        <w:footnoteRef/>
      </w:r>
      <w:r>
        <w:t xml:space="preserve"> 2 Macc. 7:21</w:t>
      </w:r>
    </w:p>
  </w:footnote>
  <w:footnote w:id="10">
    <w:p w14:paraId="7F06C3D9" w14:textId="4A24C44C" w:rsidR="00BB103A" w:rsidRDefault="00BB103A">
      <w:pPr>
        <w:pStyle w:val="FootnoteText"/>
      </w:pPr>
      <w:r>
        <w:rPr>
          <w:rStyle w:val="FootnoteReference"/>
        </w:rPr>
        <w:footnoteRef/>
      </w:r>
      <w:r>
        <w:t xml:space="preserve"> Craven, 2009</w:t>
      </w:r>
    </w:p>
  </w:footnote>
  <w:footnote w:id="11">
    <w:p w14:paraId="3129F4D7" w14:textId="3194BD50" w:rsidR="00BB103A" w:rsidRDefault="00BB103A">
      <w:pPr>
        <w:pStyle w:val="FootnoteText"/>
      </w:pPr>
      <w:r>
        <w:rPr>
          <w:rStyle w:val="FootnoteReference"/>
        </w:rPr>
        <w:footnoteRef/>
      </w:r>
      <w:r>
        <w:t xml:space="preserve"> Himmelfarb, 1998, 34</w:t>
      </w:r>
    </w:p>
  </w:footnote>
  <w:footnote w:id="12">
    <w:p w14:paraId="5B2139EB" w14:textId="0692488F" w:rsidR="00BB103A" w:rsidRDefault="00BB103A">
      <w:pPr>
        <w:pStyle w:val="FootnoteText"/>
      </w:pPr>
      <w:r>
        <w:rPr>
          <w:rStyle w:val="FootnoteReference"/>
        </w:rPr>
        <w:footnoteRef/>
      </w:r>
      <w:r>
        <w:t xml:space="preserve"> </w:t>
      </w:r>
      <w:proofErr w:type="spellStart"/>
      <w:r>
        <w:t>Polyb</w:t>
      </w:r>
      <w:proofErr w:type="spellEnd"/>
      <w:r>
        <w:t>. Histories, 1.17.12</w:t>
      </w:r>
    </w:p>
  </w:footnote>
  <w:footnote w:id="13">
    <w:p w14:paraId="4B4F6DF1" w14:textId="516ED6FE" w:rsidR="00BB103A" w:rsidRDefault="00BB103A">
      <w:pPr>
        <w:pStyle w:val="FootnoteText"/>
      </w:pPr>
      <w:r>
        <w:rPr>
          <w:rStyle w:val="FootnoteReference"/>
        </w:rPr>
        <w:footnoteRef/>
      </w:r>
      <w:r>
        <w:t xml:space="preserve"> Himmelfarb, 1998, 34</w:t>
      </w:r>
    </w:p>
  </w:footnote>
  <w:footnote w:id="14">
    <w:p w14:paraId="08F6DD31" w14:textId="65100A64" w:rsidR="00BB103A" w:rsidRDefault="00BB103A">
      <w:pPr>
        <w:pStyle w:val="FootnoteText"/>
      </w:pPr>
      <w:r>
        <w:rPr>
          <w:rStyle w:val="FootnoteReference"/>
        </w:rPr>
        <w:footnoteRef/>
      </w:r>
      <w:r>
        <w:t xml:space="preserve"> Himmelfarb, 1998, 21-2</w:t>
      </w:r>
    </w:p>
  </w:footnote>
  <w:footnote w:id="15">
    <w:p w14:paraId="00CE4E03" w14:textId="0403D847" w:rsidR="00BB103A" w:rsidRDefault="00BB103A">
      <w:pPr>
        <w:pStyle w:val="FootnoteText"/>
      </w:pPr>
      <w:r>
        <w:rPr>
          <w:rStyle w:val="FootnoteReference"/>
        </w:rPr>
        <w:footnoteRef/>
      </w:r>
      <w:r>
        <w:t xml:space="preserve"> </w:t>
      </w:r>
      <w:proofErr w:type="spellStart"/>
      <w:r>
        <w:t>Schwarez</w:t>
      </w:r>
      <w:proofErr w:type="spellEnd"/>
    </w:p>
  </w:footnote>
  <w:footnote w:id="16">
    <w:p w14:paraId="2A1ADA0E" w14:textId="7F947D24" w:rsidR="00BB103A" w:rsidRDefault="00BB103A">
      <w:pPr>
        <w:pStyle w:val="FootnoteText"/>
      </w:pPr>
      <w:r>
        <w:rPr>
          <w:rStyle w:val="FootnoteReference"/>
        </w:rPr>
        <w:footnoteRef/>
      </w:r>
      <w:r>
        <w:t xml:space="preserve"> Pl., </w:t>
      </w:r>
      <w:proofErr w:type="spellStart"/>
      <w:r>
        <w:t>Phd</w:t>
      </w:r>
      <w:proofErr w:type="spellEnd"/>
      <w:r>
        <w:t>., 65 d</w:t>
      </w:r>
    </w:p>
  </w:footnote>
  <w:footnote w:id="17">
    <w:p w14:paraId="59018BA3" w14:textId="69A779B4" w:rsidR="00BB103A" w:rsidRDefault="00BB103A">
      <w:pPr>
        <w:pStyle w:val="FootnoteText"/>
      </w:pPr>
      <w:r>
        <w:rPr>
          <w:rStyle w:val="FootnoteReference"/>
        </w:rPr>
        <w:footnoteRef/>
      </w:r>
      <w:r>
        <w:t xml:space="preserve"> Herodotus, Histories, 7</w:t>
      </w:r>
    </w:p>
  </w:footnote>
  <w:footnote w:id="18">
    <w:p w14:paraId="79F5B9BB" w14:textId="04D932AE" w:rsidR="00BB103A" w:rsidRDefault="00BB103A">
      <w:pPr>
        <w:pStyle w:val="FootnoteText"/>
      </w:pPr>
      <w:r>
        <w:rPr>
          <w:rStyle w:val="FootnoteReference"/>
        </w:rPr>
        <w:footnoteRef/>
      </w:r>
      <w:r>
        <w:t xml:space="preserve"> Soph. Ant. 73 </w:t>
      </w:r>
    </w:p>
  </w:footnote>
  <w:footnote w:id="19">
    <w:p w14:paraId="452C3E63" w14:textId="74BDF41E" w:rsidR="00BB103A" w:rsidRDefault="00BB103A">
      <w:pPr>
        <w:pStyle w:val="FootnoteText"/>
      </w:pPr>
      <w:r>
        <w:rPr>
          <w:rStyle w:val="FootnoteReference"/>
        </w:rPr>
        <w:footnoteRef/>
      </w:r>
      <w:r>
        <w:t xml:space="preserve"> 2 Macc. 7:2</w:t>
      </w:r>
    </w:p>
  </w:footnote>
  <w:footnote w:id="20">
    <w:p w14:paraId="77554469" w14:textId="1C71F433" w:rsidR="00BB103A" w:rsidRDefault="00BB103A">
      <w:pPr>
        <w:pStyle w:val="FootnoteText"/>
      </w:pPr>
      <w:r>
        <w:rPr>
          <w:rStyle w:val="FootnoteReference"/>
        </w:rPr>
        <w:footnoteRef/>
      </w:r>
      <w:r>
        <w:t xml:space="preserve"> 2 Macc. 7:2</w:t>
      </w:r>
    </w:p>
  </w:footnote>
  <w:footnote w:id="21">
    <w:p w14:paraId="426482E1" w14:textId="3717C532" w:rsidR="00BB103A" w:rsidRDefault="00BB103A">
      <w:pPr>
        <w:pStyle w:val="FootnoteText"/>
      </w:pPr>
      <w:r>
        <w:rPr>
          <w:rStyle w:val="FootnoteReference"/>
        </w:rPr>
        <w:footnoteRef/>
      </w:r>
      <w:r>
        <w:t xml:space="preserve"> 2 Macc., 7:2</w:t>
      </w:r>
    </w:p>
  </w:footnote>
  <w:footnote w:id="22">
    <w:p w14:paraId="3AC4B10B" w14:textId="2DA223BE" w:rsidR="00BB103A" w:rsidRDefault="00BB103A">
      <w:pPr>
        <w:pStyle w:val="FootnoteText"/>
      </w:pPr>
      <w:r>
        <w:rPr>
          <w:rStyle w:val="FootnoteReference"/>
        </w:rPr>
        <w:footnoteRef/>
      </w:r>
      <w:r>
        <w:t xml:space="preserve"> Himmelfarb, 1998, 37</w:t>
      </w:r>
    </w:p>
  </w:footnote>
  <w:footnote w:id="23">
    <w:p w14:paraId="65F9DF1E" w14:textId="3D42D811" w:rsidR="00BB103A" w:rsidRDefault="00BB103A">
      <w:pPr>
        <w:pStyle w:val="FootnoteText"/>
      </w:pPr>
      <w:r>
        <w:rPr>
          <w:rStyle w:val="FootnoteReference"/>
        </w:rPr>
        <w:footnoteRef/>
      </w:r>
      <w:r>
        <w:t xml:space="preserve"> 2 Macc. 12:37, 15:29</w:t>
      </w:r>
    </w:p>
  </w:footnote>
  <w:footnote w:id="24">
    <w:p w14:paraId="6E084AB1" w14:textId="4CBA3BB4" w:rsidR="00BB103A" w:rsidRDefault="00BB103A">
      <w:pPr>
        <w:pStyle w:val="FootnoteText"/>
      </w:pPr>
      <w:r>
        <w:rPr>
          <w:rStyle w:val="FootnoteReference"/>
        </w:rPr>
        <w:footnoteRef/>
      </w:r>
      <w:r>
        <w:t xml:space="preserve"> Schwartz, 1995, 26</w:t>
      </w:r>
    </w:p>
  </w:footnote>
  <w:footnote w:id="25">
    <w:p w14:paraId="385EBB8B" w14:textId="715081C4" w:rsidR="00BB103A" w:rsidRDefault="00BB103A">
      <w:pPr>
        <w:pStyle w:val="FootnoteText"/>
      </w:pPr>
      <w:r>
        <w:rPr>
          <w:rStyle w:val="FootnoteReference"/>
        </w:rPr>
        <w:footnoteRef/>
      </w:r>
      <w:r>
        <w:t xml:space="preserve"> Schwartz, 1995, 26</w:t>
      </w:r>
    </w:p>
  </w:footnote>
  <w:footnote w:id="26">
    <w:p w14:paraId="73D57375" w14:textId="70C28969" w:rsidR="00BB103A" w:rsidRDefault="00BB103A">
      <w:pPr>
        <w:pStyle w:val="FootnoteText"/>
      </w:pPr>
      <w:r>
        <w:rPr>
          <w:rStyle w:val="FootnoteReference"/>
        </w:rPr>
        <w:footnoteRef/>
      </w:r>
      <w:r>
        <w:t xml:space="preserve"> </w:t>
      </w:r>
      <w:proofErr w:type="spellStart"/>
      <w:r>
        <w:t>Schwarez</w:t>
      </w:r>
      <w:proofErr w:type="spellEnd"/>
    </w:p>
  </w:footnote>
  <w:footnote w:id="27">
    <w:p w14:paraId="0FE64791" w14:textId="04BEF01B" w:rsidR="00BB103A" w:rsidRDefault="00BB103A">
      <w:pPr>
        <w:pStyle w:val="FootnoteText"/>
      </w:pPr>
      <w:r>
        <w:rPr>
          <w:rStyle w:val="FootnoteReference"/>
        </w:rPr>
        <w:footnoteRef/>
      </w:r>
      <w:r>
        <w:t xml:space="preserve"> Himmelfarb, 1998, 38</w:t>
      </w:r>
    </w:p>
  </w:footnote>
  <w:footnote w:id="28">
    <w:p w14:paraId="19B86714" w14:textId="51126079" w:rsidR="00BB103A" w:rsidRDefault="00BB103A">
      <w:pPr>
        <w:pStyle w:val="FootnoteText"/>
      </w:pPr>
      <w:r>
        <w:rPr>
          <w:rStyle w:val="FootnoteReference"/>
        </w:rPr>
        <w:footnoteRef/>
      </w:r>
      <w:r>
        <w:t xml:space="preserve"> Himmelfarb, 1998, 38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477"/>
    <w:rsid w:val="000123E9"/>
    <w:rsid w:val="000C60C5"/>
    <w:rsid w:val="000D2C3B"/>
    <w:rsid w:val="0010075A"/>
    <w:rsid w:val="0012050E"/>
    <w:rsid w:val="00156650"/>
    <w:rsid w:val="001826C6"/>
    <w:rsid w:val="00196F32"/>
    <w:rsid w:val="001A35B0"/>
    <w:rsid w:val="001E401F"/>
    <w:rsid w:val="0023310C"/>
    <w:rsid w:val="002D4C7F"/>
    <w:rsid w:val="002F7DD1"/>
    <w:rsid w:val="00367A3B"/>
    <w:rsid w:val="00494892"/>
    <w:rsid w:val="004A0824"/>
    <w:rsid w:val="004B70FF"/>
    <w:rsid w:val="00513890"/>
    <w:rsid w:val="005611A3"/>
    <w:rsid w:val="00571FFE"/>
    <w:rsid w:val="005E3A9E"/>
    <w:rsid w:val="005F3AFF"/>
    <w:rsid w:val="00613D10"/>
    <w:rsid w:val="00630102"/>
    <w:rsid w:val="006B1EAC"/>
    <w:rsid w:val="006F1600"/>
    <w:rsid w:val="00733C54"/>
    <w:rsid w:val="00734430"/>
    <w:rsid w:val="007C306B"/>
    <w:rsid w:val="00805721"/>
    <w:rsid w:val="008215B9"/>
    <w:rsid w:val="00860EFF"/>
    <w:rsid w:val="008F1D80"/>
    <w:rsid w:val="009C2C58"/>
    <w:rsid w:val="00A2046A"/>
    <w:rsid w:val="00A86927"/>
    <w:rsid w:val="00AA22C2"/>
    <w:rsid w:val="00AF64A6"/>
    <w:rsid w:val="00B77605"/>
    <w:rsid w:val="00B84282"/>
    <w:rsid w:val="00BB103A"/>
    <w:rsid w:val="00C258BE"/>
    <w:rsid w:val="00C2668D"/>
    <w:rsid w:val="00C60477"/>
    <w:rsid w:val="00CC1807"/>
    <w:rsid w:val="00D05EC6"/>
    <w:rsid w:val="00D22E6B"/>
    <w:rsid w:val="00D242A9"/>
    <w:rsid w:val="00D54557"/>
    <w:rsid w:val="00DF1C72"/>
    <w:rsid w:val="00E21681"/>
    <w:rsid w:val="00E33303"/>
    <w:rsid w:val="00E55467"/>
    <w:rsid w:val="00E71FF7"/>
    <w:rsid w:val="00E94F5B"/>
    <w:rsid w:val="00F04F74"/>
    <w:rsid w:val="00F27687"/>
    <w:rsid w:val="00F94B2F"/>
    <w:rsid w:val="00FF5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D51A30"/>
  <w15:chartTrackingRefBased/>
  <w15:docId w15:val="{785144D0-8B46-2D49-B29D-4B7EA832E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67A3B"/>
    <w:rPr>
      <w:sz w:val="20"/>
      <w:szCs w:val="20"/>
    </w:rPr>
  </w:style>
  <w:style w:type="character" w:customStyle="1" w:styleId="FootnoteTextChar">
    <w:name w:val="Footnote Text Char"/>
    <w:basedOn w:val="DefaultParagraphFont"/>
    <w:link w:val="FootnoteText"/>
    <w:uiPriority w:val="99"/>
    <w:semiHidden/>
    <w:rsid w:val="00367A3B"/>
    <w:rPr>
      <w:sz w:val="20"/>
      <w:szCs w:val="20"/>
    </w:rPr>
  </w:style>
  <w:style w:type="character" w:styleId="FootnoteReference">
    <w:name w:val="footnote reference"/>
    <w:basedOn w:val="DefaultParagraphFont"/>
    <w:uiPriority w:val="99"/>
    <w:semiHidden/>
    <w:unhideWhenUsed/>
    <w:rsid w:val="00367A3B"/>
    <w:rPr>
      <w:vertAlign w:val="superscript"/>
    </w:rPr>
  </w:style>
  <w:style w:type="paragraph" w:styleId="NormalWeb">
    <w:name w:val="Normal (Web)"/>
    <w:basedOn w:val="Normal"/>
    <w:uiPriority w:val="99"/>
    <w:semiHidden/>
    <w:unhideWhenUsed/>
    <w:rsid w:val="0073443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734430"/>
    <w:rPr>
      <w:color w:val="0000FF"/>
      <w:u w:val="single"/>
    </w:rPr>
  </w:style>
  <w:style w:type="paragraph" w:styleId="Header">
    <w:name w:val="header"/>
    <w:basedOn w:val="Normal"/>
    <w:link w:val="HeaderChar"/>
    <w:uiPriority w:val="99"/>
    <w:semiHidden/>
    <w:unhideWhenUsed/>
    <w:rsid w:val="00F94B2F"/>
    <w:pPr>
      <w:tabs>
        <w:tab w:val="center" w:pos="4680"/>
        <w:tab w:val="right" w:pos="9360"/>
      </w:tabs>
    </w:pPr>
  </w:style>
  <w:style w:type="character" w:customStyle="1" w:styleId="HeaderChar">
    <w:name w:val="Header Char"/>
    <w:basedOn w:val="DefaultParagraphFont"/>
    <w:link w:val="Header"/>
    <w:uiPriority w:val="99"/>
    <w:semiHidden/>
    <w:rsid w:val="00571FFE"/>
  </w:style>
  <w:style w:type="paragraph" w:styleId="Footer">
    <w:name w:val="footer"/>
    <w:basedOn w:val="Normal"/>
    <w:link w:val="FooterChar"/>
    <w:uiPriority w:val="99"/>
    <w:semiHidden/>
    <w:unhideWhenUsed/>
    <w:rsid w:val="00F94B2F"/>
    <w:pPr>
      <w:tabs>
        <w:tab w:val="center" w:pos="4680"/>
        <w:tab w:val="right" w:pos="9360"/>
      </w:tabs>
    </w:pPr>
  </w:style>
  <w:style w:type="character" w:customStyle="1" w:styleId="FooterChar">
    <w:name w:val="Footer Char"/>
    <w:basedOn w:val="DefaultParagraphFont"/>
    <w:link w:val="Footer"/>
    <w:uiPriority w:val="99"/>
    <w:semiHidden/>
    <w:rsid w:val="00571F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37170">
      <w:bodyDiv w:val="1"/>
      <w:marLeft w:val="0"/>
      <w:marRight w:val="0"/>
      <w:marTop w:val="0"/>
      <w:marBottom w:val="0"/>
      <w:divBdr>
        <w:top w:val="none" w:sz="0" w:space="0" w:color="auto"/>
        <w:left w:val="none" w:sz="0" w:space="0" w:color="auto"/>
        <w:bottom w:val="none" w:sz="0" w:space="0" w:color="auto"/>
        <w:right w:val="none" w:sz="0" w:space="0" w:color="auto"/>
      </w:divBdr>
    </w:div>
    <w:div w:id="259603514">
      <w:bodyDiv w:val="1"/>
      <w:marLeft w:val="0"/>
      <w:marRight w:val="0"/>
      <w:marTop w:val="0"/>
      <w:marBottom w:val="0"/>
      <w:divBdr>
        <w:top w:val="none" w:sz="0" w:space="0" w:color="auto"/>
        <w:left w:val="none" w:sz="0" w:space="0" w:color="auto"/>
        <w:bottom w:val="none" w:sz="0" w:space="0" w:color="auto"/>
        <w:right w:val="none" w:sz="0" w:space="0" w:color="auto"/>
      </w:divBdr>
    </w:div>
    <w:div w:id="414401461">
      <w:bodyDiv w:val="1"/>
      <w:marLeft w:val="0"/>
      <w:marRight w:val="0"/>
      <w:marTop w:val="0"/>
      <w:marBottom w:val="0"/>
      <w:divBdr>
        <w:top w:val="none" w:sz="0" w:space="0" w:color="auto"/>
        <w:left w:val="none" w:sz="0" w:space="0" w:color="auto"/>
        <w:bottom w:val="none" w:sz="0" w:space="0" w:color="auto"/>
        <w:right w:val="none" w:sz="0" w:space="0" w:color="auto"/>
      </w:divBdr>
    </w:div>
    <w:div w:id="587809490">
      <w:bodyDiv w:val="1"/>
      <w:marLeft w:val="0"/>
      <w:marRight w:val="0"/>
      <w:marTop w:val="0"/>
      <w:marBottom w:val="0"/>
      <w:divBdr>
        <w:top w:val="none" w:sz="0" w:space="0" w:color="auto"/>
        <w:left w:val="none" w:sz="0" w:space="0" w:color="auto"/>
        <w:bottom w:val="none" w:sz="0" w:space="0" w:color="auto"/>
        <w:right w:val="none" w:sz="0" w:space="0" w:color="auto"/>
      </w:divBdr>
    </w:div>
    <w:div w:id="814298283">
      <w:bodyDiv w:val="1"/>
      <w:marLeft w:val="0"/>
      <w:marRight w:val="0"/>
      <w:marTop w:val="0"/>
      <w:marBottom w:val="0"/>
      <w:divBdr>
        <w:top w:val="none" w:sz="0" w:space="0" w:color="auto"/>
        <w:left w:val="none" w:sz="0" w:space="0" w:color="auto"/>
        <w:bottom w:val="none" w:sz="0" w:space="0" w:color="auto"/>
        <w:right w:val="none" w:sz="0" w:space="0" w:color="auto"/>
      </w:divBdr>
    </w:div>
    <w:div w:id="1422486089">
      <w:bodyDiv w:val="1"/>
      <w:marLeft w:val="0"/>
      <w:marRight w:val="0"/>
      <w:marTop w:val="0"/>
      <w:marBottom w:val="0"/>
      <w:divBdr>
        <w:top w:val="none" w:sz="0" w:space="0" w:color="auto"/>
        <w:left w:val="none" w:sz="0" w:space="0" w:color="auto"/>
        <w:bottom w:val="none" w:sz="0" w:space="0" w:color="auto"/>
        <w:right w:val="none" w:sz="0" w:space="0" w:color="auto"/>
      </w:divBdr>
    </w:div>
    <w:div w:id="1631979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5RQhysxU2GU"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8</Pages>
  <Words>1758</Words>
  <Characters>8654</Characters>
  <Application>Microsoft Office Word</Application>
  <DocSecurity>0</DocSecurity>
  <Lines>173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Corsi</dc:creator>
  <cp:keywords/>
  <dc:description/>
  <cp:lastModifiedBy>Sofia Corsi</cp:lastModifiedBy>
  <cp:revision>3</cp:revision>
  <dcterms:created xsi:type="dcterms:W3CDTF">2020-05-29T09:14:00Z</dcterms:created>
  <dcterms:modified xsi:type="dcterms:W3CDTF">2020-05-29T10:18:00Z</dcterms:modified>
</cp:coreProperties>
</file>