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0D775C" w14:paraId="68CAA39D" w14:textId="77777777" w:rsidTr="005D3F07">
        <w:tc>
          <w:tcPr>
            <w:tcW w:w="10368" w:type="dxa"/>
            <w:shd w:val="clear" w:color="auto" w:fill="auto"/>
          </w:tcPr>
          <w:p w14:paraId="02F8EE88" w14:textId="4B736157" w:rsidR="00986B43" w:rsidRPr="000D775C"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0D775C">
              <w:rPr>
                <w:rFonts w:ascii="Times New Roman" w:hAnsi="Times New Roman" w:cs="Times New Roman"/>
                <w:b/>
                <w:color w:val="auto"/>
                <w:sz w:val="40"/>
                <w:szCs w:val="40"/>
              </w:rPr>
              <w:t>Learner’s name:</w:t>
            </w:r>
            <w:r w:rsidR="00247265" w:rsidRPr="000D775C">
              <w:rPr>
                <w:rFonts w:ascii="Times New Roman" w:hAnsi="Times New Roman" w:cs="Times New Roman"/>
                <w:b/>
                <w:color w:val="auto"/>
                <w:sz w:val="40"/>
                <w:szCs w:val="40"/>
              </w:rPr>
              <w:t xml:space="preserve"> </w:t>
            </w:r>
            <w:r w:rsidR="007046A5" w:rsidRPr="000D775C">
              <w:rPr>
                <w:rFonts w:ascii="Times New Roman" w:hAnsi="Times New Roman" w:cs="Times New Roman"/>
                <w:b/>
                <w:color w:val="auto"/>
                <w:sz w:val="40"/>
                <w:szCs w:val="40"/>
              </w:rPr>
              <w:t>Rhiannon Valentine</w:t>
            </w:r>
          </w:p>
          <w:p w14:paraId="0B6CD0DB" w14:textId="689515B5" w:rsidR="009C337F" w:rsidRPr="000D775C"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68A5EEC8" w14:textId="77777777" w:rsidR="00003B45" w:rsidRPr="00003B45" w:rsidRDefault="00003B45" w:rsidP="00003B45">
            <w:pPr>
              <w:ind w:right="-957"/>
              <w:rPr>
                <w:rFonts w:ascii="Times New Roman" w:hAnsi="Times New Roman" w:cs="Times New Roman"/>
                <w:b/>
                <w:sz w:val="40"/>
                <w:szCs w:val="40"/>
              </w:rPr>
            </w:pPr>
            <w:r w:rsidRPr="00003B45">
              <w:rPr>
                <w:rFonts w:ascii="Times New Roman" w:hAnsi="Times New Roman" w:cs="Times New Roman"/>
                <w:b/>
                <w:sz w:val="40"/>
                <w:szCs w:val="40"/>
              </w:rPr>
              <w:t xml:space="preserve">Email address: </w:t>
            </w:r>
            <w:hyperlink r:id="rId11" w:history="1">
              <w:r w:rsidRPr="00003B45">
                <w:rPr>
                  <w:rStyle w:val="Hyperlink"/>
                  <w:rFonts w:ascii="Times New Roman" w:hAnsi="Times New Roman" w:cs="Times New Roman"/>
                  <w:b/>
                  <w:color w:val="000000" w:themeColor="text1"/>
                  <w:sz w:val="40"/>
                  <w:szCs w:val="40"/>
                </w:rPr>
                <w:t>2332654@student.uwtsd.ac.uk</w:t>
              </w:r>
            </w:hyperlink>
          </w:p>
          <w:p w14:paraId="40C64CEB" w14:textId="77777777" w:rsidR="00003B45" w:rsidRPr="00003B45" w:rsidRDefault="00003B45" w:rsidP="00003B45">
            <w:pPr>
              <w:ind w:right="-957"/>
              <w:rPr>
                <w:rFonts w:ascii="Times New Roman" w:hAnsi="Times New Roman" w:cs="Times New Roman"/>
                <w:b/>
                <w:sz w:val="40"/>
                <w:szCs w:val="40"/>
              </w:rPr>
            </w:pPr>
          </w:p>
          <w:p w14:paraId="12819A2E" w14:textId="77777777" w:rsidR="00003B45" w:rsidRPr="00003B45" w:rsidRDefault="00003B45" w:rsidP="00003B45">
            <w:pPr>
              <w:ind w:right="-957"/>
              <w:rPr>
                <w:rFonts w:ascii="Times New Roman" w:hAnsi="Times New Roman" w:cs="Times New Roman"/>
                <w:b/>
                <w:sz w:val="40"/>
                <w:szCs w:val="40"/>
              </w:rPr>
            </w:pPr>
            <w:r w:rsidRPr="00003B45">
              <w:rPr>
                <w:rFonts w:ascii="Times New Roman" w:hAnsi="Times New Roman" w:cs="Times New Roman"/>
                <w:b/>
                <w:sz w:val="40"/>
                <w:szCs w:val="40"/>
              </w:rPr>
              <w:t>Learner’s University Registration Number:</w:t>
            </w:r>
          </w:p>
          <w:p w14:paraId="1104A324" w14:textId="77777777" w:rsidR="00003B45" w:rsidRPr="00003B45" w:rsidRDefault="00003B45" w:rsidP="00003B45">
            <w:pPr>
              <w:ind w:right="-957"/>
              <w:rPr>
                <w:rFonts w:ascii="Times New Roman" w:hAnsi="Times New Roman" w:cs="Times New Roman"/>
                <w:b/>
                <w:sz w:val="40"/>
                <w:szCs w:val="40"/>
              </w:rPr>
            </w:pPr>
            <w:r w:rsidRPr="00003B45">
              <w:rPr>
                <w:rFonts w:ascii="Times New Roman" w:hAnsi="Times New Roman" w:cs="Times New Roman"/>
                <w:sz w:val="40"/>
                <w:szCs w:val="40"/>
              </w:rPr>
              <w:t>2332654</w:t>
            </w:r>
            <w:bookmarkStart w:id="0" w:name="_GoBack"/>
            <w:bookmarkEnd w:id="0"/>
          </w:p>
          <w:p w14:paraId="622FD17A" w14:textId="77777777" w:rsidR="0085230E" w:rsidRPr="000D775C"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048C9EAF" w:rsidR="0085230E" w:rsidRPr="000D775C" w:rsidRDefault="00706BB5" w:rsidP="005D3F07">
            <w:pPr>
              <w:overflowPunct/>
              <w:autoSpaceDE/>
              <w:autoSpaceDN/>
              <w:adjustRightInd/>
              <w:ind w:right="-957"/>
              <w:textAlignment w:val="auto"/>
              <w:rPr>
                <w:rFonts w:ascii="Times New Roman" w:hAnsi="Times New Roman" w:cs="Times New Roman"/>
                <w:b/>
                <w:color w:val="auto"/>
                <w:sz w:val="40"/>
                <w:szCs w:val="40"/>
              </w:rPr>
            </w:pPr>
            <w:r w:rsidRPr="000D775C">
              <w:rPr>
                <w:rFonts w:ascii="Times New Roman" w:hAnsi="Times New Roman" w:cs="Times New Roman"/>
                <w:b/>
                <w:color w:val="auto"/>
                <w:sz w:val="40"/>
                <w:szCs w:val="40"/>
              </w:rPr>
              <w:t xml:space="preserve">Cohort: </w:t>
            </w:r>
            <w:r w:rsidR="00B037B0" w:rsidRPr="000D775C">
              <w:rPr>
                <w:rFonts w:ascii="Times New Roman" w:hAnsi="Times New Roman" w:cs="Times New Roman"/>
                <w:b/>
                <w:color w:val="auto"/>
                <w:sz w:val="40"/>
                <w:szCs w:val="40"/>
              </w:rPr>
              <w:t>21</w:t>
            </w:r>
            <w:r w:rsidR="00AE6231" w:rsidRPr="000D775C">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7046A5" w14:paraId="2E129DEE" w14:textId="77777777" w:rsidTr="7B2CF1A9">
        <w:tc>
          <w:tcPr>
            <w:tcW w:w="10031" w:type="dxa"/>
            <w:shd w:val="clear" w:color="auto" w:fill="auto"/>
          </w:tcPr>
          <w:p w14:paraId="63627B26" w14:textId="64A7A177" w:rsidR="006872A0" w:rsidRPr="007046A5" w:rsidRDefault="006872A0" w:rsidP="00064063">
            <w:pPr>
              <w:jc w:val="both"/>
              <w:rPr>
                <w:b/>
                <w:sz w:val="24"/>
                <w:szCs w:val="24"/>
              </w:rPr>
            </w:pPr>
            <w:r w:rsidRPr="007046A5">
              <w:rPr>
                <w:b/>
                <w:sz w:val="24"/>
                <w:szCs w:val="24"/>
              </w:rPr>
              <w:t>Question</w:t>
            </w:r>
            <w:r w:rsidR="007A628F" w:rsidRPr="007046A5">
              <w:rPr>
                <w:b/>
                <w:sz w:val="24"/>
                <w:szCs w:val="24"/>
              </w:rPr>
              <w:t>:</w:t>
            </w:r>
          </w:p>
          <w:p w14:paraId="541B485B" w14:textId="4CB44B06" w:rsidR="00C77FA5" w:rsidRPr="007046A5" w:rsidRDefault="000A584A">
            <w:pPr>
              <w:jc w:val="both"/>
              <w:rPr>
                <w:sz w:val="24"/>
                <w:szCs w:val="24"/>
              </w:rPr>
            </w:pPr>
            <w:r w:rsidRPr="007046A5">
              <w:rPr>
                <w:sz w:val="24"/>
                <w:szCs w:val="24"/>
              </w:rPr>
              <w:t xml:space="preserve">Complete a critically reflective case study </w:t>
            </w:r>
            <w:r w:rsidR="00D0503D" w:rsidRPr="007046A5">
              <w:rPr>
                <w:sz w:val="24"/>
                <w:szCs w:val="24"/>
              </w:rPr>
              <w:t>based</w:t>
            </w:r>
            <w:r w:rsidRPr="007046A5">
              <w:rPr>
                <w:sz w:val="24"/>
                <w:szCs w:val="24"/>
              </w:rPr>
              <w:t xml:space="preserve"> on</w:t>
            </w:r>
            <w:r w:rsidR="00696A88" w:rsidRPr="007046A5">
              <w:rPr>
                <w:sz w:val="24"/>
                <w:szCs w:val="24"/>
              </w:rPr>
              <w:t xml:space="preserve"> </w:t>
            </w:r>
            <w:r w:rsidR="00411EF7" w:rsidRPr="007046A5">
              <w:rPr>
                <w:sz w:val="24"/>
                <w:szCs w:val="24"/>
              </w:rPr>
              <w:t>an assessment</w:t>
            </w:r>
            <w:r w:rsidR="007F312E" w:rsidRPr="007046A5">
              <w:rPr>
                <w:sz w:val="24"/>
                <w:szCs w:val="24"/>
              </w:rPr>
              <w:t xml:space="preserve"> </w:t>
            </w:r>
            <w:r w:rsidR="007C5ABE" w:rsidRPr="007046A5">
              <w:rPr>
                <w:sz w:val="24"/>
                <w:szCs w:val="24"/>
              </w:rPr>
              <w:t xml:space="preserve">that you have </w:t>
            </w:r>
            <w:r w:rsidRPr="007046A5">
              <w:rPr>
                <w:sz w:val="24"/>
                <w:szCs w:val="24"/>
              </w:rPr>
              <w:t xml:space="preserve">undertaken with </w:t>
            </w:r>
            <w:r w:rsidR="00D0503D" w:rsidRPr="007046A5">
              <w:rPr>
                <w:sz w:val="24"/>
                <w:szCs w:val="24"/>
              </w:rPr>
              <w:t>others,</w:t>
            </w:r>
            <w:r w:rsidR="00D0503D" w:rsidRPr="007046A5">
              <w:rPr>
                <w:b/>
                <w:bCs/>
                <w:sz w:val="24"/>
                <w:szCs w:val="24"/>
              </w:rPr>
              <w:t xml:space="preserve"> </w:t>
            </w:r>
            <w:r w:rsidR="00D0503D" w:rsidRPr="007046A5">
              <w:rPr>
                <w:sz w:val="24"/>
                <w:szCs w:val="24"/>
              </w:rPr>
              <w:t>in</w:t>
            </w:r>
            <w:r w:rsidR="0002440E" w:rsidRPr="007046A5">
              <w:rPr>
                <w:sz w:val="24"/>
                <w:szCs w:val="24"/>
              </w:rPr>
              <w:t xml:space="preserve"> your own area of work</w:t>
            </w:r>
            <w:r w:rsidR="00D0503D" w:rsidRPr="007046A5">
              <w:rPr>
                <w:sz w:val="24"/>
                <w:szCs w:val="24"/>
              </w:rPr>
              <w:t xml:space="preserve">, </w:t>
            </w:r>
            <w:r w:rsidR="00587923" w:rsidRPr="007046A5">
              <w:rPr>
                <w:sz w:val="24"/>
                <w:szCs w:val="24"/>
              </w:rPr>
              <w:t>c</w:t>
            </w:r>
            <w:r w:rsidR="008B28E7" w:rsidRPr="007046A5">
              <w:rPr>
                <w:sz w:val="24"/>
                <w:szCs w:val="24"/>
              </w:rPr>
              <w:t>oncerning the safeguarding of either an adult or a child</w:t>
            </w:r>
            <w:r w:rsidRPr="007046A5">
              <w:rPr>
                <w:sz w:val="24"/>
                <w:szCs w:val="24"/>
              </w:rPr>
              <w:t xml:space="preserve">. </w:t>
            </w:r>
            <w:r w:rsidR="00216563" w:rsidRPr="007046A5">
              <w:rPr>
                <w:sz w:val="24"/>
                <w:szCs w:val="24"/>
              </w:rPr>
              <w:t xml:space="preserve">You must demonstrate how </w:t>
            </w:r>
            <w:r w:rsidR="00F34C86" w:rsidRPr="007046A5">
              <w:rPr>
                <w:sz w:val="24"/>
                <w:szCs w:val="24"/>
              </w:rPr>
              <w:t xml:space="preserve">the case relates to or could relate to safeguarding </w:t>
            </w:r>
            <w:r w:rsidR="00216563" w:rsidRPr="007046A5">
              <w:rPr>
                <w:sz w:val="24"/>
                <w:szCs w:val="24"/>
              </w:rPr>
              <w:t>legislation, policies</w:t>
            </w:r>
            <w:r w:rsidR="00F34C86" w:rsidRPr="007046A5">
              <w:rPr>
                <w:sz w:val="24"/>
                <w:szCs w:val="24"/>
              </w:rPr>
              <w:t>, strategies and procedures</w:t>
            </w:r>
            <w:r w:rsidR="7AAB400D" w:rsidRPr="007046A5">
              <w:rPr>
                <w:sz w:val="24"/>
                <w:szCs w:val="24"/>
              </w:rPr>
              <w:t xml:space="preserve"> </w:t>
            </w:r>
            <w:r w:rsidR="623F2A43" w:rsidRPr="007046A5">
              <w:rPr>
                <w:sz w:val="24"/>
                <w:szCs w:val="24"/>
              </w:rPr>
              <w:t>(</w:t>
            </w:r>
            <w:r w:rsidR="7AAB400D" w:rsidRPr="007046A5">
              <w:rPr>
                <w:sz w:val="24"/>
                <w:szCs w:val="24"/>
              </w:rPr>
              <w:t>i</w:t>
            </w:r>
            <w:r w:rsidR="623F2A43" w:rsidRPr="007046A5">
              <w:rPr>
                <w:sz w:val="24"/>
                <w:szCs w:val="24"/>
              </w:rPr>
              <w:t xml:space="preserve">ncluding </w:t>
            </w:r>
            <w:r w:rsidR="322513AD" w:rsidRPr="007046A5">
              <w:rPr>
                <w:sz w:val="24"/>
                <w:szCs w:val="24"/>
              </w:rPr>
              <w:t>d</w:t>
            </w:r>
            <w:r w:rsidR="7E97696C" w:rsidRPr="007046A5">
              <w:rPr>
                <w:sz w:val="24"/>
                <w:szCs w:val="24"/>
              </w:rPr>
              <w:t xml:space="preserve">emonstrating an understanding of </w:t>
            </w:r>
            <w:r w:rsidR="623F2A43" w:rsidRPr="007046A5">
              <w:rPr>
                <w:sz w:val="24"/>
                <w:szCs w:val="24"/>
              </w:rPr>
              <w:t>the</w:t>
            </w:r>
            <w:r w:rsidR="350F702B" w:rsidRPr="007046A5">
              <w:rPr>
                <w:sz w:val="24"/>
                <w:szCs w:val="24"/>
              </w:rPr>
              <w:t xml:space="preserve"> </w:t>
            </w:r>
            <w:r w:rsidR="3B2446CA" w:rsidRPr="007046A5">
              <w:rPr>
                <w:rFonts w:eastAsia="Arial"/>
                <w:color w:val="000000" w:themeColor="text1"/>
                <w:sz w:val="24"/>
                <w:szCs w:val="24"/>
              </w:rPr>
              <w:t xml:space="preserve">interface </w:t>
            </w:r>
            <w:r w:rsidR="534A9052" w:rsidRPr="007046A5">
              <w:rPr>
                <w:rFonts w:eastAsia="Arial"/>
                <w:color w:val="000000" w:themeColor="text1"/>
                <w:sz w:val="24"/>
                <w:szCs w:val="24"/>
              </w:rPr>
              <w:t>between social services provision in Wales with the United Kingdom, the European Union</w:t>
            </w:r>
            <w:r w:rsidR="007A628F" w:rsidRPr="007046A5">
              <w:rPr>
                <w:rFonts w:eastAsia="Arial"/>
                <w:color w:val="000000" w:themeColor="text1"/>
                <w:sz w:val="24"/>
                <w:szCs w:val="24"/>
              </w:rPr>
              <w:t xml:space="preserve"> (EU)</w:t>
            </w:r>
            <w:r w:rsidR="534A9052" w:rsidRPr="007046A5">
              <w:rPr>
                <w:rFonts w:eastAsia="Arial"/>
                <w:color w:val="000000" w:themeColor="text1"/>
                <w:sz w:val="24"/>
                <w:szCs w:val="24"/>
              </w:rPr>
              <w:t xml:space="preserve"> and outside the EU</w:t>
            </w:r>
            <w:r w:rsidR="623F2A43" w:rsidRPr="007046A5">
              <w:rPr>
                <w:rFonts w:eastAsia="Arial"/>
                <w:color w:val="000000" w:themeColor="text1"/>
                <w:sz w:val="24"/>
                <w:szCs w:val="24"/>
              </w:rPr>
              <w:t>)</w:t>
            </w:r>
            <w:r w:rsidR="00411EF7" w:rsidRPr="007046A5">
              <w:rPr>
                <w:sz w:val="24"/>
                <w:szCs w:val="24"/>
              </w:rPr>
              <w:t>.</w:t>
            </w:r>
            <w:r w:rsidR="00354B6D" w:rsidRPr="007046A5">
              <w:rPr>
                <w:sz w:val="24"/>
                <w:szCs w:val="24"/>
              </w:rPr>
              <w:t xml:space="preserve"> </w:t>
            </w:r>
            <w:r w:rsidR="102A3950" w:rsidRPr="007046A5">
              <w:rPr>
                <w:sz w:val="24"/>
                <w:szCs w:val="24"/>
              </w:rPr>
              <w:t>You</w:t>
            </w:r>
            <w:r w:rsidR="00354B6D" w:rsidRPr="007046A5">
              <w:rPr>
                <w:sz w:val="24"/>
                <w:szCs w:val="24"/>
              </w:rPr>
              <w:t xml:space="preserve"> must</w:t>
            </w:r>
            <w:r w:rsidR="00411EF7" w:rsidRPr="007046A5">
              <w:rPr>
                <w:sz w:val="24"/>
                <w:szCs w:val="24"/>
              </w:rPr>
              <w:t xml:space="preserve"> </w:t>
            </w:r>
            <w:r w:rsidR="00354B6D" w:rsidRPr="007046A5">
              <w:rPr>
                <w:sz w:val="24"/>
                <w:szCs w:val="24"/>
              </w:rPr>
              <w:t>demonstrate your understanding of</w:t>
            </w:r>
            <w:r w:rsidR="00F34C86" w:rsidRPr="007046A5">
              <w:rPr>
                <w:sz w:val="24"/>
                <w:szCs w:val="24"/>
              </w:rPr>
              <w:t xml:space="preserve"> </w:t>
            </w:r>
            <w:r w:rsidR="00411EF7" w:rsidRPr="007046A5">
              <w:rPr>
                <w:sz w:val="24"/>
                <w:szCs w:val="24"/>
              </w:rPr>
              <w:t xml:space="preserve">the </w:t>
            </w:r>
            <w:r w:rsidR="00216563" w:rsidRPr="007046A5">
              <w:rPr>
                <w:sz w:val="24"/>
                <w:szCs w:val="24"/>
              </w:rPr>
              <w:t xml:space="preserve">integration of </w:t>
            </w:r>
            <w:r w:rsidR="6A854C79" w:rsidRPr="007046A5">
              <w:rPr>
                <w:sz w:val="24"/>
                <w:szCs w:val="24"/>
              </w:rPr>
              <w:t>analysis in asses</w:t>
            </w:r>
            <w:r w:rsidR="0F77E214" w:rsidRPr="007046A5">
              <w:rPr>
                <w:sz w:val="24"/>
                <w:szCs w:val="24"/>
              </w:rPr>
              <w:t>sment, collabo</w:t>
            </w:r>
            <w:r w:rsidR="6A854C79" w:rsidRPr="007046A5">
              <w:rPr>
                <w:sz w:val="24"/>
                <w:szCs w:val="24"/>
              </w:rPr>
              <w:t>rative work</w:t>
            </w:r>
            <w:r w:rsidR="0F77E214" w:rsidRPr="007046A5">
              <w:rPr>
                <w:sz w:val="24"/>
                <w:szCs w:val="24"/>
              </w:rPr>
              <w:t>ing</w:t>
            </w:r>
            <w:r w:rsidR="6A854C79" w:rsidRPr="007046A5">
              <w:rPr>
                <w:sz w:val="24"/>
                <w:szCs w:val="24"/>
              </w:rPr>
              <w:t xml:space="preserve"> a</w:t>
            </w:r>
            <w:r w:rsidR="0F77E214" w:rsidRPr="007046A5">
              <w:rPr>
                <w:sz w:val="24"/>
                <w:szCs w:val="24"/>
              </w:rPr>
              <w:t xml:space="preserve">nd </w:t>
            </w:r>
            <w:r w:rsidR="6A854C79" w:rsidRPr="007046A5">
              <w:rPr>
                <w:sz w:val="24"/>
                <w:szCs w:val="24"/>
              </w:rPr>
              <w:t>professional</w:t>
            </w:r>
            <w:r w:rsidR="00F34C86" w:rsidRPr="007046A5">
              <w:rPr>
                <w:sz w:val="24"/>
                <w:szCs w:val="24"/>
              </w:rPr>
              <w:t xml:space="preserve"> </w:t>
            </w:r>
            <w:r w:rsidR="00216563" w:rsidRPr="007046A5">
              <w:rPr>
                <w:sz w:val="24"/>
                <w:szCs w:val="24"/>
              </w:rPr>
              <w:t>judgements</w:t>
            </w:r>
            <w:r w:rsidR="0F77E214" w:rsidRPr="007046A5">
              <w:rPr>
                <w:sz w:val="24"/>
                <w:szCs w:val="24"/>
              </w:rPr>
              <w:t xml:space="preserve"> in increasingly complex situations </w:t>
            </w:r>
            <w:r w:rsidR="00E5498A" w:rsidRPr="007046A5">
              <w:rPr>
                <w:sz w:val="24"/>
                <w:szCs w:val="24"/>
              </w:rPr>
              <w:t>and</w:t>
            </w:r>
            <w:r w:rsidR="1D6670C0" w:rsidRPr="007046A5">
              <w:rPr>
                <w:sz w:val="24"/>
                <w:szCs w:val="24"/>
              </w:rPr>
              <w:t xml:space="preserve"> </w:t>
            </w:r>
            <w:r w:rsidR="39C47EB7" w:rsidRPr="007046A5">
              <w:rPr>
                <w:sz w:val="24"/>
                <w:szCs w:val="24"/>
              </w:rPr>
              <w:t>the</w:t>
            </w:r>
            <w:r w:rsidR="25F327FB" w:rsidRPr="007046A5">
              <w:rPr>
                <w:sz w:val="24"/>
                <w:szCs w:val="24"/>
              </w:rPr>
              <w:t xml:space="preserve"> </w:t>
            </w:r>
            <w:r w:rsidR="00F34C86" w:rsidRPr="007046A5">
              <w:rPr>
                <w:sz w:val="24"/>
                <w:szCs w:val="24"/>
              </w:rPr>
              <w:t>use of social work theories</w:t>
            </w:r>
            <w:r w:rsidR="756EEE2D" w:rsidRPr="007046A5">
              <w:rPr>
                <w:sz w:val="24"/>
                <w:szCs w:val="24"/>
              </w:rPr>
              <w:t>.</w:t>
            </w:r>
            <w:r w:rsidR="00216563" w:rsidRPr="007046A5">
              <w:rPr>
                <w:sz w:val="24"/>
                <w:szCs w:val="24"/>
              </w:rPr>
              <w:t xml:space="preserve"> </w:t>
            </w:r>
            <w:r w:rsidR="756EEE2D" w:rsidRPr="007046A5">
              <w:rPr>
                <w:sz w:val="24"/>
                <w:szCs w:val="24"/>
              </w:rPr>
              <w:t>You</w:t>
            </w:r>
            <w:r w:rsidR="00216563" w:rsidRPr="007046A5">
              <w:rPr>
                <w:sz w:val="24"/>
                <w:szCs w:val="24"/>
              </w:rPr>
              <w:t xml:space="preserve"> </w:t>
            </w:r>
            <w:r w:rsidR="00E5498A" w:rsidRPr="007046A5">
              <w:rPr>
                <w:sz w:val="24"/>
                <w:szCs w:val="24"/>
              </w:rPr>
              <w:t xml:space="preserve">must </w:t>
            </w:r>
            <w:r w:rsidR="00F030D4" w:rsidRPr="007046A5">
              <w:rPr>
                <w:sz w:val="24"/>
                <w:szCs w:val="24"/>
              </w:rPr>
              <w:t>refer to</w:t>
            </w:r>
            <w:r w:rsidR="00216563" w:rsidRPr="007046A5">
              <w:rPr>
                <w:sz w:val="24"/>
                <w:szCs w:val="24"/>
              </w:rPr>
              <w:t xml:space="preserve"> </w:t>
            </w:r>
            <w:r w:rsidR="00F34C86" w:rsidRPr="007046A5">
              <w:rPr>
                <w:sz w:val="24"/>
                <w:szCs w:val="24"/>
              </w:rPr>
              <w:t>the specific dimensions of working in Wales</w:t>
            </w:r>
            <w:r w:rsidR="00411EF7" w:rsidRPr="007046A5">
              <w:rPr>
                <w:sz w:val="24"/>
                <w:szCs w:val="24"/>
              </w:rPr>
              <w:t xml:space="preserve">. </w:t>
            </w:r>
          </w:p>
          <w:p w14:paraId="2F8A7CA5" w14:textId="6EDC9DFB" w:rsidR="008D5999" w:rsidRPr="007046A5" w:rsidRDefault="008D5999" w:rsidP="00064063">
            <w:pPr>
              <w:jc w:val="both"/>
              <w:rPr>
                <w:sz w:val="24"/>
                <w:szCs w:val="24"/>
              </w:rPr>
            </w:pPr>
          </w:p>
          <w:p w14:paraId="20A5906F" w14:textId="77777777" w:rsidR="008D5999" w:rsidRPr="007046A5" w:rsidRDefault="008D5999" w:rsidP="00064063">
            <w:pPr>
              <w:jc w:val="both"/>
              <w:rPr>
                <w:sz w:val="24"/>
                <w:szCs w:val="24"/>
              </w:rPr>
            </w:pPr>
          </w:p>
          <w:p w14:paraId="51AF4546" w14:textId="476CB9AF" w:rsidR="00D3203C" w:rsidRPr="007046A5" w:rsidRDefault="00045C40" w:rsidP="00FF7EBB">
            <w:pPr>
              <w:jc w:val="both"/>
              <w:rPr>
                <w:i/>
                <w:sz w:val="24"/>
                <w:szCs w:val="24"/>
              </w:rPr>
            </w:pPr>
            <w:r w:rsidRPr="007046A5">
              <w:rPr>
                <w:i/>
                <w:sz w:val="24"/>
                <w:szCs w:val="24"/>
              </w:rPr>
              <w:t xml:space="preserve">4000 </w:t>
            </w:r>
            <w:r w:rsidR="008B28E7" w:rsidRPr="007046A5">
              <w:rPr>
                <w:i/>
                <w:sz w:val="24"/>
                <w:szCs w:val="24"/>
              </w:rPr>
              <w:t>words</w:t>
            </w:r>
            <w:r w:rsidR="008B28E7" w:rsidRPr="007046A5">
              <w:rPr>
                <w:sz w:val="24"/>
                <w:szCs w:val="24"/>
              </w:rPr>
              <w:t xml:space="preserve"> </w:t>
            </w:r>
            <w:r w:rsidR="008B28E7" w:rsidRPr="007046A5">
              <w:rPr>
                <w:i/>
                <w:sz w:val="24"/>
                <w:szCs w:val="24"/>
              </w:rPr>
              <w:t>(+/- 10%: include your actual word count at the end of each section)</w:t>
            </w:r>
            <w:r w:rsidR="007A628F" w:rsidRPr="007046A5">
              <w:rPr>
                <w:i/>
                <w:sz w:val="24"/>
                <w:szCs w:val="24"/>
              </w:rPr>
              <w:t>.</w:t>
            </w:r>
          </w:p>
          <w:p w14:paraId="701D8D4D" w14:textId="38C2B218" w:rsidR="00D3203C" w:rsidRPr="007046A5" w:rsidRDefault="00D3203C" w:rsidP="00FF7EBB">
            <w:pPr>
              <w:jc w:val="both"/>
              <w:rPr>
                <w:i/>
                <w:sz w:val="24"/>
                <w:szCs w:val="24"/>
              </w:rPr>
            </w:pPr>
          </w:p>
          <w:p w14:paraId="025D96B6" w14:textId="618BA4F2" w:rsidR="007046A5" w:rsidRPr="007046A5" w:rsidRDefault="007046A5" w:rsidP="007046A5">
            <w:pPr>
              <w:spacing w:line="360" w:lineRule="auto"/>
              <w:jc w:val="both"/>
              <w:rPr>
                <w:sz w:val="24"/>
                <w:szCs w:val="24"/>
              </w:rPr>
            </w:pPr>
            <w:r w:rsidRPr="007046A5">
              <w:rPr>
                <w:sz w:val="24"/>
                <w:szCs w:val="24"/>
              </w:rPr>
              <w:t xml:space="preserve">Throughout this piece of work the child will be known as 2, and the child’s mother will be known as Parent 3.  2 is male and under 18, who attends a mainstream school. He lives in a Welsh town, and is a non-Welsh speaker, so English is his first language. 2 has a physical disability and I have worked with 2 for over a year and developed a good relationship with both 2 and his family.  2 has an older sister who is also in a mainstream school, but does have a diagnosis of Autism, and there have been occasions where she has not been able to attend school due to her anxieties around managing her schoolwork.  2 can often be quite demanding of his mother’s time, and due to his condition, his mobility can be affected, so he does require supervision and support with some daily living tasks. The case was referred to the disability team from a third sector service previously supporting the family, for an assessment of need. A comprehensive assessment was initially completed when the case was first allocated, to determine if there were any care and support needs of 2. Assessment comes under part 3 of the Social Services and Well-being (Wales) 2014 Act, and I referred to this when assessing the needs of 2 for care and support, and also taking into account the support required for </w:t>
            </w:r>
            <w:r w:rsidRPr="007046A5">
              <w:rPr>
                <w:sz w:val="24"/>
                <w:szCs w:val="24"/>
              </w:rPr>
              <w:lastRenderedPageBreak/>
              <w:t>parents as carers. The process of the assessment applies to all people, children, adults and carers. The outcome of the assessment determined that 2 had care and support needs, and a direct payment was agreed as the most appropriate solution to support 2, so he is able to access the community with a personal assistant (PA) to engage in activities which he cho</w:t>
            </w:r>
            <w:r w:rsidR="000D775C">
              <w:rPr>
                <w:sz w:val="24"/>
                <w:szCs w:val="24"/>
              </w:rPr>
              <w:t>o</w:t>
            </w:r>
            <w:r w:rsidRPr="007046A5">
              <w:rPr>
                <w:sz w:val="24"/>
                <w:szCs w:val="24"/>
              </w:rPr>
              <w:t>se</w:t>
            </w:r>
            <w:r w:rsidR="000D775C">
              <w:rPr>
                <w:sz w:val="24"/>
                <w:szCs w:val="24"/>
              </w:rPr>
              <w:t>s</w:t>
            </w:r>
            <w:r w:rsidRPr="007046A5">
              <w:rPr>
                <w:sz w:val="24"/>
                <w:szCs w:val="24"/>
              </w:rPr>
              <w:t>, which would increase his physical activity to support his condition, whilst also giving his parents respite from their caring role. The care and support plan created following the comprehensive assessment is reviewed every 6 months as 2 is under 18, this is to ensure the plan continues to meet the needs of 2. This is in line with the Code of Practice, under Part 3 of the Social Services and Well-being (Wales) Act 2014 (Social Care Wales, 2015).</w:t>
            </w:r>
          </w:p>
          <w:p w14:paraId="5B6B7E2F" w14:textId="77777777" w:rsidR="007046A5" w:rsidRPr="007046A5" w:rsidRDefault="007046A5" w:rsidP="007046A5">
            <w:pPr>
              <w:spacing w:line="360" w:lineRule="auto"/>
              <w:jc w:val="both"/>
              <w:rPr>
                <w:sz w:val="24"/>
                <w:szCs w:val="24"/>
              </w:rPr>
            </w:pPr>
          </w:p>
          <w:p w14:paraId="45D4C883" w14:textId="3C553F17" w:rsidR="007046A5" w:rsidRPr="007046A5" w:rsidRDefault="007046A5" w:rsidP="007046A5">
            <w:pPr>
              <w:spacing w:line="360" w:lineRule="auto"/>
              <w:jc w:val="both"/>
              <w:rPr>
                <w:rFonts w:eastAsiaTheme="minorHAnsi"/>
                <w:color w:val="FF0000"/>
                <w:sz w:val="24"/>
                <w:szCs w:val="24"/>
                <w:lang w:eastAsia="en-US"/>
              </w:rPr>
            </w:pPr>
            <w:r w:rsidRPr="007046A5">
              <w:rPr>
                <w:sz w:val="24"/>
                <w:szCs w:val="24"/>
              </w:rPr>
              <w:t>A child protection referral was received from the children’s single point of access team (SPOA) for individual 2</w:t>
            </w:r>
            <w:r w:rsidR="000D775C">
              <w:rPr>
                <w:sz w:val="24"/>
                <w:szCs w:val="24"/>
              </w:rPr>
              <w:t xml:space="preserve">. </w:t>
            </w:r>
            <w:r w:rsidRPr="007046A5">
              <w:rPr>
                <w:color w:val="000000" w:themeColor="text1"/>
                <w:sz w:val="24"/>
                <w:szCs w:val="24"/>
              </w:rPr>
              <w:t>SPOA are the single point of access team who work within local authorities. SPOA are the first point of contact who support residents and professionals within the local authority.  They are the gatekeepers who deal with all the initial enquiries and will sign post where they can.</w:t>
            </w:r>
          </w:p>
          <w:p w14:paraId="0F1D289A" w14:textId="77777777" w:rsidR="007046A5" w:rsidRPr="007046A5" w:rsidRDefault="007046A5" w:rsidP="007046A5">
            <w:pPr>
              <w:spacing w:line="360" w:lineRule="auto"/>
              <w:jc w:val="both"/>
              <w:rPr>
                <w:color w:val="FF0000"/>
                <w:sz w:val="24"/>
                <w:szCs w:val="24"/>
              </w:rPr>
            </w:pPr>
          </w:p>
          <w:p w14:paraId="6CAB5BB5" w14:textId="71B23E10" w:rsidR="007046A5" w:rsidRPr="007046A5" w:rsidRDefault="007046A5" w:rsidP="007046A5">
            <w:pPr>
              <w:spacing w:line="360" w:lineRule="auto"/>
              <w:jc w:val="both"/>
              <w:rPr>
                <w:sz w:val="24"/>
                <w:szCs w:val="24"/>
              </w:rPr>
            </w:pPr>
            <w:r w:rsidRPr="007046A5">
              <w:rPr>
                <w:sz w:val="24"/>
                <w:szCs w:val="24"/>
              </w:rPr>
              <w:t xml:space="preserve">The referral came from a health professional who had concerns around individual 2’s weight, and how they were experiencing difficulties in sourcing suitable equipment for individual 2 to have within school. Concerns were raised in a care and support plan review some weeks earlier, and discussions were had during the review with parent 3 and grandmother present. 2 had accessed support through the weight management teams </w:t>
            </w:r>
            <w:r w:rsidR="00272FDC" w:rsidRPr="007046A5">
              <w:rPr>
                <w:sz w:val="24"/>
                <w:szCs w:val="24"/>
              </w:rPr>
              <w:t>12</w:t>
            </w:r>
            <w:r w:rsidR="00272FDC">
              <w:rPr>
                <w:sz w:val="24"/>
                <w:szCs w:val="24"/>
              </w:rPr>
              <w:t>-month</w:t>
            </w:r>
            <w:r w:rsidRPr="007046A5">
              <w:rPr>
                <w:sz w:val="24"/>
                <w:szCs w:val="24"/>
              </w:rPr>
              <w:t xml:space="preserve"> programme previously, which </w:t>
            </w:r>
            <w:r w:rsidRPr="007046A5">
              <w:rPr>
                <w:color w:val="212529"/>
                <w:sz w:val="24"/>
                <w:szCs w:val="24"/>
                <w:shd w:val="clear" w:color="auto" w:fill="FFFFFF"/>
              </w:rPr>
              <w:t xml:space="preserve">provided support for individual 2 and their family. The support enables 2 and their family to improve their health, by making small sustainable changes, which include support with food choices, and advice around increasing activity. </w:t>
            </w:r>
            <w:r w:rsidRPr="007046A5">
              <w:rPr>
                <w:sz w:val="24"/>
                <w:szCs w:val="24"/>
              </w:rPr>
              <w:t>As the weight management team had previously been involved and 2 had completed the 12 month programme the previous year, a re-referral was discussed, but a difficulty to this was raised on how the weight management teams policy is no re-referral to be made before a 12 month period passes, following accessing the programme.  As 2 had only recently completed the programme this was seen as a barrier.</w:t>
            </w:r>
          </w:p>
          <w:p w14:paraId="04EA1EB3" w14:textId="77777777" w:rsidR="007046A5" w:rsidRPr="007046A5" w:rsidRDefault="007046A5" w:rsidP="007046A5">
            <w:pPr>
              <w:spacing w:line="360" w:lineRule="auto"/>
              <w:jc w:val="both"/>
              <w:rPr>
                <w:sz w:val="24"/>
                <w:szCs w:val="24"/>
              </w:rPr>
            </w:pPr>
          </w:p>
          <w:p w14:paraId="24A87AE4" w14:textId="5E03DE60" w:rsidR="007046A5" w:rsidRPr="007046A5" w:rsidRDefault="007046A5" w:rsidP="007046A5">
            <w:pPr>
              <w:spacing w:line="360" w:lineRule="auto"/>
              <w:jc w:val="both"/>
              <w:rPr>
                <w:sz w:val="24"/>
                <w:szCs w:val="24"/>
              </w:rPr>
            </w:pPr>
            <w:r w:rsidRPr="007046A5">
              <w:rPr>
                <w:sz w:val="24"/>
                <w:szCs w:val="24"/>
              </w:rPr>
              <w:lastRenderedPageBreak/>
              <w:t>Looking at relevant legislation applicable to 2 and the concerns raised around this case, Wales Safeguarding Procedures (2020) advise how it is everyone’s responsibility to safeguard and protect. Effective safeguarding involves organisations and practitioners playing their role in ensuring they are promoting the well-being of a child to ensure the child is safeguarded.  Social Care Wales, (2017</w:t>
            </w:r>
            <w:r w:rsidR="00272FDC">
              <w:rPr>
                <w:sz w:val="24"/>
                <w:szCs w:val="24"/>
              </w:rPr>
              <w:t>a</w:t>
            </w:r>
            <w:r w:rsidRPr="007046A5">
              <w:rPr>
                <w:sz w:val="24"/>
                <w:szCs w:val="24"/>
              </w:rPr>
              <w:t xml:space="preserve">) inform how there is a duty for relevant associates of a local authority to report children at risk. If an associate has sufficient cause to believe a child is at risk, it must notify the local authority of that fact. </w:t>
            </w:r>
            <w:r w:rsidR="000D775C">
              <w:rPr>
                <w:sz w:val="24"/>
                <w:szCs w:val="24"/>
              </w:rPr>
              <w:t>The</w:t>
            </w:r>
            <w:r w:rsidRPr="007046A5">
              <w:rPr>
                <w:sz w:val="24"/>
                <w:szCs w:val="24"/>
              </w:rPr>
              <w:t xml:space="preserve"> Social Services and Well-being (Wales) Act 2014 (SSWBA) is the legislation applicable in Wales. This Act provides the framework for social services in Wales, which highlights individuals control over care, prevention and early intervention. The Act requires public bodies to safeguard people from harm. Where services are commissioned by public bodies, there are set responsibilities to ensure safeguarding arrangements are in place. The Wales Safeguarding Procedures assist people to recognise their responsibilities to safeguard children and adults in Wales (Welsh Government, 2022). The Children Act 1989 determines the duties of local authorities in England and Wales to safeguard and promote children’s welfare and p</w:t>
            </w:r>
            <w:r w:rsidRPr="007046A5">
              <w:rPr>
                <w:color w:val="000000" w:themeColor="text1"/>
                <w:sz w:val="24"/>
                <w:szCs w:val="24"/>
              </w:rPr>
              <w:t>arts of the CA1989 in Wales was repealed and replaced by SSWBA</w:t>
            </w:r>
            <w:r w:rsidRPr="007046A5">
              <w:rPr>
                <w:sz w:val="24"/>
                <w:szCs w:val="24"/>
              </w:rPr>
              <w:t xml:space="preserve">. It provides the legislation to ensure children’s developmental and welfare needs are met, which includes the need to be protected from harm. Under Section 130, of SSWBA describes a ‘a child at risk” as a child who is experiencing or is at risk of abuse, neglect or other kinds of harm, and also has needs for care and support, this includes whether the local authority is meeting any of the needs or not (Welsh Government, 2019a). If a child has been reported under section 130, the local authority has a duty to consider whether there are grounds for an investigation to be carried out under section 47 of the Children Act 1989. If a local authority has reasonable cause to believe that a child “is suffering, or is likely to suffer, significant harm” the local authority has a duty to make or reason to be made such investigations as it believes necessary to allow it to determine whether any further action should be taken to safeguard or promote the child’s welfare (Welsh Government, 2019a). Wales Safeguarding Procedures, 2020 inform how social services have the responsibility to decide if and what action will be taken following a s47 enquiry. It is advised that any decision made should be multi-agency focused, child centred and to also ensure the needs detailed in the care and support protection plan are met. The decision is made following a multi-agency discussion which involves those who have led or been considerably involved in the </w:t>
            </w:r>
            <w:r w:rsidRPr="007046A5">
              <w:rPr>
                <w:sz w:val="24"/>
                <w:szCs w:val="24"/>
              </w:rPr>
              <w:lastRenderedPageBreak/>
              <w:t xml:space="preserve">investigations. It can also include individuals who have an important connection in the child’s life. It is important to include the views of the child/children, and also the parents, but the overall decision is decided by mangers/practitioners. </w:t>
            </w:r>
          </w:p>
          <w:p w14:paraId="6E7F49B4" w14:textId="77777777" w:rsidR="007046A5" w:rsidRPr="007046A5" w:rsidRDefault="007046A5" w:rsidP="007046A5">
            <w:pPr>
              <w:spacing w:line="360" w:lineRule="auto"/>
              <w:jc w:val="both"/>
              <w:rPr>
                <w:sz w:val="24"/>
                <w:szCs w:val="24"/>
              </w:rPr>
            </w:pPr>
          </w:p>
          <w:p w14:paraId="243B662B" w14:textId="79F50E08" w:rsidR="007046A5" w:rsidRPr="007046A5" w:rsidRDefault="007046A5" w:rsidP="007046A5">
            <w:pPr>
              <w:spacing w:line="360" w:lineRule="auto"/>
              <w:jc w:val="both"/>
              <w:rPr>
                <w:sz w:val="24"/>
                <w:szCs w:val="24"/>
              </w:rPr>
            </w:pPr>
            <w:r w:rsidRPr="007046A5">
              <w:rPr>
                <w:sz w:val="24"/>
                <w:szCs w:val="24"/>
              </w:rPr>
              <w:t>Another piece of legislation relevant to children and adults in the UK is the Human Rights Act 1998</w:t>
            </w:r>
            <w:r w:rsidR="000D775C">
              <w:rPr>
                <w:sz w:val="24"/>
                <w:szCs w:val="24"/>
              </w:rPr>
              <w:t xml:space="preserve"> (HRA)</w:t>
            </w:r>
            <w:r w:rsidRPr="007046A5">
              <w:rPr>
                <w:sz w:val="24"/>
                <w:szCs w:val="24"/>
              </w:rPr>
              <w:t>, which came into force in the UK in October 2000. The Human Rights Act 1998 lays out the fundamental rights and freedoms that all in the UK are entitled to, regardless if you are a British citizen, an asylum seeker or foreigner (Citizens Advice, 2025).  People’s human rights are protected by the Human Rights Act 1998, and public authorities like the NHS or local authorities have a duty to follow the Act, this falls under Section 6 of the HRA.  Another legislation relevant to safeguarding children is the United Nations Convention on the Rights of the Child (UNCRC), which is an international document that establishes all of the rights children have. The document is split into 54 parts called articles, where each article explains something different about children’s rights (BBC, 2025). As children are entitled to all human rights, they also have some special rights of their own, the reasons for this are that when a child is born, they require adults to take care of them until they are older enough and have learn</w:t>
            </w:r>
            <w:r w:rsidR="000D775C">
              <w:rPr>
                <w:sz w:val="24"/>
                <w:szCs w:val="24"/>
              </w:rPr>
              <w:t>t</w:t>
            </w:r>
            <w:r w:rsidRPr="007046A5">
              <w:rPr>
                <w:sz w:val="24"/>
                <w:szCs w:val="24"/>
              </w:rPr>
              <w:t xml:space="preserve"> to be independent and have the skills to take care of themselves. Due to this, children require additional rights to ensure they are supported and cared for appropriately. With changes happening in the world and problems that arise, this can affect children and have greater impact on them, this is why children require additional rights to ensure people making decisions contemplate the differences the decision will make to children’s lives (BBC, 2025).</w:t>
            </w:r>
          </w:p>
          <w:p w14:paraId="15CB4921" w14:textId="77777777" w:rsidR="007046A5" w:rsidRPr="007046A5" w:rsidRDefault="007046A5" w:rsidP="007046A5">
            <w:pPr>
              <w:spacing w:line="360" w:lineRule="auto"/>
              <w:jc w:val="both"/>
              <w:rPr>
                <w:sz w:val="24"/>
                <w:szCs w:val="24"/>
              </w:rPr>
            </w:pPr>
          </w:p>
          <w:p w14:paraId="32C131BC" w14:textId="6AB4509E" w:rsidR="007046A5" w:rsidRPr="007046A5" w:rsidRDefault="007046A5" w:rsidP="007046A5">
            <w:pPr>
              <w:spacing w:line="360" w:lineRule="auto"/>
              <w:jc w:val="both"/>
              <w:rPr>
                <w:sz w:val="24"/>
                <w:szCs w:val="24"/>
              </w:rPr>
            </w:pPr>
            <w:r w:rsidRPr="007046A5">
              <w:rPr>
                <w:sz w:val="24"/>
                <w:szCs w:val="24"/>
              </w:rPr>
              <w:t>When the referral was received, I discussed through the concerns with my manager, and the outcomes of the previous care and support plan review to look at current health professional’s involvement, and the current support in place. This was to enable us to put a plan together to support 2. I telephoned parent 3 to advise that we had received a child protection referral for 2 with the concerns around weight. Parent 3 was upset by the referral as health had not discussed the referral</w:t>
            </w:r>
            <w:r w:rsidR="000D775C">
              <w:rPr>
                <w:sz w:val="24"/>
                <w:szCs w:val="24"/>
              </w:rPr>
              <w:t xml:space="preserve"> with them</w:t>
            </w:r>
            <w:r w:rsidRPr="007046A5">
              <w:rPr>
                <w:sz w:val="24"/>
                <w:szCs w:val="24"/>
              </w:rPr>
              <w:t xml:space="preserve">, so it did come as a shock, and Parent 3 was obviously quite distressed. I ensured Parent 3 how the referral would have been made in the best interests of 2, and to ensure 2 and family have the support that is required, to support them around the weight concerns. </w:t>
            </w:r>
          </w:p>
          <w:p w14:paraId="389DBC5C" w14:textId="77777777" w:rsidR="007046A5" w:rsidRPr="007046A5" w:rsidRDefault="007046A5" w:rsidP="007046A5">
            <w:pPr>
              <w:spacing w:line="360" w:lineRule="auto"/>
              <w:jc w:val="both"/>
              <w:rPr>
                <w:sz w:val="24"/>
                <w:szCs w:val="24"/>
              </w:rPr>
            </w:pPr>
          </w:p>
          <w:p w14:paraId="164FDEB4" w14:textId="7C63AD16" w:rsidR="007046A5" w:rsidRPr="007046A5" w:rsidRDefault="007046A5" w:rsidP="007046A5">
            <w:pPr>
              <w:spacing w:line="360" w:lineRule="auto"/>
              <w:jc w:val="both"/>
              <w:rPr>
                <w:sz w:val="24"/>
                <w:szCs w:val="24"/>
              </w:rPr>
            </w:pPr>
            <w:r w:rsidRPr="007046A5">
              <w:rPr>
                <w:sz w:val="24"/>
                <w:szCs w:val="24"/>
              </w:rPr>
              <w:t xml:space="preserve">The key factor of the referral was to ensure the weight management team were on board to support 2 and the whole family. There was a professional’s meeting scheduled which health had organised, so information could be gathered and </w:t>
            </w:r>
            <w:proofErr w:type="spellStart"/>
            <w:r w:rsidRPr="007046A5">
              <w:rPr>
                <w:sz w:val="24"/>
                <w:szCs w:val="24"/>
              </w:rPr>
              <w:t>fedback</w:t>
            </w:r>
            <w:proofErr w:type="spellEnd"/>
            <w:r w:rsidRPr="007046A5">
              <w:rPr>
                <w:sz w:val="24"/>
                <w:szCs w:val="24"/>
              </w:rPr>
              <w:t xml:space="preserve"> during that. Wales Safeguarding Procedures, 2020 advise how intra and multi-disciplinary meetings aid better working to understand the individual and their circumstances, along with their needs for care, safety and support. 2’s paediatric consultant had written to the weight management team regarding a re-referral following the care and support plan review, but with no response back. I made contact with the weight management team, who confirmed they had not received any letters. I explained the concerns around 2’s weight and the continuing weight gain, despite being more active than previously. Following discussions with the weight management consultant involved previously, an invitation was sent out to 2 inviting him to re-join the 12-month programme.  I communicated the information back to 2’s mother and explained how they would need to follow the programme again, and it was mentioned around having the input from the behaviour psychologist, which did not happen during access to the last programme, so this could be an added support to ensure a positive outcome. A professionals meeting was held and chaired by health’s safeguarding to discuss the concerns, and a plan going forward. OSCB (2024) advise how when professionals are working with an individual or family, they may need an opportunity to discuss the case without family being present. Professionals came together to share information and decide on the direction of the case. It is important for these meetings to take place to discuss complex issues, resolve uncertainties, disagreements, and agreeing action plans whilst recognising key roles.</w:t>
            </w:r>
          </w:p>
          <w:p w14:paraId="111F6B99" w14:textId="77777777" w:rsidR="007046A5" w:rsidRPr="007046A5" w:rsidRDefault="007046A5" w:rsidP="007046A5">
            <w:pPr>
              <w:spacing w:line="360" w:lineRule="auto"/>
              <w:jc w:val="both"/>
              <w:rPr>
                <w:sz w:val="24"/>
                <w:szCs w:val="24"/>
              </w:rPr>
            </w:pPr>
          </w:p>
          <w:p w14:paraId="7D6F75A4" w14:textId="77777777" w:rsidR="007046A5" w:rsidRPr="007046A5" w:rsidRDefault="007046A5" w:rsidP="007046A5">
            <w:pPr>
              <w:spacing w:line="360" w:lineRule="auto"/>
              <w:jc w:val="both"/>
              <w:rPr>
                <w:sz w:val="24"/>
                <w:szCs w:val="24"/>
              </w:rPr>
            </w:pPr>
            <w:r w:rsidRPr="007046A5">
              <w:rPr>
                <w:sz w:val="24"/>
                <w:szCs w:val="24"/>
              </w:rPr>
              <w:t xml:space="preserve">I informed professionals around the input from the weight management team, as 2 would be again accessing the programme.  I also raised around Mum’s frustrations around not being made aware of the referral from health, and how she felt that it was unfair not to discuss this prior to a referral being made.  It was fed back that there was reasoning behind this due to previous negative social media posts. As 2 is a child under the Wales Safeguarding Procedures (2020), when looking at obtaining consent from a parent to make a referral, the interests of the child at risk of harm must be the overriding consideration when making decisions around gaining consent. The difference between adults and children when </w:t>
            </w:r>
            <w:r w:rsidRPr="007046A5">
              <w:rPr>
                <w:sz w:val="24"/>
                <w:szCs w:val="24"/>
              </w:rPr>
              <w:lastRenderedPageBreak/>
              <w:t xml:space="preserve">safeguarding and consent come into things, under the Social Services and Well-being (Wales) Act 2014, it is advised how professionals should always record and seek to acknowledge the adult’s personal views, and independence, but in certain circumstances these needs may be superseded. This could include a high risk to the persons health and safety, a crime is alleged or may have happened against the adult, relevant partners’ duty to report, or it could be the adult at risk lacks capacity to make specific decisions (Welsh Government, 2018). </w:t>
            </w:r>
          </w:p>
          <w:p w14:paraId="38010319" w14:textId="77777777" w:rsidR="007046A5" w:rsidRPr="007046A5" w:rsidRDefault="007046A5" w:rsidP="007046A5">
            <w:pPr>
              <w:spacing w:line="360" w:lineRule="auto"/>
              <w:jc w:val="both"/>
              <w:rPr>
                <w:sz w:val="24"/>
                <w:szCs w:val="24"/>
              </w:rPr>
            </w:pPr>
          </w:p>
          <w:p w14:paraId="19E0ACED" w14:textId="77777777" w:rsidR="007046A5" w:rsidRPr="007046A5" w:rsidRDefault="007046A5" w:rsidP="007046A5">
            <w:pPr>
              <w:spacing w:line="360" w:lineRule="auto"/>
              <w:jc w:val="both"/>
              <w:rPr>
                <w:sz w:val="24"/>
                <w:szCs w:val="24"/>
              </w:rPr>
            </w:pPr>
            <w:r w:rsidRPr="007046A5">
              <w:rPr>
                <w:sz w:val="24"/>
                <w:szCs w:val="24"/>
              </w:rPr>
              <w:t xml:space="preserve">Physiotherapy and Occupational therapy continued to provide support to 2 within school and continued to monitor. 2 has a Personal Assistant (PA) through a Direct Payment, which allocates him 4 hours per week to access the community with support, and for him to keep active whilst developing his independence away from home. Individual’s 2 PA has a great relationship with 2, and he is always encouraging him to be active and healthy, which will in turn support him going forward to keep physically active and healthy. The, key actions were to ensure 2 accessed and completed the 12-month weight management programme, along with myself holding another </w:t>
            </w:r>
            <w:r w:rsidRPr="007046A5">
              <w:rPr>
                <w:color w:val="000000" w:themeColor="text1"/>
                <w:sz w:val="24"/>
                <w:szCs w:val="24"/>
              </w:rPr>
              <w:t>SSWBA</w:t>
            </w:r>
            <w:r w:rsidRPr="007046A5">
              <w:rPr>
                <w:sz w:val="24"/>
                <w:szCs w:val="24"/>
              </w:rPr>
              <w:t xml:space="preserve"> care and support plan review, so Mum was included in the discussions, and for us all to work together as professionals and non-professionals to ensure a positive outcome for 2. A Care and Support plan review was held, and discussions were had which included parent 3’s views. Parent 3 advised around increased behaviours at home from 2, whereby he appeared to be struggling with emotions, and can at times become angry towards parent 3 and his older sister. Parent 3 had an advocate present with her to ensure her views and 2’s was heard throughout the review.  Under Part 10 of the Code of Practice for Advocacy explains how advocacy should empower children and ensure their rights are respected, their views and wishes are completely considered within the decision-making process around what is happening in their lives (Welsh Government, 2019b).  At this point 2 had declined a bladder scan which was required with the incontinence team, and the advocate had asked around what reasonable adjustments had been made for 2 during the appointment, or what could be done if he were to attend another appointment for a bladder scan. A home visit was offered, alternative appointment times when the clinic was quieter with less people around, and input from a play therapist was also discussed during the review.</w:t>
            </w:r>
          </w:p>
          <w:p w14:paraId="5B56C794" w14:textId="77777777" w:rsidR="007046A5" w:rsidRPr="007046A5" w:rsidRDefault="007046A5" w:rsidP="007046A5">
            <w:pPr>
              <w:spacing w:line="360" w:lineRule="auto"/>
              <w:jc w:val="both"/>
              <w:rPr>
                <w:sz w:val="24"/>
                <w:szCs w:val="24"/>
              </w:rPr>
            </w:pPr>
          </w:p>
          <w:p w14:paraId="2B335D8C" w14:textId="0C402699" w:rsidR="007046A5" w:rsidRPr="007046A5" w:rsidRDefault="007046A5" w:rsidP="007046A5">
            <w:pPr>
              <w:spacing w:line="360" w:lineRule="auto"/>
              <w:jc w:val="both"/>
              <w:rPr>
                <w:color w:val="000000" w:themeColor="text1"/>
                <w:sz w:val="24"/>
                <w:szCs w:val="24"/>
              </w:rPr>
            </w:pPr>
            <w:r w:rsidRPr="007046A5">
              <w:rPr>
                <w:sz w:val="24"/>
                <w:szCs w:val="24"/>
              </w:rPr>
              <w:lastRenderedPageBreak/>
              <w:t>Following the review meeting dates were confirmed for 2 to access the weight management programme, but this was declined by parent 3 due to 2 not wanting to engage. 2 then refused to attend other health appointments and following this 2 refused to attend school. I visited 2 at home to find out why he has chosen not to attend his appointments and school, as there have never been any concerns raised in school, and he has always enjoyed his time when at school. Although school did raise how 2 could at times display some behaviours which may be in line with Attention Deficit Hyperactivity Disorder (ADHD) traits following discussions with parent 3. Parent 3 advised how she can see this at home with 2 often not sitting still, lack of concentration, poor listening skills and impulsive behaviour. These types of behaviour do reflect signs of ADHD and Kids (2023) inform how ADHD is a complex condition and a type of neurodivergence. This means that people who recognise as neurodivergent have brains that process or develop information differently from others. After discussions between school and parent 3, a referral for an assessment was put into the neurodevelopment team. School informed how parent 3 advised how 2 struggled with the work in school, and how it was too noisy at times. 2 transitioned from the infants to the juniors in the September, so there was a change of environment, but school advised how they did not see a change in 2 and he was always happy attending school, and happy within his friendship groups. After the Autumn half-term there was still no attendance at school, and parent 3 confirmed 2’s behaviour has declined since 2 has not been in school. Furthermore 2 would not engage in conversations around attending school or health appointments, which was causing added stress to the family. School had worked with parent 3 to look at different approaches to encourage 2 back into school, and different activities were offered along with different spaces within the junior building for 2 to access, but 2 still declined to attend school, eve</w:t>
            </w:r>
            <w:r w:rsidR="000D775C">
              <w:rPr>
                <w:sz w:val="24"/>
                <w:szCs w:val="24"/>
              </w:rPr>
              <w:t>n</w:t>
            </w:r>
            <w:r w:rsidRPr="007046A5">
              <w:rPr>
                <w:sz w:val="24"/>
                <w:szCs w:val="24"/>
              </w:rPr>
              <w:t xml:space="preserve"> on a phase returned.  Advice was sought from the education department, and 2 is currently now in the very early stages of being supported by an education psychologist who is part of the local authority. 2 is also on the waiting list for Child Health Psychology input, due to 2 not wanting to engage in health appointments. The concerns around this have been stressed to parent 3, and how it is vital that 2 attends health appointments. A further professionals meeting has been organised to discuss the current concerns and to work out a plan going forward to support 2 to attend school and health appointments. </w:t>
            </w:r>
            <w:r w:rsidRPr="007046A5">
              <w:rPr>
                <w:color w:val="000000" w:themeColor="text1"/>
                <w:sz w:val="24"/>
                <w:szCs w:val="24"/>
              </w:rPr>
              <w:t xml:space="preserve">Wales Safeguarding Procedures (2020) advise how health appointments are necessary for a child’s health and wellbeing, and if parents or carers </w:t>
            </w:r>
            <w:r w:rsidRPr="007046A5">
              <w:rPr>
                <w:color w:val="000000" w:themeColor="text1"/>
                <w:sz w:val="24"/>
                <w:szCs w:val="24"/>
              </w:rPr>
              <w:lastRenderedPageBreak/>
              <w:t>continually fail to attend then this is a form of medical neglect. With 2 also continuing not to attend school, educational neglect could also be applicable as Wales Safeguarding Procedures (2020) inform how if parents/carer are not offering a setting to allow the child to reach their cognitive ability</w:t>
            </w:r>
            <w:r w:rsidR="000D775C">
              <w:rPr>
                <w:color w:val="000000" w:themeColor="text1"/>
                <w:sz w:val="24"/>
                <w:szCs w:val="24"/>
              </w:rPr>
              <w:t xml:space="preserve"> this falls under educational neglect</w:t>
            </w:r>
            <w:r w:rsidRPr="007046A5">
              <w:rPr>
                <w:color w:val="000000" w:themeColor="text1"/>
                <w:sz w:val="24"/>
                <w:szCs w:val="24"/>
              </w:rPr>
              <w:t>.</w:t>
            </w:r>
          </w:p>
          <w:p w14:paraId="6C988319" w14:textId="77777777" w:rsidR="007046A5" w:rsidRPr="007046A5" w:rsidRDefault="007046A5" w:rsidP="007046A5">
            <w:pPr>
              <w:spacing w:line="360" w:lineRule="auto"/>
              <w:jc w:val="both"/>
              <w:rPr>
                <w:sz w:val="24"/>
                <w:szCs w:val="24"/>
              </w:rPr>
            </w:pPr>
          </w:p>
          <w:p w14:paraId="31EA3B9C" w14:textId="77777777" w:rsidR="007046A5" w:rsidRPr="007046A5" w:rsidRDefault="007046A5" w:rsidP="007046A5">
            <w:pPr>
              <w:spacing w:line="360" w:lineRule="auto"/>
              <w:jc w:val="both"/>
              <w:rPr>
                <w:sz w:val="24"/>
                <w:szCs w:val="24"/>
              </w:rPr>
            </w:pPr>
            <w:r w:rsidRPr="007046A5">
              <w:rPr>
                <w:sz w:val="24"/>
                <w:szCs w:val="24"/>
              </w:rPr>
              <w:t xml:space="preserve">I incorporated Systems Theory when supporting 2 and his family to look at the different systems within 2’s life, this enabled me to look into any change in circumstances which could cause a change in 2’s presentation and engagement. Thompson and Thompson (2008) advise how systems theory’s main tenant is that social world is shaped by a set of interconnected systems and subsystems. In order to support change in one part of the system it may be essential to change another part of the system, and so ‘systematic’ social work is concerned with prompting the workings of systems. As systems theory recognises that an individual’s support network can be situated under strain due to a change of circumstances, the change could be a new event which can result in the system not working effectively (Maclean and Harrison, 2015). This corresponds with 2’s recent change in behaviour with the refusal to attend health appointments and school. Maclean and Harrison (2015) advise by mapping the individual’s whole system, the professional would be able to recognise the system strain. To allow the system to function effectively it may be necessary to introduce an individual or agency to ensure the stability of the system again. A family group meeting was offered to parent 3 to see if there is any support within 2’s family that could support with respite, so parents were able to have a break from their caring role, and also to see if 2 felt comfortable to open up around his wishes and feelings with another family member.  </w:t>
            </w:r>
            <w:r w:rsidRPr="007046A5">
              <w:rPr>
                <w:color w:val="000000" w:themeColor="text1"/>
                <w:sz w:val="24"/>
                <w:szCs w:val="24"/>
              </w:rPr>
              <w:t>XXXXX</w:t>
            </w:r>
            <w:r w:rsidRPr="007046A5">
              <w:rPr>
                <w:color w:val="auto"/>
                <w:sz w:val="24"/>
                <w:szCs w:val="24"/>
              </w:rPr>
              <w:t xml:space="preserve"> </w:t>
            </w:r>
            <w:r w:rsidRPr="007046A5">
              <w:rPr>
                <w:sz w:val="24"/>
                <w:szCs w:val="24"/>
              </w:rPr>
              <w:t xml:space="preserve">(2017) inform how a family group meeting is a way to bring together wider family and close friends to discuss a problem or concern which includes children or young people within the family. The main aim of these types of meetings is to set a plan to support the child or young person. </w:t>
            </w:r>
          </w:p>
          <w:p w14:paraId="01FDAE4F" w14:textId="77777777" w:rsidR="007046A5" w:rsidRPr="007046A5" w:rsidRDefault="007046A5" w:rsidP="007046A5">
            <w:pPr>
              <w:spacing w:line="360" w:lineRule="auto"/>
              <w:jc w:val="both"/>
              <w:rPr>
                <w:sz w:val="24"/>
                <w:szCs w:val="24"/>
              </w:rPr>
            </w:pPr>
          </w:p>
          <w:p w14:paraId="7C14CFFB" w14:textId="77777777" w:rsidR="007046A5" w:rsidRPr="007046A5" w:rsidRDefault="007046A5" w:rsidP="007046A5">
            <w:pPr>
              <w:spacing w:line="360" w:lineRule="auto"/>
              <w:jc w:val="both"/>
              <w:rPr>
                <w:sz w:val="24"/>
                <w:szCs w:val="24"/>
              </w:rPr>
            </w:pPr>
            <w:r w:rsidRPr="007046A5">
              <w:rPr>
                <w:sz w:val="24"/>
                <w:szCs w:val="24"/>
              </w:rPr>
              <w:t xml:space="preserve">Due to 2’s change in behaviour I carried out some research into some tools that are accessible within social work to support 2 to talk about his feelings, and I came across the My Feelings Chart. This would work well with 2 as the chart enables children to specify how happy they are in areas of home, school, friends, family, and hobbies (Social Workers Toolbox, 2016). If </w:t>
            </w:r>
            <w:r w:rsidRPr="007046A5">
              <w:rPr>
                <w:sz w:val="24"/>
                <w:szCs w:val="24"/>
              </w:rPr>
              <w:lastRenderedPageBreak/>
              <w:t>completed in an environment that 2 feels comfortable in and if the chart was completed in a fun way to keep 2 engaged this could help 2 work out where the issues are by taking a more holistic approach.  Looking at the overall system for 2 and working together with 2, which will help in addressing issues in the short and long term. Looking at Bronfenbrenner’s ecological model, as children’s development is at the centre of multi-layered systems, which interrelate with each other, which motivate the child, and which are in turn motivated by the child (Maclean &amp; Harrison, 2015).  Bronfenbrenner’s work gained understanding and knowledge from the following, anthropology, sociology and psychology which puts the child at the centre of the interrelating and multifaceted systems.  The value of the interrelating between those systems, may include looking at the quality between 2 and his peer group, education settings, and between family and their community, which is seen as affecting 2’s own (ecological) development (Maclean &amp; Harrison, 2015).</w:t>
            </w:r>
          </w:p>
          <w:p w14:paraId="457BD4BC" w14:textId="77777777" w:rsidR="007046A5" w:rsidRPr="007046A5" w:rsidRDefault="007046A5" w:rsidP="007046A5">
            <w:pPr>
              <w:spacing w:line="360" w:lineRule="auto"/>
              <w:jc w:val="both"/>
              <w:rPr>
                <w:sz w:val="24"/>
                <w:szCs w:val="24"/>
              </w:rPr>
            </w:pPr>
          </w:p>
          <w:p w14:paraId="3A9D0724" w14:textId="77777777" w:rsidR="007046A5" w:rsidRPr="007046A5" w:rsidRDefault="007046A5" w:rsidP="007046A5">
            <w:pPr>
              <w:spacing w:line="360" w:lineRule="auto"/>
              <w:jc w:val="both"/>
              <w:rPr>
                <w:sz w:val="24"/>
                <w:szCs w:val="24"/>
              </w:rPr>
            </w:pPr>
            <w:r w:rsidRPr="007046A5">
              <w:rPr>
                <w:sz w:val="24"/>
                <w:szCs w:val="24"/>
              </w:rPr>
              <w:t>Another tool which I have looked at using in the future with 2 is the Anger Management Skill Cards, which consists of twelve cards with ideas and pictures for beneficial anger management techniques, which could teach 2 how to control his anger whilst having fun (Therapist Aid, 2021). As 2 enjoys computer games and online interaction, there is another educational anger activity which could be carried out on a tablet or phone, where 2 will complete activities and games related to anger which includes topics such as coping skills, triggers and warning signs (Therapist Aid, 2021). This could be beneficial for 2 in the future by learning how to deal with his anger outbursts which will help his behaviour going forward.</w:t>
            </w:r>
          </w:p>
          <w:p w14:paraId="3527B790" w14:textId="77777777" w:rsidR="007046A5" w:rsidRPr="007046A5" w:rsidRDefault="007046A5" w:rsidP="007046A5">
            <w:pPr>
              <w:spacing w:line="360" w:lineRule="auto"/>
              <w:jc w:val="both"/>
              <w:rPr>
                <w:sz w:val="24"/>
                <w:szCs w:val="24"/>
              </w:rPr>
            </w:pPr>
          </w:p>
          <w:p w14:paraId="4FB9CDBA" w14:textId="77777777" w:rsidR="007046A5" w:rsidRPr="007046A5" w:rsidRDefault="007046A5" w:rsidP="007046A5">
            <w:pPr>
              <w:spacing w:line="360" w:lineRule="auto"/>
              <w:jc w:val="both"/>
              <w:rPr>
                <w:sz w:val="24"/>
                <w:szCs w:val="24"/>
              </w:rPr>
            </w:pPr>
            <w:r w:rsidRPr="007046A5">
              <w:rPr>
                <w:sz w:val="24"/>
                <w:szCs w:val="24"/>
              </w:rPr>
              <w:t xml:space="preserve">Reflection on action (Schon, 1987), I feel the referral was not communicated with family appropriately, prior to it being made, which caused anxieties to parents, which in turn did affect relationships between parents and professionals. Although there were reasons behind why it was not communicated to parents, I did feel uncomfortable, and I could sympathise with Mum around her distress. This did cause a barrier for some time, but now the relevant professionals are on board, and Mum is clear of the actions in place, relationships have been slowly built back up again.  Wales Safeguarding Procedures (2020) advise how we should be working together with professionals, taking a multi-disciplinary approach in order to improve our understanding of the individual and their circumstances, whilst considering their needs for </w:t>
            </w:r>
            <w:r w:rsidRPr="007046A5">
              <w:rPr>
                <w:sz w:val="24"/>
                <w:szCs w:val="24"/>
              </w:rPr>
              <w:lastRenderedPageBreak/>
              <w:t>care, support and their well-being. Co-productive working relationships with individual 2 and their family, are important to determine what matters to them, whilst ensuring they feel valued and informed. After reflecting back on the case, I feel the Social Model of Disability may also be an appropriate theory to incorporate as the Social Model was formed by disabled people from their own lived experiences, looking at a person’s impairment, neurodivergence or health condition as a characteristic of human variances to be appreciated on its own conditions (Disability Wales, 2024). Another point to include in the reflection summary is around the waiting list times for services and how this is a barrier to children and young people awaiting assessments and services.</w:t>
            </w:r>
          </w:p>
          <w:p w14:paraId="26163E2D" w14:textId="77777777" w:rsidR="007046A5" w:rsidRPr="007046A5" w:rsidRDefault="007046A5" w:rsidP="007046A5">
            <w:pPr>
              <w:spacing w:line="360" w:lineRule="auto"/>
              <w:jc w:val="both"/>
              <w:rPr>
                <w:sz w:val="24"/>
                <w:szCs w:val="24"/>
              </w:rPr>
            </w:pPr>
          </w:p>
          <w:p w14:paraId="3E5C0383" w14:textId="77777777" w:rsidR="007046A5" w:rsidRPr="007046A5" w:rsidRDefault="007046A5" w:rsidP="007046A5">
            <w:pPr>
              <w:spacing w:line="360" w:lineRule="auto"/>
              <w:jc w:val="both"/>
              <w:rPr>
                <w:sz w:val="24"/>
                <w:szCs w:val="24"/>
              </w:rPr>
            </w:pPr>
            <w:r w:rsidRPr="007046A5">
              <w:rPr>
                <w:sz w:val="24"/>
                <w:szCs w:val="24"/>
              </w:rPr>
              <w:t>In future practice, this piece of work has allowed me to reflect on family’s feelings around safeguarding referrals, and how the whole process needs to be communicated clearly to all involved, not just professionals. Forrester </w:t>
            </w:r>
            <w:r w:rsidRPr="007046A5">
              <w:rPr>
                <w:i/>
                <w:iCs/>
                <w:sz w:val="24"/>
                <w:szCs w:val="24"/>
                <w:bdr w:val="single" w:sz="2" w:space="0" w:color="E5E7EB" w:frame="1"/>
              </w:rPr>
              <w:t>et al</w:t>
            </w:r>
            <w:r w:rsidRPr="007046A5">
              <w:rPr>
                <w:sz w:val="24"/>
                <w:szCs w:val="24"/>
              </w:rPr>
              <w:t xml:space="preserve">., (2008b); Lishman, (1988); van </w:t>
            </w:r>
            <w:proofErr w:type="spellStart"/>
            <w:r w:rsidRPr="007046A5">
              <w:rPr>
                <w:sz w:val="24"/>
                <w:szCs w:val="24"/>
              </w:rPr>
              <w:t>Nijnatten</w:t>
            </w:r>
            <w:proofErr w:type="spellEnd"/>
            <w:r w:rsidRPr="007046A5">
              <w:rPr>
                <w:sz w:val="24"/>
                <w:szCs w:val="24"/>
              </w:rPr>
              <w:t> </w:t>
            </w:r>
            <w:r w:rsidRPr="007046A5">
              <w:rPr>
                <w:i/>
                <w:iCs/>
                <w:sz w:val="24"/>
                <w:szCs w:val="24"/>
                <w:bdr w:val="single" w:sz="2" w:space="0" w:color="E5E7EB" w:frame="1"/>
              </w:rPr>
              <w:t>et al</w:t>
            </w:r>
            <w:r w:rsidRPr="007046A5">
              <w:rPr>
                <w:sz w:val="24"/>
                <w:szCs w:val="24"/>
              </w:rPr>
              <w:t>., (2001) informs how research indicates that the way social care workers talk and interact with family’s effects on their relationships with them. Displaying empathy and communicating positively with families is related to improved outcomes. Another reflection I considered was how it was key to ensure communication is transparent, and person-centred practice is embedded within the MDT, as this will then facilitate improved involvement of individuals and families within the assessment, care planning and decision-making process.</w:t>
            </w:r>
          </w:p>
          <w:p w14:paraId="6AFF9726" w14:textId="77777777" w:rsidR="007046A5" w:rsidRPr="007046A5" w:rsidRDefault="007046A5" w:rsidP="007046A5">
            <w:pPr>
              <w:spacing w:line="360" w:lineRule="auto"/>
              <w:jc w:val="both"/>
              <w:rPr>
                <w:sz w:val="24"/>
                <w:szCs w:val="24"/>
              </w:rPr>
            </w:pPr>
          </w:p>
          <w:p w14:paraId="6A566F7C" w14:textId="03DD8E26" w:rsidR="007046A5" w:rsidRPr="007046A5" w:rsidRDefault="007046A5" w:rsidP="007046A5">
            <w:pPr>
              <w:spacing w:line="360" w:lineRule="auto"/>
              <w:jc w:val="both"/>
              <w:rPr>
                <w:sz w:val="24"/>
                <w:szCs w:val="24"/>
              </w:rPr>
            </w:pPr>
            <w:r w:rsidRPr="007046A5">
              <w:rPr>
                <w:sz w:val="24"/>
                <w:szCs w:val="24"/>
              </w:rPr>
              <w:t xml:space="preserve">Word count – </w:t>
            </w:r>
            <w:r w:rsidR="000D775C">
              <w:rPr>
                <w:sz w:val="24"/>
                <w:szCs w:val="24"/>
              </w:rPr>
              <w:t>3,89</w:t>
            </w:r>
            <w:r w:rsidR="002F454F">
              <w:rPr>
                <w:sz w:val="24"/>
                <w:szCs w:val="24"/>
              </w:rPr>
              <w:t>8</w:t>
            </w:r>
          </w:p>
          <w:p w14:paraId="10FFCA6E" w14:textId="77777777" w:rsidR="007046A5" w:rsidRPr="007046A5" w:rsidRDefault="007046A5" w:rsidP="007046A5">
            <w:pPr>
              <w:rPr>
                <w:sz w:val="24"/>
                <w:szCs w:val="24"/>
              </w:rPr>
            </w:pPr>
          </w:p>
          <w:p w14:paraId="20370495" w14:textId="79B79501" w:rsidR="00D3203C" w:rsidRPr="007046A5" w:rsidRDefault="00D3203C" w:rsidP="00FF7EBB">
            <w:pPr>
              <w:jc w:val="both"/>
              <w:rPr>
                <w:i/>
                <w:sz w:val="24"/>
                <w:szCs w:val="24"/>
              </w:rPr>
            </w:pPr>
          </w:p>
          <w:p w14:paraId="12DC2F24" w14:textId="24094196" w:rsidR="00D3203C" w:rsidRPr="007046A5" w:rsidRDefault="00D3203C" w:rsidP="00FF7EBB">
            <w:pPr>
              <w:jc w:val="both"/>
              <w:rPr>
                <w:i/>
                <w:sz w:val="24"/>
                <w:szCs w:val="24"/>
              </w:rPr>
            </w:pPr>
          </w:p>
          <w:p w14:paraId="1225D23D" w14:textId="4FFF3138" w:rsidR="00D3203C" w:rsidRPr="007046A5" w:rsidRDefault="00D3203C" w:rsidP="00FF7EBB">
            <w:pPr>
              <w:jc w:val="both"/>
              <w:rPr>
                <w:i/>
                <w:sz w:val="24"/>
                <w:szCs w:val="24"/>
              </w:rPr>
            </w:pPr>
          </w:p>
          <w:p w14:paraId="0C1020FE" w14:textId="61CE561C" w:rsidR="00D3203C" w:rsidRPr="007046A5" w:rsidRDefault="00D3203C" w:rsidP="00FF7EBB">
            <w:pPr>
              <w:jc w:val="both"/>
              <w:rPr>
                <w:i/>
                <w:sz w:val="24"/>
                <w:szCs w:val="24"/>
              </w:rPr>
            </w:pPr>
          </w:p>
          <w:p w14:paraId="43CA65F6" w14:textId="46B65686" w:rsidR="00D3203C" w:rsidRPr="007046A5" w:rsidRDefault="00D3203C" w:rsidP="00FF7EBB">
            <w:pPr>
              <w:jc w:val="both"/>
              <w:rPr>
                <w:i/>
                <w:sz w:val="24"/>
                <w:szCs w:val="24"/>
              </w:rPr>
            </w:pPr>
          </w:p>
          <w:p w14:paraId="5C222972" w14:textId="259CE14B" w:rsidR="00D3203C" w:rsidRPr="007046A5" w:rsidRDefault="00D3203C" w:rsidP="00FF7EBB">
            <w:pPr>
              <w:jc w:val="both"/>
              <w:rPr>
                <w:i/>
                <w:sz w:val="24"/>
                <w:szCs w:val="24"/>
              </w:rPr>
            </w:pPr>
          </w:p>
          <w:p w14:paraId="0E7BBCC9" w14:textId="77777777" w:rsidR="00D3203C" w:rsidRPr="007046A5" w:rsidRDefault="00D3203C" w:rsidP="00FF7EBB">
            <w:pPr>
              <w:jc w:val="both"/>
              <w:rPr>
                <w:i/>
                <w:sz w:val="24"/>
                <w:szCs w:val="24"/>
              </w:rPr>
            </w:pPr>
          </w:p>
          <w:p w14:paraId="47F21B6A" w14:textId="007FFCCE" w:rsidR="007A628F" w:rsidRPr="007046A5" w:rsidRDefault="007A628F" w:rsidP="00FF7EBB">
            <w:pPr>
              <w:jc w:val="both"/>
              <w:rPr>
                <w:sz w:val="24"/>
                <w:szCs w:val="24"/>
              </w:rPr>
            </w:pPr>
          </w:p>
        </w:tc>
      </w:tr>
    </w:tbl>
    <w:p w14:paraId="1B4186EF" w14:textId="77777777" w:rsidR="00D3442D" w:rsidRPr="007046A5" w:rsidRDefault="00D3442D" w:rsidP="00D3442D">
      <w:pPr>
        <w:jc w:val="both"/>
        <w:rPr>
          <w:sz w:val="24"/>
          <w:szCs w:val="24"/>
        </w:rPr>
      </w:pPr>
    </w:p>
    <w:p w14:paraId="3BE23FA3" w14:textId="77777777" w:rsidR="00DD31C5" w:rsidRPr="007046A5" w:rsidRDefault="00DD31C5" w:rsidP="00064063">
      <w:pPr>
        <w:ind w:firstLine="720"/>
        <w:jc w:val="both"/>
        <w:rPr>
          <w:b/>
          <w:sz w:val="24"/>
          <w:szCs w:val="24"/>
        </w:rPr>
      </w:pPr>
    </w:p>
    <w:p w14:paraId="71B02E9F" w14:textId="77777777" w:rsidR="00DD31C5" w:rsidRPr="007046A5" w:rsidRDefault="00DD31C5" w:rsidP="00064063">
      <w:pPr>
        <w:ind w:firstLine="720"/>
        <w:jc w:val="both"/>
        <w:rPr>
          <w:b/>
          <w:sz w:val="24"/>
          <w:szCs w:val="24"/>
        </w:rPr>
      </w:pPr>
    </w:p>
    <w:p w14:paraId="7F4433FA" w14:textId="247A8309" w:rsidR="00CC135E" w:rsidRPr="007046A5" w:rsidRDefault="00CC135E" w:rsidP="003B29BC">
      <w:pPr>
        <w:rPr>
          <w:color w:val="auto"/>
          <w:sz w:val="24"/>
          <w:szCs w:val="24"/>
        </w:rPr>
      </w:pPr>
    </w:p>
    <w:sectPr w:rsidR="00CC135E" w:rsidRPr="007046A5"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B63D83" w14:textId="77777777" w:rsidR="009912D1" w:rsidRDefault="009912D1">
      <w:r>
        <w:separator/>
      </w:r>
    </w:p>
  </w:endnote>
  <w:endnote w:type="continuationSeparator" w:id="0">
    <w:p w14:paraId="15F2482D" w14:textId="77777777" w:rsidR="009912D1" w:rsidRDefault="009912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84C8BD" w14:textId="77777777" w:rsidR="009912D1" w:rsidRDefault="009912D1">
      <w:r>
        <w:separator/>
      </w:r>
    </w:p>
  </w:footnote>
  <w:footnote w:type="continuationSeparator" w:id="0">
    <w:p w14:paraId="35112E89" w14:textId="77777777" w:rsidR="009912D1" w:rsidRDefault="009912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B45"/>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75C"/>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FDC"/>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54F"/>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476"/>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41A7"/>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46A5"/>
    <w:rsid w:val="007069CD"/>
    <w:rsid w:val="00706BB5"/>
    <w:rsid w:val="00707B0E"/>
    <w:rsid w:val="00710AF1"/>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67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2D1"/>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39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FB1"/>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32654@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522FCE1-1B06-E542-B6A6-6750E4545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3760</Words>
  <Characters>21434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VALENTINE</cp:lastModifiedBy>
  <cp:revision>6</cp:revision>
  <cp:lastPrinted>2020-02-11T19:20:00Z</cp:lastPrinted>
  <dcterms:created xsi:type="dcterms:W3CDTF">2025-02-09T21:14:00Z</dcterms:created>
  <dcterms:modified xsi:type="dcterms:W3CDTF">2025-02-17T20:58:00Z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