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5A313" w14:textId="6BEA4457" w:rsidR="001262DA" w:rsidRPr="00F9598E" w:rsidRDefault="00A13ABA" w:rsidP="00F75AD0">
      <w:pPr>
        <w:spacing w:line="480" w:lineRule="auto"/>
        <w:jc w:val="both"/>
        <w:rPr>
          <w:rFonts w:ascii="Arial" w:hAnsi="Arial" w:cs="Arial"/>
          <w:color w:val="000000" w:themeColor="text1"/>
          <w:sz w:val="24"/>
          <w:szCs w:val="24"/>
          <w:lang w:val="en-US"/>
        </w:rPr>
      </w:pPr>
      <w:r w:rsidRPr="00F9598E">
        <w:rPr>
          <w:rFonts w:ascii="Arial" w:hAnsi="Arial" w:cs="Arial"/>
          <w:color w:val="000000" w:themeColor="text1"/>
          <w:sz w:val="24"/>
          <w:szCs w:val="24"/>
          <w:lang w:val="en-US"/>
        </w:rPr>
        <w:t xml:space="preserve">Property Law </w:t>
      </w:r>
    </w:p>
    <w:p w14:paraId="154CC108" w14:textId="5FA69E61" w:rsidR="002F581F" w:rsidRPr="00F9598E" w:rsidRDefault="002F581F" w:rsidP="00F75AD0">
      <w:pPr>
        <w:spacing w:line="480" w:lineRule="auto"/>
        <w:jc w:val="both"/>
        <w:rPr>
          <w:rFonts w:ascii="Arial" w:hAnsi="Arial" w:cs="Arial"/>
          <w:color w:val="000000" w:themeColor="text1"/>
          <w:sz w:val="24"/>
          <w:szCs w:val="24"/>
          <w:lang w:val="en-US"/>
        </w:rPr>
      </w:pPr>
      <w:r w:rsidRPr="00F9598E">
        <w:rPr>
          <w:rFonts w:ascii="Arial" w:hAnsi="Arial" w:cs="Arial"/>
          <w:color w:val="000000" w:themeColor="text1"/>
          <w:sz w:val="24"/>
          <w:szCs w:val="24"/>
          <w:lang w:val="en-US"/>
        </w:rPr>
        <w:t>Shauna Curry – 1900085</w:t>
      </w:r>
    </w:p>
    <w:p w14:paraId="50E9C913" w14:textId="472488C1" w:rsidR="002F581F" w:rsidRPr="00F9598E" w:rsidRDefault="002F581F" w:rsidP="00F75AD0">
      <w:pPr>
        <w:spacing w:line="480" w:lineRule="auto"/>
        <w:rPr>
          <w:rFonts w:ascii="Arial" w:hAnsi="Arial" w:cs="Arial"/>
          <w:color w:val="000000" w:themeColor="text1"/>
        </w:rPr>
      </w:pPr>
    </w:p>
    <w:p w14:paraId="5F9F3AB0" w14:textId="25DEA51F" w:rsidR="00DA6DDF" w:rsidRPr="00F9598E" w:rsidRDefault="00DA6DDF" w:rsidP="00F75AD0">
      <w:pPr>
        <w:spacing w:line="480" w:lineRule="auto"/>
        <w:jc w:val="center"/>
        <w:rPr>
          <w:rFonts w:ascii="Arial" w:hAnsi="Arial" w:cs="Arial"/>
          <w:b/>
          <w:bCs/>
          <w:color w:val="000000" w:themeColor="text1"/>
          <w:sz w:val="24"/>
          <w:szCs w:val="24"/>
          <w:u w:val="single"/>
        </w:rPr>
      </w:pPr>
      <w:r w:rsidRPr="00F9598E">
        <w:rPr>
          <w:rFonts w:ascii="Arial" w:hAnsi="Arial" w:cs="Arial"/>
          <w:b/>
          <w:bCs/>
          <w:color w:val="000000" w:themeColor="text1"/>
          <w:sz w:val="24"/>
          <w:szCs w:val="24"/>
          <w:u w:val="single"/>
        </w:rPr>
        <w:t>Critically analyse to what extent the characteristics of an easement restrict the types of rights that landowners may grant or reserve.</w:t>
      </w:r>
    </w:p>
    <w:p w14:paraId="46EE0DE4" w14:textId="2A2875B9" w:rsidR="000E18B3" w:rsidRPr="00F9598E" w:rsidRDefault="000E18B3" w:rsidP="005342D7">
      <w:pPr>
        <w:spacing w:line="480" w:lineRule="auto"/>
        <w:jc w:val="both"/>
        <w:rPr>
          <w:rFonts w:ascii="Arial" w:hAnsi="Arial" w:cs="Arial"/>
          <w:color w:val="000000" w:themeColor="text1"/>
          <w:sz w:val="24"/>
          <w:szCs w:val="24"/>
        </w:rPr>
      </w:pPr>
    </w:p>
    <w:p w14:paraId="63F28210" w14:textId="3A32B910" w:rsidR="008C4B64" w:rsidRPr="00F9598E" w:rsidRDefault="00A35E43" w:rsidP="005342D7">
      <w:pPr>
        <w:spacing w:line="480" w:lineRule="auto"/>
        <w:jc w:val="both"/>
        <w:rPr>
          <w:rFonts w:ascii="Arial" w:hAnsi="Arial" w:cs="Arial"/>
          <w:color w:val="000000" w:themeColor="text1"/>
          <w:sz w:val="24"/>
          <w:szCs w:val="24"/>
        </w:rPr>
      </w:pPr>
      <w:r w:rsidRPr="00F9598E">
        <w:rPr>
          <w:rFonts w:ascii="Arial" w:hAnsi="Arial" w:cs="Arial"/>
          <w:color w:val="000000" w:themeColor="text1"/>
          <w:sz w:val="24"/>
          <w:szCs w:val="24"/>
        </w:rPr>
        <w:t>Defined within the Law and Property Act (LPA) 1925, ‘Land’ remains a long and complex definition illustrating how land can include many different aspects and rights (Bray, 2016, pp.2). S.205(1)(ix) provides ‘land’ includes the physical land itself, along with the buildings and fixtures on it; corporeal hereditaments, and any rights over the land; incorporeal hereditaments (Gray and Gray, 2011, pp.3-4).</w:t>
      </w:r>
    </w:p>
    <w:p w14:paraId="36BB47CD" w14:textId="379DAF95" w:rsidR="00412DBF" w:rsidRPr="00F9598E" w:rsidRDefault="00412DBF" w:rsidP="005342D7">
      <w:pPr>
        <w:spacing w:line="480" w:lineRule="auto"/>
        <w:jc w:val="both"/>
        <w:rPr>
          <w:rFonts w:ascii="Arial" w:hAnsi="Arial" w:cs="Arial"/>
          <w:color w:val="000000" w:themeColor="text1"/>
          <w:sz w:val="24"/>
          <w:szCs w:val="24"/>
        </w:rPr>
      </w:pPr>
      <w:r w:rsidRPr="00F9598E">
        <w:rPr>
          <w:rFonts w:ascii="Arial" w:hAnsi="Arial" w:cs="Arial"/>
          <w:color w:val="000000" w:themeColor="text1"/>
          <w:sz w:val="24"/>
          <w:szCs w:val="24"/>
        </w:rPr>
        <w:t xml:space="preserve">Land law in simple terms is ‘all the law encompassing land’. Essential to everyone’s lives, and primarily concerned with the legal and equitable rights and interests’ people may have in, on or over land (Harris, 2019). Land law impacts on everyday life and provides, regulates and manages what </w:t>
      </w:r>
      <w:r w:rsidR="006A2B7E" w:rsidRPr="00F9598E">
        <w:rPr>
          <w:rFonts w:ascii="Arial" w:hAnsi="Arial" w:cs="Arial"/>
          <w:color w:val="000000" w:themeColor="text1"/>
          <w:sz w:val="24"/>
          <w:szCs w:val="24"/>
        </w:rPr>
        <w:t>lan</w:t>
      </w:r>
      <w:r w:rsidR="00CD0121" w:rsidRPr="00F9598E">
        <w:rPr>
          <w:rFonts w:ascii="Arial" w:hAnsi="Arial" w:cs="Arial"/>
          <w:color w:val="000000" w:themeColor="text1"/>
          <w:sz w:val="24"/>
          <w:szCs w:val="24"/>
        </w:rPr>
        <w:t xml:space="preserve">d </w:t>
      </w:r>
      <w:r w:rsidRPr="00F9598E">
        <w:rPr>
          <w:rFonts w:ascii="Arial" w:hAnsi="Arial" w:cs="Arial"/>
          <w:color w:val="000000" w:themeColor="text1"/>
          <w:sz w:val="24"/>
          <w:szCs w:val="24"/>
        </w:rPr>
        <w:t xml:space="preserve">people and businesses can acquire and exploit to live, work and use for enjoyment (Bray, 2016, pp.1). </w:t>
      </w:r>
      <w:r w:rsidR="00FD57AC" w:rsidRPr="00F9598E">
        <w:rPr>
          <w:rFonts w:ascii="Arial" w:hAnsi="Arial" w:cs="Arial"/>
          <w:color w:val="000000" w:themeColor="text1"/>
          <w:sz w:val="24"/>
          <w:szCs w:val="24"/>
        </w:rPr>
        <w:t>When a piece of land or property is bought, the rights the owner has on the rest of the land or property must be considered as they may interfere with the buyers’ rights in certain parts (Trevelyan, 2020).</w:t>
      </w:r>
      <w:r w:rsidR="00BB4EDE" w:rsidRPr="00F9598E">
        <w:rPr>
          <w:rFonts w:ascii="Arial" w:hAnsi="Arial" w:cs="Arial"/>
          <w:color w:val="000000" w:themeColor="text1"/>
          <w:sz w:val="24"/>
          <w:szCs w:val="24"/>
        </w:rPr>
        <w:t xml:space="preserve"> </w:t>
      </w:r>
      <w:r w:rsidR="008C4B64" w:rsidRPr="00F9598E">
        <w:rPr>
          <w:rFonts w:ascii="Arial" w:hAnsi="Arial" w:cs="Arial"/>
          <w:color w:val="000000" w:themeColor="text1"/>
          <w:sz w:val="24"/>
          <w:szCs w:val="24"/>
        </w:rPr>
        <w:t>A right will be legal if it appears in s.1(1) or s.1(2) of the</w:t>
      </w:r>
      <w:r w:rsidR="00DE5D89">
        <w:rPr>
          <w:rFonts w:ascii="Arial" w:hAnsi="Arial" w:cs="Arial"/>
          <w:color w:val="000000" w:themeColor="text1"/>
          <w:sz w:val="24"/>
          <w:szCs w:val="24"/>
        </w:rPr>
        <w:t xml:space="preserve"> </w:t>
      </w:r>
      <w:r w:rsidR="008C4B64" w:rsidRPr="00F9598E">
        <w:rPr>
          <w:rFonts w:ascii="Arial" w:hAnsi="Arial" w:cs="Arial"/>
          <w:color w:val="000000" w:themeColor="text1"/>
          <w:sz w:val="24"/>
          <w:szCs w:val="24"/>
        </w:rPr>
        <w:t>LPA 1925, and anything which falls outside of the list in s.1(1) or s.1(2) LPA 1925 can only be equitable however, both must meet the necessary formalities (Law and Property Act, 1925).</w:t>
      </w:r>
      <w:r w:rsidR="0036093A">
        <w:rPr>
          <w:rFonts w:ascii="Arial" w:hAnsi="Arial" w:cs="Arial"/>
          <w:color w:val="000000" w:themeColor="text1"/>
          <w:sz w:val="24"/>
          <w:szCs w:val="24"/>
        </w:rPr>
        <w:t xml:space="preserve"> </w:t>
      </w:r>
      <w:r w:rsidR="00E74E38" w:rsidRPr="00F9598E">
        <w:rPr>
          <w:rFonts w:ascii="Arial" w:hAnsi="Arial" w:cs="Arial"/>
          <w:color w:val="000000" w:themeColor="text1"/>
          <w:sz w:val="24"/>
          <w:szCs w:val="24"/>
        </w:rPr>
        <w:t>It is plausible that a number of people may acquire alternative but essentially compatible, rights in and over the same land (Gray and Gray, 2011, pp.234).</w:t>
      </w:r>
    </w:p>
    <w:p w14:paraId="0DF8423E" w14:textId="468A3594" w:rsidR="00E52712" w:rsidRPr="00F9598E" w:rsidRDefault="002C2DC4" w:rsidP="0052104D">
      <w:pPr>
        <w:spacing w:line="480" w:lineRule="auto"/>
        <w:jc w:val="both"/>
        <w:rPr>
          <w:rFonts w:ascii="Arial" w:hAnsi="Arial" w:cs="Arial"/>
          <w:color w:val="000000" w:themeColor="text1"/>
          <w:sz w:val="24"/>
          <w:szCs w:val="24"/>
        </w:rPr>
      </w:pPr>
      <w:r w:rsidRPr="00F9598E">
        <w:rPr>
          <w:rFonts w:ascii="Arial" w:hAnsi="Arial" w:cs="Arial"/>
          <w:color w:val="000000" w:themeColor="text1"/>
          <w:sz w:val="24"/>
          <w:szCs w:val="24"/>
        </w:rPr>
        <w:lastRenderedPageBreak/>
        <w:t xml:space="preserve">Easements are </w:t>
      </w:r>
      <w:r w:rsidR="003C0697">
        <w:rPr>
          <w:rFonts w:ascii="Arial" w:hAnsi="Arial" w:cs="Arial"/>
          <w:color w:val="000000" w:themeColor="text1"/>
          <w:sz w:val="24"/>
          <w:szCs w:val="24"/>
        </w:rPr>
        <w:t xml:space="preserve">defined as a right over another’s land therefore it is </w:t>
      </w:r>
      <w:r w:rsidRPr="00F9598E">
        <w:rPr>
          <w:rFonts w:ascii="Arial" w:hAnsi="Arial" w:cs="Arial"/>
          <w:color w:val="000000" w:themeColor="text1"/>
          <w:sz w:val="24"/>
          <w:szCs w:val="24"/>
        </w:rPr>
        <w:t xml:space="preserve">imperative to safeguard the value of the dominant land, without which land could not be used as a useful amenity. The law must ensure that both the value and amenity of the land is not put in jeopardy (Richards, 2014, pp.434). </w:t>
      </w:r>
      <w:r w:rsidR="00E52712" w:rsidRPr="00F9598E">
        <w:rPr>
          <w:rFonts w:ascii="Arial" w:hAnsi="Arial" w:cs="Arial"/>
          <w:color w:val="000000" w:themeColor="text1"/>
          <w:sz w:val="24"/>
          <w:szCs w:val="24"/>
        </w:rPr>
        <w:t>To that end, it is imperative that clear rules and requirements of what rights constitute an easement are satisfied and the extent to which the characteristics of an easement restrict the rights that landlords may grant or reserve.</w:t>
      </w:r>
    </w:p>
    <w:p w14:paraId="322B3F2F" w14:textId="333E4148" w:rsidR="00B6577D" w:rsidRDefault="00B6577D" w:rsidP="00F75AD0">
      <w:pPr>
        <w:spacing w:line="480" w:lineRule="auto"/>
        <w:jc w:val="both"/>
        <w:rPr>
          <w:rFonts w:ascii="Arial" w:hAnsi="Arial" w:cs="Arial"/>
          <w:sz w:val="24"/>
          <w:szCs w:val="24"/>
        </w:rPr>
      </w:pPr>
    </w:p>
    <w:p w14:paraId="7F29DAEE" w14:textId="6D318AF2" w:rsidR="009435E2" w:rsidRDefault="00C81640" w:rsidP="00F75AD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An easement </w:t>
      </w:r>
      <w:r w:rsidR="001529F4">
        <w:rPr>
          <w:rFonts w:ascii="Arial" w:hAnsi="Arial" w:cs="Arial"/>
          <w:color w:val="000000" w:themeColor="text1"/>
          <w:sz w:val="24"/>
          <w:szCs w:val="24"/>
        </w:rPr>
        <w:t xml:space="preserve">provides a landowner with </w:t>
      </w:r>
      <w:r w:rsidR="003D0B3A">
        <w:rPr>
          <w:rFonts w:ascii="Arial" w:hAnsi="Arial" w:cs="Arial"/>
          <w:color w:val="000000" w:themeColor="text1"/>
          <w:sz w:val="24"/>
          <w:szCs w:val="24"/>
        </w:rPr>
        <w:t xml:space="preserve">a </w:t>
      </w:r>
      <w:r w:rsidR="001529F4">
        <w:rPr>
          <w:rFonts w:ascii="Arial" w:hAnsi="Arial" w:cs="Arial"/>
          <w:color w:val="000000" w:themeColor="text1"/>
          <w:sz w:val="24"/>
          <w:szCs w:val="24"/>
        </w:rPr>
        <w:t xml:space="preserve">right </w:t>
      </w:r>
      <w:r w:rsidR="00482D38">
        <w:rPr>
          <w:rFonts w:ascii="Arial" w:hAnsi="Arial" w:cs="Arial"/>
          <w:color w:val="000000" w:themeColor="text1"/>
          <w:sz w:val="24"/>
          <w:szCs w:val="24"/>
        </w:rPr>
        <w:t xml:space="preserve">to benefit from </w:t>
      </w:r>
      <w:r w:rsidR="00A17C3E">
        <w:rPr>
          <w:rFonts w:ascii="Arial" w:hAnsi="Arial" w:cs="Arial"/>
          <w:color w:val="000000" w:themeColor="text1"/>
          <w:sz w:val="24"/>
          <w:szCs w:val="24"/>
        </w:rPr>
        <w:t>a piece of land</w:t>
      </w:r>
      <w:r w:rsidR="00506C19">
        <w:rPr>
          <w:rFonts w:ascii="Arial" w:hAnsi="Arial" w:cs="Arial"/>
          <w:color w:val="000000" w:themeColor="text1"/>
          <w:sz w:val="24"/>
          <w:szCs w:val="24"/>
        </w:rPr>
        <w:t>;</w:t>
      </w:r>
      <w:r w:rsidR="00A17C3E">
        <w:rPr>
          <w:rFonts w:ascii="Arial" w:hAnsi="Arial" w:cs="Arial"/>
          <w:color w:val="000000" w:themeColor="text1"/>
          <w:sz w:val="24"/>
          <w:szCs w:val="24"/>
        </w:rPr>
        <w:t xml:space="preserve"> </w:t>
      </w:r>
      <w:r w:rsidR="006A25DA">
        <w:rPr>
          <w:rFonts w:ascii="Arial" w:hAnsi="Arial" w:cs="Arial"/>
          <w:color w:val="000000" w:themeColor="text1"/>
          <w:sz w:val="24"/>
          <w:szCs w:val="24"/>
        </w:rPr>
        <w:t xml:space="preserve">known as the </w:t>
      </w:r>
      <w:r w:rsidR="00A17C3E">
        <w:rPr>
          <w:rFonts w:ascii="Arial" w:hAnsi="Arial" w:cs="Arial"/>
          <w:color w:val="000000" w:themeColor="text1"/>
          <w:sz w:val="24"/>
          <w:szCs w:val="24"/>
        </w:rPr>
        <w:t>‘dominant tenement’</w:t>
      </w:r>
      <w:r w:rsidR="00651FA9">
        <w:rPr>
          <w:rFonts w:ascii="Arial" w:hAnsi="Arial" w:cs="Arial"/>
          <w:color w:val="000000" w:themeColor="text1"/>
          <w:sz w:val="24"/>
          <w:szCs w:val="24"/>
        </w:rPr>
        <w:t xml:space="preserve">, over </w:t>
      </w:r>
      <w:r w:rsidR="00482D38">
        <w:rPr>
          <w:rFonts w:ascii="Arial" w:hAnsi="Arial" w:cs="Arial"/>
          <w:color w:val="000000" w:themeColor="text1"/>
          <w:sz w:val="24"/>
          <w:szCs w:val="24"/>
        </w:rPr>
        <w:t xml:space="preserve">the use </w:t>
      </w:r>
      <w:r w:rsidR="00FC38F1">
        <w:rPr>
          <w:rFonts w:ascii="Arial" w:hAnsi="Arial" w:cs="Arial"/>
          <w:color w:val="000000" w:themeColor="text1"/>
          <w:sz w:val="24"/>
          <w:szCs w:val="24"/>
        </w:rPr>
        <w:t>of another persons piece of land</w:t>
      </w:r>
      <w:r w:rsidR="00651FA9">
        <w:rPr>
          <w:rFonts w:ascii="Arial" w:hAnsi="Arial" w:cs="Arial"/>
          <w:color w:val="000000" w:themeColor="text1"/>
          <w:sz w:val="24"/>
          <w:szCs w:val="24"/>
        </w:rPr>
        <w:t xml:space="preserve">; known as the ‘servient tenement’ </w:t>
      </w:r>
      <w:r w:rsidR="00FC38F1">
        <w:rPr>
          <w:rFonts w:ascii="Arial" w:hAnsi="Arial" w:cs="Arial"/>
          <w:color w:val="000000" w:themeColor="text1"/>
          <w:sz w:val="24"/>
          <w:szCs w:val="24"/>
        </w:rPr>
        <w:t xml:space="preserve">for </w:t>
      </w:r>
      <w:r w:rsidR="00AE06D9">
        <w:rPr>
          <w:rFonts w:ascii="Arial" w:hAnsi="Arial" w:cs="Arial"/>
          <w:color w:val="000000" w:themeColor="text1"/>
          <w:sz w:val="24"/>
          <w:szCs w:val="24"/>
        </w:rPr>
        <w:t>a stated purpose</w:t>
      </w:r>
      <w:r w:rsidR="00E668FF">
        <w:rPr>
          <w:rFonts w:ascii="Arial" w:hAnsi="Arial" w:cs="Arial"/>
          <w:color w:val="000000" w:themeColor="text1"/>
          <w:sz w:val="24"/>
          <w:szCs w:val="24"/>
        </w:rPr>
        <w:t xml:space="preserve"> (</w:t>
      </w:r>
      <w:r w:rsidR="00194C9D">
        <w:rPr>
          <w:rFonts w:ascii="Arial" w:hAnsi="Arial" w:cs="Arial"/>
          <w:color w:val="000000" w:themeColor="text1"/>
          <w:sz w:val="24"/>
          <w:szCs w:val="24"/>
        </w:rPr>
        <w:t>Trevelyan, 2020</w:t>
      </w:r>
      <w:r w:rsidR="00E668FF">
        <w:rPr>
          <w:rFonts w:ascii="Arial" w:hAnsi="Arial" w:cs="Arial"/>
          <w:color w:val="000000" w:themeColor="text1"/>
          <w:sz w:val="24"/>
          <w:szCs w:val="24"/>
        </w:rPr>
        <w:t>)</w:t>
      </w:r>
      <w:r w:rsidR="00194C9D">
        <w:rPr>
          <w:rFonts w:ascii="Arial" w:hAnsi="Arial" w:cs="Arial"/>
          <w:color w:val="000000" w:themeColor="text1"/>
          <w:sz w:val="24"/>
          <w:szCs w:val="24"/>
        </w:rPr>
        <w:t xml:space="preserve">. </w:t>
      </w:r>
      <w:r w:rsidR="009C6223">
        <w:rPr>
          <w:rFonts w:ascii="Arial" w:hAnsi="Arial" w:cs="Arial"/>
          <w:color w:val="000000" w:themeColor="text1"/>
          <w:sz w:val="24"/>
          <w:szCs w:val="24"/>
        </w:rPr>
        <w:t xml:space="preserve">An example of which may be </w:t>
      </w:r>
      <w:r w:rsidR="00F27E8C">
        <w:rPr>
          <w:rFonts w:ascii="Arial" w:hAnsi="Arial" w:cs="Arial"/>
          <w:color w:val="000000" w:themeColor="text1"/>
          <w:sz w:val="24"/>
          <w:szCs w:val="24"/>
        </w:rPr>
        <w:t xml:space="preserve">the right of way, which </w:t>
      </w:r>
      <w:r w:rsidR="00E15E53">
        <w:rPr>
          <w:rFonts w:ascii="Arial" w:hAnsi="Arial" w:cs="Arial"/>
          <w:color w:val="000000" w:themeColor="text1"/>
          <w:sz w:val="24"/>
          <w:szCs w:val="24"/>
        </w:rPr>
        <w:t>would be classified as a positive easement</w:t>
      </w:r>
      <w:r w:rsidR="00303D04">
        <w:rPr>
          <w:rFonts w:ascii="Arial" w:hAnsi="Arial" w:cs="Arial"/>
          <w:color w:val="000000" w:themeColor="text1"/>
          <w:sz w:val="24"/>
          <w:szCs w:val="24"/>
        </w:rPr>
        <w:t xml:space="preserve"> </w:t>
      </w:r>
      <w:r w:rsidR="006F290C">
        <w:rPr>
          <w:rFonts w:ascii="Arial" w:hAnsi="Arial" w:cs="Arial"/>
          <w:color w:val="000000" w:themeColor="text1"/>
          <w:sz w:val="24"/>
          <w:szCs w:val="24"/>
        </w:rPr>
        <w:t xml:space="preserve">suggesting </w:t>
      </w:r>
      <w:r w:rsidR="00275CAD">
        <w:rPr>
          <w:rFonts w:ascii="Arial" w:hAnsi="Arial" w:cs="Arial"/>
          <w:color w:val="000000" w:themeColor="text1"/>
          <w:sz w:val="24"/>
          <w:szCs w:val="24"/>
        </w:rPr>
        <w:t xml:space="preserve">that the dominant land owner has a positive right to do something </w:t>
      </w:r>
      <w:r w:rsidR="003C4E16">
        <w:rPr>
          <w:rFonts w:ascii="Arial" w:hAnsi="Arial" w:cs="Arial"/>
          <w:color w:val="000000" w:themeColor="text1"/>
          <w:sz w:val="24"/>
          <w:szCs w:val="24"/>
        </w:rPr>
        <w:t>on the servient land</w:t>
      </w:r>
      <w:r w:rsidR="001C5D40">
        <w:rPr>
          <w:rFonts w:ascii="Arial" w:hAnsi="Arial" w:cs="Arial"/>
          <w:color w:val="000000" w:themeColor="text1"/>
          <w:sz w:val="24"/>
          <w:szCs w:val="24"/>
        </w:rPr>
        <w:t xml:space="preserve"> (Dickinson, 2013).</w:t>
      </w:r>
      <w:r w:rsidR="00086B04">
        <w:rPr>
          <w:rFonts w:ascii="Arial" w:hAnsi="Arial" w:cs="Arial"/>
          <w:color w:val="000000" w:themeColor="text1"/>
          <w:sz w:val="24"/>
          <w:szCs w:val="24"/>
        </w:rPr>
        <w:t xml:space="preserve"> </w:t>
      </w:r>
      <w:r w:rsidR="00303D04">
        <w:rPr>
          <w:rFonts w:ascii="Arial" w:hAnsi="Arial" w:cs="Arial"/>
          <w:color w:val="000000" w:themeColor="text1"/>
          <w:sz w:val="24"/>
          <w:szCs w:val="24"/>
        </w:rPr>
        <w:t>C</w:t>
      </w:r>
      <w:r w:rsidR="00C23801">
        <w:rPr>
          <w:rFonts w:ascii="Arial" w:hAnsi="Arial" w:cs="Arial"/>
          <w:color w:val="000000" w:themeColor="text1"/>
          <w:sz w:val="24"/>
          <w:szCs w:val="24"/>
        </w:rPr>
        <w:t xml:space="preserve">onversely </w:t>
      </w:r>
      <w:r w:rsidR="001C5D40">
        <w:rPr>
          <w:rFonts w:ascii="Arial" w:hAnsi="Arial" w:cs="Arial"/>
          <w:color w:val="000000" w:themeColor="text1"/>
          <w:sz w:val="24"/>
          <w:szCs w:val="24"/>
        </w:rPr>
        <w:t>however less commonly</w:t>
      </w:r>
      <w:r w:rsidR="007561CA">
        <w:rPr>
          <w:rFonts w:ascii="Arial" w:hAnsi="Arial" w:cs="Arial"/>
          <w:color w:val="000000" w:themeColor="text1"/>
          <w:sz w:val="24"/>
          <w:szCs w:val="24"/>
        </w:rPr>
        <w:t>,</w:t>
      </w:r>
      <w:r w:rsidR="001C5D40">
        <w:rPr>
          <w:rFonts w:ascii="Arial" w:hAnsi="Arial" w:cs="Arial"/>
          <w:color w:val="000000" w:themeColor="text1"/>
          <w:sz w:val="24"/>
          <w:szCs w:val="24"/>
        </w:rPr>
        <w:t xml:space="preserve"> a negative easement</w:t>
      </w:r>
      <w:r w:rsidR="009435E2">
        <w:rPr>
          <w:rFonts w:ascii="Arial" w:hAnsi="Arial" w:cs="Arial"/>
          <w:color w:val="000000" w:themeColor="text1"/>
          <w:sz w:val="24"/>
          <w:szCs w:val="24"/>
        </w:rPr>
        <w:t xml:space="preserve"> prevents a servient land owner </w:t>
      </w:r>
      <w:r w:rsidR="00B1423C">
        <w:rPr>
          <w:rFonts w:ascii="Arial" w:hAnsi="Arial" w:cs="Arial"/>
          <w:color w:val="000000" w:themeColor="text1"/>
          <w:sz w:val="24"/>
          <w:szCs w:val="24"/>
        </w:rPr>
        <w:t xml:space="preserve">from doing something </w:t>
      </w:r>
      <w:r w:rsidR="006301FB">
        <w:rPr>
          <w:rFonts w:ascii="Arial" w:hAnsi="Arial" w:cs="Arial"/>
          <w:color w:val="000000" w:themeColor="text1"/>
          <w:sz w:val="24"/>
          <w:szCs w:val="24"/>
        </w:rPr>
        <w:t xml:space="preserve">that would interfere with the dominant land </w:t>
      </w:r>
      <w:r w:rsidR="000E47F1">
        <w:rPr>
          <w:rFonts w:ascii="Arial" w:hAnsi="Arial" w:cs="Arial"/>
          <w:color w:val="000000" w:themeColor="text1"/>
          <w:sz w:val="24"/>
          <w:szCs w:val="24"/>
        </w:rPr>
        <w:t>owners’</w:t>
      </w:r>
      <w:r w:rsidR="006301FB">
        <w:rPr>
          <w:rFonts w:ascii="Arial" w:hAnsi="Arial" w:cs="Arial"/>
          <w:color w:val="000000" w:themeColor="text1"/>
          <w:sz w:val="24"/>
          <w:szCs w:val="24"/>
        </w:rPr>
        <w:t xml:space="preserve"> rights</w:t>
      </w:r>
      <w:r w:rsidR="00086B04">
        <w:rPr>
          <w:rFonts w:ascii="Arial" w:hAnsi="Arial" w:cs="Arial"/>
          <w:color w:val="000000" w:themeColor="text1"/>
          <w:sz w:val="24"/>
          <w:szCs w:val="24"/>
        </w:rPr>
        <w:t>,</w:t>
      </w:r>
      <w:r w:rsidR="006301FB">
        <w:rPr>
          <w:rFonts w:ascii="Arial" w:hAnsi="Arial" w:cs="Arial"/>
          <w:color w:val="000000" w:themeColor="text1"/>
          <w:sz w:val="24"/>
          <w:szCs w:val="24"/>
        </w:rPr>
        <w:t xml:space="preserve"> </w:t>
      </w:r>
      <w:r w:rsidR="00794731">
        <w:rPr>
          <w:rFonts w:ascii="Arial" w:hAnsi="Arial" w:cs="Arial"/>
          <w:color w:val="000000" w:themeColor="text1"/>
          <w:sz w:val="24"/>
          <w:szCs w:val="24"/>
        </w:rPr>
        <w:t>for instance</w:t>
      </w:r>
      <w:r w:rsidR="00F65011">
        <w:rPr>
          <w:rFonts w:ascii="Arial" w:hAnsi="Arial" w:cs="Arial"/>
          <w:color w:val="000000" w:themeColor="text1"/>
          <w:sz w:val="24"/>
          <w:szCs w:val="24"/>
        </w:rPr>
        <w:t xml:space="preserve"> </w:t>
      </w:r>
      <w:r w:rsidR="00D62D93">
        <w:rPr>
          <w:rFonts w:ascii="Arial" w:hAnsi="Arial" w:cs="Arial"/>
          <w:color w:val="000000" w:themeColor="text1"/>
          <w:sz w:val="24"/>
          <w:szCs w:val="24"/>
        </w:rPr>
        <w:t>b</w:t>
      </w:r>
      <w:r w:rsidR="00541FF3">
        <w:rPr>
          <w:rFonts w:ascii="Arial" w:hAnsi="Arial" w:cs="Arial"/>
          <w:color w:val="000000" w:themeColor="text1"/>
          <w:sz w:val="24"/>
          <w:szCs w:val="24"/>
        </w:rPr>
        <w:t xml:space="preserve">uilding a property infringing </w:t>
      </w:r>
      <w:r w:rsidR="00547AAF">
        <w:rPr>
          <w:rFonts w:ascii="Arial" w:hAnsi="Arial" w:cs="Arial"/>
          <w:color w:val="000000" w:themeColor="text1"/>
          <w:sz w:val="24"/>
          <w:szCs w:val="24"/>
        </w:rPr>
        <w:t xml:space="preserve">on </w:t>
      </w:r>
      <w:r w:rsidR="00541FF3">
        <w:rPr>
          <w:rFonts w:ascii="Arial" w:hAnsi="Arial" w:cs="Arial"/>
          <w:color w:val="000000" w:themeColor="text1"/>
          <w:sz w:val="24"/>
          <w:szCs w:val="24"/>
        </w:rPr>
        <w:t xml:space="preserve">the </w:t>
      </w:r>
      <w:r w:rsidR="004E4398">
        <w:rPr>
          <w:rFonts w:ascii="Arial" w:hAnsi="Arial" w:cs="Arial"/>
          <w:color w:val="000000" w:themeColor="text1"/>
          <w:sz w:val="24"/>
          <w:szCs w:val="24"/>
        </w:rPr>
        <w:t xml:space="preserve">dominant landowners </w:t>
      </w:r>
      <w:r w:rsidR="00541FF3">
        <w:rPr>
          <w:rFonts w:ascii="Arial" w:hAnsi="Arial" w:cs="Arial"/>
          <w:color w:val="000000" w:themeColor="text1"/>
          <w:sz w:val="24"/>
          <w:szCs w:val="24"/>
        </w:rPr>
        <w:t xml:space="preserve">right to light </w:t>
      </w:r>
      <w:r w:rsidR="004E4398">
        <w:rPr>
          <w:rFonts w:ascii="Arial" w:hAnsi="Arial" w:cs="Arial"/>
          <w:color w:val="000000" w:themeColor="text1"/>
          <w:sz w:val="24"/>
          <w:szCs w:val="24"/>
        </w:rPr>
        <w:t>or</w:t>
      </w:r>
      <w:r w:rsidR="00F6747C">
        <w:rPr>
          <w:rFonts w:ascii="Arial" w:hAnsi="Arial" w:cs="Arial"/>
          <w:color w:val="000000" w:themeColor="text1"/>
          <w:sz w:val="24"/>
          <w:szCs w:val="24"/>
        </w:rPr>
        <w:t xml:space="preserve"> </w:t>
      </w:r>
      <w:r w:rsidR="004E4398">
        <w:rPr>
          <w:rFonts w:ascii="Arial" w:hAnsi="Arial" w:cs="Arial"/>
          <w:color w:val="000000" w:themeColor="text1"/>
          <w:sz w:val="24"/>
          <w:szCs w:val="24"/>
        </w:rPr>
        <w:t>right to park</w:t>
      </w:r>
      <w:r w:rsidR="00547AAF">
        <w:rPr>
          <w:rFonts w:ascii="Arial" w:hAnsi="Arial" w:cs="Arial"/>
          <w:color w:val="000000" w:themeColor="text1"/>
          <w:sz w:val="24"/>
          <w:szCs w:val="24"/>
        </w:rPr>
        <w:t xml:space="preserve"> (</w:t>
      </w:r>
      <w:r w:rsidR="00870DF9">
        <w:rPr>
          <w:rFonts w:ascii="Arial" w:hAnsi="Arial" w:cs="Arial"/>
          <w:color w:val="000000" w:themeColor="text1"/>
          <w:sz w:val="24"/>
          <w:szCs w:val="24"/>
        </w:rPr>
        <w:t>Thoms</w:t>
      </w:r>
      <w:r w:rsidR="0047332D">
        <w:rPr>
          <w:rFonts w:ascii="Arial" w:hAnsi="Arial" w:cs="Arial"/>
          <w:color w:val="000000" w:themeColor="text1"/>
          <w:sz w:val="24"/>
          <w:szCs w:val="24"/>
        </w:rPr>
        <w:t>on Reuters</w:t>
      </w:r>
      <w:r w:rsidR="00547AAF">
        <w:rPr>
          <w:rFonts w:ascii="Arial" w:hAnsi="Arial" w:cs="Arial"/>
          <w:color w:val="000000" w:themeColor="text1"/>
          <w:sz w:val="24"/>
          <w:szCs w:val="24"/>
        </w:rPr>
        <w:t xml:space="preserve">, </w:t>
      </w:r>
      <w:r w:rsidR="00B73A3C">
        <w:rPr>
          <w:rFonts w:ascii="Arial" w:hAnsi="Arial" w:cs="Arial"/>
          <w:color w:val="000000" w:themeColor="text1"/>
          <w:sz w:val="24"/>
          <w:szCs w:val="24"/>
        </w:rPr>
        <w:t>20</w:t>
      </w:r>
      <w:r w:rsidR="00870DF9">
        <w:rPr>
          <w:rFonts w:ascii="Arial" w:hAnsi="Arial" w:cs="Arial"/>
          <w:color w:val="000000" w:themeColor="text1"/>
          <w:sz w:val="24"/>
          <w:szCs w:val="24"/>
        </w:rPr>
        <w:t>21</w:t>
      </w:r>
      <w:r w:rsidR="00547AAF">
        <w:rPr>
          <w:rFonts w:ascii="Arial" w:hAnsi="Arial" w:cs="Arial"/>
          <w:color w:val="000000" w:themeColor="text1"/>
          <w:sz w:val="24"/>
          <w:szCs w:val="24"/>
        </w:rPr>
        <w:t>).</w:t>
      </w:r>
    </w:p>
    <w:p w14:paraId="437331E7" w14:textId="6A68AA17" w:rsidR="005214B7" w:rsidRPr="002843C4" w:rsidRDefault="00F9655F" w:rsidP="00F75AD0">
      <w:pPr>
        <w:spacing w:line="480" w:lineRule="auto"/>
        <w:jc w:val="both"/>
        <w:rPr>
          <w:rFonts w:ascii="Arial" w:hAnsi="Arial" w:cs="Arial"/>
          <w:color w:val="000000" w:themeColor="text1"/>
          <w:sz w:val="24"/>
          <w:szCs w:val="24"/>
        </w:rPr>
      </w:pPr>
      <w:r w:rsidRPr="00314FA4">
        <w:rPr>
          <w:rFonts w:ascii="Arial" w:hAnsi="Arial" w:cs="Arial"/>
          <w:color w:val="000000" w:themeColor="text1"/>
          <w:sz w:val="24"/>
          <w:szCs w:val="24"/>
        </w:rPr>
        <w:t xml:space="preserve">It is necessary </w:t>
      </w:r>
      <w:r w:rsidR="00F86A41" w:rsidRPr="00314FA4">
        <w:rPr>
          <w:rFonts w:ascii="Arial" w:hAnsi="Arial" w:cs="Arial"/>
          <w:color w:val="000000" w:themeColor="text1"/>
          <w:sz w:val="24"/>
          <w:szCs w:val="24"/>
        </w:rPr>
        <w:t xml:space="preserve">to note that an easement </w:t>
      </w:r>
      <w:r w:rsidR="006837F2" w:rsidRPr="00314FA4">
        <w:rPr>
          <w:rFonts w:ascii="Arial" w:hAnsi="Arial" w:cs="Arial"/>
          <w:color w:val="000000" w:themeColor="text1"/>
          <w:sz w:val="24"/>
          <w:szCs w:val="24"/>
        </w:rPr>
        <w:t xml:space="preserve">is a propriety right which </w:t>
      </w:r>
      <w:r w:rsidR="00665B2E" w:rsidRPr="00314FA4">
        <w:rPr>
          <w:rFonts w:ascii="Arial" w:hAnsi="Arial" w:cs="Arial"/>
          <w:color w:val="000000" w:themeColor="text1"/>
          <w:sz w:val="24"/>
          <w:szCs w:val="24"/>
        </w:rPr>
        <w:t xml:space="preserve">is annexed </w:t>
      </w:r>
      <w:r w:rsidR="00605C7A" w:rsidRPr="00314FA4">
        <w:rPr>
          <w:rFonts w:ascii="Arial" w:hAnsi="Arial" w:cs="Arial"/>
          <w:color w:val="000000" w:themeColor="text1"/>
          <w:sz w:val="24"/>
          <w:szCs w:val="24"/>
        </w:rPr>
        <w:t>to the land</w:t>
      </w:r>
      <w:r w:rsidR="00183D49" w:rsidRPr="00314FA4">
        <w:rPr>
          <w:rFonts w:ascii="Arial" w:hAnsi="Arial" w:cs="Arial"/>
          <w:color w:val="000000" w:themeColor="text1"/>
          <w:sz w:val="24"/>
          <w:szCs w:val="24"/>
        </w:rPr>
        <w:t>,</w:t>
      </w:r>
      <w:r w:rsidR="00605C7A" w:rsidRPr="00314FA4">
        <w:rPr>
          <w:rFonts w:ascii="Arial" w:hAnsi="Arial" w:cs="Arial"/>
          <w:color w:val="000000" w:themeColor="text1"/>
          <w:sz w:val="24"/>
          <w:szCs w:val="24"/>
        </w:rPr>
        <w:t xml:space="preserve"> </w:t>
      </w:r>
      <w:r w:rsidR="005351FB" w:rsidRPr="00314FA4">
        <w:rPr>
          <w:rFonts w:ascii="Arial" w:hAnsi="Arial" w:cs="Arial"/>
          <w:color w:val="000000" w:themeColor="text1"/>
          <w:sz w:val="24"/>
          <w:szCs w:val="24"/>
        </w:rPr>
        <w:t>binding</w:t>
      </w:r>
      <w:r w:rsidR="00485E7B" w:rsidRPr="00314FA4">
        <w:rPr>
          <w:rFonts w:ascii="Arial" w:hAnsi="Arial" w:cs="Arial"/>
          <w:color w:val="000000" w:themeColor="text1"/>
          <w:sz w:val="24"/>
          <w:szCs w:val="24"/>
        </w:rPr>
        <w:t xml:space="preserve"> the current owners as well as success</w:t>
      </w:r>
      <w:r w:rsidR="00D50E5D" w:rsidRPr="00314FA4">
        <w:rPr>
          <w:rFonts w:ascii="Arial" w:hAnsi="Arial" w:cs="Arial"/>
          <w:color w:val="000000" w:themeColor="text1"/>
          <w:sz w:val="24"/>
          <w:szCs w:val="24"/>
        </w:rPr>
        <w:t>ive landowners</w:t>
      </w:r>
      <w:r w:rsidR="00BF202F" w:rsidRPr="00314FA4">
        <w:rPr>
          <w:rFonts w:ascii="Arial" w:hAnsi="Arial" w:cs="Arial"/>
          <w:color w:val="000000" w:themeColor="text1"/>
          <w:sz w:val="24"/>
          <w:szCs w:val="24"/>
        </w:rPr>
        <w:t xml:space="preserve"> and exists </w:t>
      </w:r>
      <w:r w:rsidR="00AA3249" w:rsidRPr="00314FA4">
        <w:rPr>
          <w:rFonts w:ascii="Arial" w:hAnsi="Arial" w:cs="Arial"/>
          <w:color w:val="000000" w:themeColor="text1"/>
          <w:sz w:val="24"/>
          <w:szCs w:val="24"/>
        </w:rPr>
        <w:t xml:space="preserve">to </w:t>
      </w:r>
      <w:r w:rsidR="006837F2" w:rsidRPr="00314FA4">
        <w:rPr>
          <w:rFonts w:ascii="Arial" w:hAnsi="Arial" w:cs="Arial"/>
          <w:color w:val="000000" w:themeColor="text1"/>
          <w:sz w:val="24"/>
          <w:szCs w:val="24"/>
        </w:rPr>
        <w:t xml:space="preserve">benefit </w:t>
      </w:r>
      <w:r w:rsidR="000F20AD" w:rsidRPr="00314FA4">
        <w:rPr>
          <w:rFonts w:ascii="Arial" w:hAnsi="Arial" w:cs="Arial"/>
          <w:color w:val="000000" w:themeColor="text1"/>
          <w:sz w:val="24"/>
          <w:szCs w:val="24"/>
        </w:rPr>
        <w:t>one piece of land to the detriment of another</w:t>
      </w:r>
      <w:r w:rsidR="00AA3249" w:rsidRPr="00314FA4">
        <w:rPr>
          <w:rFonts w:ascii="Arial" w:hAnsi="Arial" w:cs="Arial"/>
          <w:color w:val="000000" w:themeColor="text1"/>
          <w:sz w:val="24"/>
          <w:szCs w:val="24"/>
        </w:rPr>
        <w:t xml:space="preserve"> (</w:t>
      </w:r>
      <w:r w:rsidR="001A32A3" w:rsidRPr="00314FA4">
        <w:rPr>
          <w:rFonts w:ascii="Arial" w:hAnsi="Arial" w:cs="Arial"/>
          <w:color w:val="000000" w:themeColor="text1"/>
          <w:sz w:val="24"/>
          <w:szCs w:val="24"/>
        </w:rPr>
        <w:t>Richards, 2014, pp.433</w:t>
      </w:r>
      <w:r w:rsidR="00AA3249" w:rsidRPr="00314FA4">
        <w:rPr>
          <w:rFonts w:ascii="Arial" w:hAnsi="Arial" w:cs="Arial"/>
          <w:color w:val="000000" w:themeColor="text1"/>
          <w:sz w:val="24"/>
          <w:szCs w:val="24"/>
        </w:rPr>
        <w:t>).</w:t>
      </w:r>
      <w:r w:rsidR="00E90C1C">
        <w:rPr>
          <w:rFonts w:ascii="Arial" w:hAnsi="Arial" w:cs="Arial"/>
          <w:color w:val="000000" w:themeColor="text1"/>
          <w:sz w:val="24"/>
          <w:szCs w:val="24"/>
        </w:rPr>
        <w:t xml:space="preserve"> </w:t>
      </w:r>
      <w:r w:rsidR="00E843C7">
        <w:rPr>
          <w:rFonts w:ascii="Arial" w:hAnsi="Arial" w:cs="Arial"/>
          <w:color w:val="000000" w:themeColor="text1"/>
          <w:sz w:val="24"/>
          <w:szCs w:val="24"/>
        </w:rPr>
        <w:t>T</w:t>
      </w:r>
      <w:r w:rsidR="00A1114D">
        <w:rPr>
          <w:rFonts w:ascii="Arial" w:hAnsi="Arial" w:cs="Arial"/>
          <w:color w:val="000000" w:themeColor="text1"/>
          <w:sz w:val="24"/>
          <w:szCs w:val="24"/>
        </w:rPr>
        <w:t xml:space="preserve">he law has determined </w:t>
      </w:r>
      <w:r w:rsidR="00E843C7">
        <w:rPr>
          <w:rFonts w:ascii="Arial" w:hAnsi="Arial" w:cs="Arial"/>
          <w:color w:val="000000" w:themeColor="text1"/>
          <w:sz w:val="24"/>
          <w:szCs w:val="24"/>
        </w:rPr>
        <w:t xml:space="preserve">what rights are to be recognised </w:t>
      </w:r>
      <w:r w:rsidR="003052DD">
        <w:rPr>
          <w:rFonts w:ascii="Arial" w:hAnsi="Arial" w:cs="Arial"/>
          <w:color w:val="000000" w:themeColor="text1"/>
          <w:sz w:val="24"/>
          <w:szCs w:val="24"/>
        </w:rPr>
        <w:t xml:space="preserve">as </w:t>
      </w:r>
      <w:r w:rsidR="00116BD4">
        <w:rPr>
          <w:rFonts w:ascii="Arial" w:hAnsi="Arial" w:cs="Arial"/>
          <w:color w:val="000000" w:themeColor="text1"/>
          <w:sz w:val="24"/>
          <w:szCs w:val="24"/>
        </w:rPr>
        <w:t>constituting an easement</w:t>
      </w:r>
      <w:r w:rsidR="00EE258C">
        <w:rPr>
          <w:rFonts w:ascii="Arial" w:hAnsi="Arial" w:cs="Arial"/>
          <w:color w:val="000000" w:themeColor="text1"/>
          <w:sz w:val="24"/>
          <w:szCs w:val="24"/>
        </w:rPr>
        <w:t>.</w:t>
      </w:r>
      <w:r w:rsidR="00F24633">
        <w:rPr>
          <w:rFonts w:ascii="Arial" w:hAnsi="Arial" w:cs="Arial"/>
          <w:color w:val="000000" w:themeColor="text1"/>
          <w:sz w:val="24"/>
          <w:szCs w:val="24"/>
        </w:rPr>
        <w:t xml:space="preserve"> </w:t>
      </w:r>
      <w:r w:rsidR="00B85864">
        <w:rPr>
          <w:rFonts w:ascii="Arial" w:hAnsi="Arial" w:cs="Arial"/>
          <w:color w:val="000000" w:themeColor="text1"/>
          <w:sz w:val="24"/>
          <w:szCs w:val="24"/>
        </w:rPr>
        <w:t>As a result, f</w:t>
      </w:r>
      <w:r w:rsidR="00CE218C">
        <w:rPr>
          <w:rFonts w:ascii="Arial" w:hAnsi="Arial" w:cs="Arial"/>
          <w:color w:val="000000" w:themeColor="text1"/>
          <w:sz w:val="24"/>
          <w:szCs w:val="24"/>
        </w:rPr>
        <w:t xml:space="preserve">our </w:t>
      </w:r>
      <w:r w:rsidR="00116BD4">
        <w:rPr>
          <w:rFonts w:ascii="Arial" w:hAnsi="Arial" w:cs="Arial"/>
          <w:color w:val="000000" w:themeColor="text1"/>
          <w:sz w:val="24"/>
          <w:szCs w:val="24"/>
        </w:rPr>
        <w:t xml:space="preserve">key </w:t>
      </w:r>
      <w:r w:rsidR="00B85864">
        <w:rPr>
          <w:rFonts w:ascii="Arial" w:hAnsi="Arial" w:cs="Arial"/>
          <w:color w:val="000000" w:themeColor="text1"/>
          <w:sz w:val="24"/>
          <w:szCs w:val="24"/>
        </w:rPr>
        <w:t xml:space="preserve">qualifying </w:t>
      </w:r>
      <w:r w:rsidR="00116BD4">
        <w:rPr>
          <w:rFonts w:ascii="Arial" w:hAnsi="Arial" w:cs="Arial"/>
          <w:color w:val="000000" w:themeColor="text1"/>
          <w:sz w:val="24"/>
          <w:szCs w:val="24"/>
        </w:rPr>
        <w:t xml:space="preserve">characteristics </w:t>
      </w:r>
      <w:r w:rsidR="00B85864">
        <w:rPr>
          <w:rFonts w:ascii="Arial" w:hAnsi="Arial" w:cs="Arial"/>
          <w:color w:val="000000" w:themeColor="text1"/>
          <w:sz w:val="24"/>
          <w:szCs w:val="24"/>
        </w:rPr>
        <w:t xml:space="preserve">were </w:t>
      </w:r>
      <w:r w:rsidR="00B27DBA">
        <w:rPr>
          <w:rFonts w:ascii="Arial" w:hAnsi="Arial" w:cs="Arial"/>
          <w:color w:val="000000" w:themeColor="text1"/>
          <w:sz w:val="24"/>
          <w:szCs w:val="24"/>
        </w:rPr>
        <w:t xml:space="preserve">established </w:t>
      </w:r>
      <w:r w:rsidR="00914D20">
        <w:rPr>
          <w:rFonts w:ascii="Arial" w:hAnsi="Arial" w:cs="Arial"/>
          <w:color w:val="000000" w:themeColor="text1"/>
          <w:sz w:val="24"/>
          <w:szCs w:val="24"/>
        </w:rPr>
        <w:t>by Justice Danckwerts in</w:t>
      </w:r>
      <w:r w:rsidR="00B27DBA">
        <w:rPr>
          <w:rFonts w:ascii="Arial" w:hAnsi="Arial" w:cs="Arial"/>
          <w:color w:val="000000" w:themeColor="text1"/>
          <w:sz w:val="24"/>
          <w:szCs w:val="24"/>
        </w:rPr>
        <w:t xml:space="preserve"> the seminal case;</w:t>
      </w:r>
      <w:r w:rsidR="00914D20">
        <w:rPr>
          <w:rFonts w:ascii="Arial" w:hAnsi="Arial" w:cs="Arial"/>
          <w:color w:val="000000" w:themeColor="text1"/>
          <w:sz w:val="24"/>
          <w:szCs w:val="24"/>
        </w:rPr>
        <w:t xml:space="preserve"> </w:t>
      </w:r>
      <w:r w:rsidR="00A36536" w:rsidRPr="00314FA4">
        <w:rPr>
          <w:rFonts w:ascii="Arial" w:hAnsi="Arial" w:cs="Arial"/>
          <w:i/>
          <w:iCs/>
          <w:color w:val="000000" w:themeColor="text1"/>
          <w:sz w:val="24"/>
          <w:szCs w:val="24"/>
        </w:rPr>
        <w:t>Re Ellenborough Park [1956]</w:t>
      </w:r>
      <w:r w:rsidR="00914D20">
        <w:rPr>
          <w:rFonts w:ascii="Arial" w:hAnsi="Arial" w:cs="Arial"/>
          <w:i/>
          <w:iCs/>
          <w:color w:val="000000" w:themeColor="text1"/>
          <w:sz w:val="24"/>
          <w:szCs w:val="24"/>
        </w:rPr>
        <w:t xml:space="preserve"> </w:t>
      </w:r>
      <w:r w:rsidR="00F17C5C" w:rsidRPr="00314FA4">
        <w:rPr>
          <w:rFonts w:ascii="Arial" w:hAnsi="Arial" w:cs="Arial"/>
          <w:color w:val="000000" w:themeColor="text1"/>
          <w:sz w:val="24"/>
          <w:szCs w:val="24"/>
        </w:rPr>
        <w:t>(Gray and Gray, 2011, pp.236).</w:t>
      </w:r>
      <w:r w:rsidR="00B27DBA">
        <w:rPr>
          <w:rFonts w:ascii="Arial" w:hAnsi="Arial" w:cs="Arial"/>
          <w:color w:val="000000" w:themeColor="text1"/>
          <w:sz w:val="24"/>
          <w:szCs w:val="24"/>
        </w:rPr>
        <w:t xml:space="preserve"> </w:t>
      </w:r>
    </w:p>
    <w:p w14:paraId="1748F14C" w14:textId="77777777" w:rsidR="005214B7" w:rsidRPr="001D6646" w:rsidRDefault="005214B7" w:rsidP="00F75AD0">
      <w:pPr>
        <w:spacing w:line="480" w:lineRule="auto"/>
        <w:jc w:val="both"/>
        <w:rPr>
          <w:rFonts w:ascii="Arial" w:hAnsi="Arial" w:cs="Arial"/>
          <w:i/>
          <w:iCs/>
          <w:sz w:val="24"/>
          <w:szCs w:val="24"/>
        </w:rPr>
      </w:pPr>
    </w:p>
    <w:p w14:paraId="5DAC64ED" w14:textId="07D4FA75" w:rsidR="00C56B09" w:rsidRPr="00DC4A8C" w:rsidRDefault="006F31CF" w:rsidP="00F75AD0">
      <w:pPr>
        <w:spacing w:line="480" w:lineRule="auto"/>
        <w:jc w:val="both"/>
        <w:rPr>
          <w:rFonts w:ascii="Arial" w:hAnsi="Arial" w:cs="Arial"/>
          <w:color w:val="000000" w:themeColor="text1"/>
          <w:sz w:val="24"/>
          <w:szCs w:val="24"/>
        </w:rPr>
      </w:pPr>
      <w:r w:rsidRPr="00DC4A8C">
        <w:rPr>
          <w:rFonts w:ascii="Arial" w:hAnsi="Arial" w:cs="Arial"/>
          <w:color w:val="000000" w:themeColor="text1"/>
          <w:sz w:val="24"/>
          <w:szCs w:val="24"/>
        </w:rPr>
        <w:lastRenderedPageBreak/>
        <w:t>T</w:t>
      </w:r>
      <w:r w:rsidR="00E02757" w:rsidRPr="00DC4A8C">
        <w:rPr>
          <w:rFonts w:ascii="Arial" w:hAnsi="Arial" w:cs="Arial"/>
          <w:color w:val="000000" w:themeColor="text1"/>
          <w:sz w:val="24"/>
          <w:szCs w:val="24"/>
        </w:rPr>
        <w:t xml:space="preserve">here must be </w:t>
      </w:r>
      <w:r w:rsidR="00743733" w:rsidRPr="00DC4A8C">
        <w:rPr>
          <w:rFonts w:ascii="Arial" w:hAnsi="Arial" w:cs="Arial"/>
          <w:color w:val="000000" w:themeColor="text1"/>
          <w:sz w:val="24"/>
          <w:szCs w:val="24"/>
        </w:rPr>
        <w:t>a dominant and servient tenement</w:t>
      </w:r>
      <w:r w:rsidR="0091123C" w:rsidRPr="00DC4A8C">
        <w:rPr>
          <w:rFonts w:ascii="Arial" w:hAnsi="Arial" w:cs="Arial"/>
          <w:color w:val="000000" w:themeColor="text1"/>
          <w:sz w:val="24"/>
          <w:szCs w:val="24"/>
        </w:rPr>
        <w:t xml:space="preserve">. In effect, </w:t>
      </w:r>
      <w:r w:rsidR="00895E62" w:rsidRPr="00DC4A8C">
        <w:rPr>
          <w:rFonts w:ascii="Arial" w:hAnsi="Arial" w:cs="Arial"/>
          <w:color w:val="000000" w:themeColor="text1"/>
          <w:sz w:val="24"/>
          <w:szCs w:val="24"/>
        </w:rPr>
        <w:t>t</w:t>
      </w:r>
      <w:r w:rsidR="002F1EFA" w:rsidRPr="00DC4A8C">
        <w:rPr>
          <w:rFonts w:ascii="Arial" w:hAnsi="Arial" w:cs="Arial"/>
          <w:color w:val="000000" w:themeColor="text1"/>
          <w:sz w:val="24"/>
          <w:szCs w:val="24"/>
        </w:rPr>
        <w:t>here must be two clearly defined parcels of land</w:t>
      </w:r>
      <w:r w:rsidR="0080213D" w:rsidRPr="00DC4A8C">
        <w:rPr>
          <w:rFonts w:ascii="Arial" w:hAnsi="Arial" w:cs="Arial"/>
          <w:color w:val="000000" w:themeColor="text1"/>
          <w:sz w:val="24"/>
          <w:szCs w:val="24"/>
        </w:rPr>
        <w:t>, one capable of benefitting from the easement and the other of carrying the burden of the easement</w:t>
      </w:r>
      <w:r w:rsidR="0078032E" w:rsidRPr="00DC4A8C">
        <w:rPr>
          <w:rFonts w:ascii="Arial" w:hAnsi="Arial" w:cs="Arial"/>
          <w:color w:val="000000" w:themeColor="text1"/>
          <w:sz w:val="24"/>
          <w:szCs w:val="24"/>
        </w:rPr>
        <w:t xml:space="preserve"> (</w:t>
      </w:r>
      <w:r w:rsidR="0079783C" w:rsidRPr="00DC4A8C">
        <w:rPr>
          <w:rFonts w:ascii="Arial" w:hAnsi="Arial" w:cs="Arial"/>
          <w:color w:val="000000" w:themeColor="text1"/>
          <w:sz w:val="24"/>
          <w:szCs w:val="24"/>
        </w:rPr>
        <w:t>Gr</w:t>
      </w:r>
      <w:r w:rsidR="00A51081" w:rsidRPr="00DC4A8C">
        <w:rPr>
          <w:rFonts w:ascii="Arial" w:hAnsi="Arial" w:cs="Arial"/>
          <w:color w:val="000000" w:themeColor="text1"/>
          <w:sz w:val="24"/>
          <w:szCs w:val="24"/>
        </w:rPr>
        <w:t>ay and Gray, 2011, pp.236-237</w:t>
      </w:r>
      <w:r w:rsidR="005913C8" w:rsidRPr="00DC4A8C">
        <w:rPr>
          <w:rFonts w:ascii="Arial" w:hAnsi="Arial" w:cs="Arial"/>
          <w:color w:val="000000" w:themeColor="text1"/>
          <w:sz w:val="24"/>
          <w:szCs w:val="24"/>
        </w:rPr>
        <w:t>).</w:t>
      </w:r>
      <w:r w:rsidR="00FA725A" w:rsidRPr="00DC4A8C">
        <w:rPr>
          <w:rFonts w:ascii="Arial" w:hAnsi="Arial" w:cs="Arial"/>
          <w:color w:val="000000" w:themeColor="text1"/>
          <w:sz w:val="24"/>
          <w:szCs w:val="24"/>
        </w:rPr>
        <w:t xml:space="preserve"> </w:t>
      </w:r>
      <w:r w:rsidR="00EA008A" w:rsidRPr="00DC4A8C">
        <w:rPr>
          <w:rFonts w:ascii="Arial" w:hAnsi="Arial" w:cs="Arial"/>
          <w:color w:val="000000" w:themeColor="text1"/>
          <w:sz w:val="24"/>
          <w:szCs w:val="24"/>
        </w:rPr>
        <w:t>Effectively, e</w:t>
      </w:r>
      <w:r w:rsidR="00340338" w:rsidRPr="00DC4A8C">
        <w:rPr>
          <w:rFonts w:ascii="Arial" w:hAnsi="Arial" w:cs="Arial"/>
          <w:color w:val="000000" w:themeColor="text1"/>
          <w:sz w:val="24"/>
          <w:szCs w:val="24"/>
        </w:rPr>
        <w:t xml:space="preserve">asements cannot exist ‘in gross’ illustrated by Justice Cresswell in </w:t>
      </w:r>
      <w:r w:rsidR="00340338" w:rsidRPr="00DC4A8C">
        <w:rPr>
          <w:rFonts w:ascii="Arial" w:hAnsi="Arial" w:cs="Arial"/>
          <w:i/>
          <w:iCs/>
          <w:color w:val="000000" w:themeColor="text1"/>
          <w:sz w:val="24"/>
          <w:szCs w:val="24"/>
        </w:rPr>
        <w:t>Ackroyd v Smith [1850]</w:t>
      </w:r>
      <w:r w:rsidR="0078032E" w:rsidRPr="00DC4A8C">
        <w:rPr>
          <w:rFonts w:ascii="Arial" w:hAnsi="Arial" w:cs="Arial"/>
          <w:color w:val="000000" w:themeColor="text1"/>
          <w:sz w:val="24"/>
          <w:szCs w:val="24"/>
        </w:rPr>
        <w:t xml:space="preserve"> </w:t>
      </w:r>
      <w:r w:rsidR="00C56B09" w:rsidRPr="00DC4A8C">
        <w:rPr>
          <w:rFonts w:ascii="Arial" w:hAnsi="Arial" w:cs="Arial"/>
          <w:color w:val="000000" w:themeColor="text1"/>
          <w:sz w:val="24"/>
          <w:szCs w:val="24"/>
        </w:rPr>
        <w:t>a</w:t>
      </w:r>
      <w:r w:rsidR="00933281" w:rsidRPr="00DC4A8C">
        <w:rPr>
          <w:rFonts w:ascii="Arial" w:hAnsi="Arial" w:cs="Arial"/>
          <w:color w:val="000000" w:themeColor="text1"/>
          <w:sz w:val="24"/>
          <w:szCs w:val="24"/>
        </w:rPr>
        <w:t xml:space="preserve">s </w:t>
      </w:r>
      <w:r w:rsidR="007E2D96" w:rsidRPr="00DC4A8C">
        <w:rPr>
          <w:rFonts w:ascii="Arial" w:hAnsi="Arial" w:cs="Arial"/>
          <w:color w:val="000000" w:themeColor="text1"/>
          <w:sz w:val="24"/>
          <w:szCs w:val="24"/>
        </w:rPr>
        <w:t xml:space="preserve">where </w:t>
      </w:r>
      <w:r w:rsidR="00B97662" w:rsidRPr="00DC4A8C">
        <w:rPr>
          <w:rFonts w:ascii="Arial" w:hAnsi="Arial" w:cs="Arial"/>
          <w:color w:val="000000" w:themeColor="text1"/>
          <w:sz w:val="24"/>
          <w:szCs w:val="24"/>
        </w:rPr>
        <w:t xml:space="preserve">there is no </w:t>
      </w:r>
      <w:r w:rsidR="00C01AA9" w:rsidRPr="00DC4A8C">
        <w:rPr>
          <w:rFonts w:ascii="Arial" w:hAnsi="Arial" w:cs="Arial"/>
          <w:color w:val="000000" w:themeColor="text1"/>
          <w:sz w:val="24"/>
          <w:szCs w:val="24"/>
        </w:rPr>
        <w:t>benefit</w:t>
      </w:r>
      <w:r w:rsidR="00B97662" w:rsidRPr="00DC4A8C">
        <w:rPr>
          <w:rFonts w:ascii="Arial" w:hAnsi="Arial" w:cs="Arial"/>
          <w:color w:val="000000" w:themeColor="text1"/>
          <w:sz w:val="24"/>
          <w:szCs w:val="24"/>
        </w:rPr>
        <w:t>ted</w:t>
      </w:r>
      <w:r w:rsidR="00C01AA9" w:rsidRPr="00DC4A8C">
        <w:rPr>
          <w:rFonts w:ascii="Arial" w:hAnsi="Arial" w:cs="Arial"/>
          <w:color w:val="000000" w:themeColor="text1"/>
          <w:sz w:val="24"/>
          <w:szCs w:val="24"/>
        </w:rPr>
        <w:t xml:space="preserve"> land</w:t>
      </w:r>
      <w:r w:rsidR="00B97662" w:rsidRPr="00DC4A8C">
        <w:rPr>
          <w:rFonts w:ascii="Arial" w:hAnsi="Arial" w:cs="Arial"/>
          <w:color w:val="000000" w:themeColor="text1"/>
          <w:sz w:val="24"/>
          <w:szCs w:val="24"/>
        </w:rPr>
        <w:t xml:space="preserve">, </w:t>
      </w:r>
      <w:r w:rsidR="007030CB" w:rsidRPr="00DC4A8C">
        <w:rPr>
          <w:rFonts w:ascii="Arial" w:hAnsi="Arial" w:cs="Arial"/>
          <w:color w:val="000000" w:themeColor="text1"/>
          <w:sz w:val="24"/>
          <w:szCs w:val="24"/>
        </w:rPr>
        <w:t xml:space="preserve">the outcome is </w:t>
      </w:r>
      <w:r w:rsidR="0074192D" w:rsidRPr="00DC4A8C">
        <w:rPr>
          <w:rFonts w:ascii="Arial" w:hAnsi="Arial" w:cs="Arial"/>
          <w:color w:val="000000" w:themeColor="text1"/>
          <w:sz w:val="24"/>
          <w:szCs w:val="24"/>
        </w:rPr>
        <w:t>no different of that</w:t>
      </w:r>
      <w:r w:rsidR="007030CB" w:rsidRPr="00DC4A8C">
        <w:rPr>
          <w:rFonts w:ascii="Arial" w:hAnsi="Arial" w:cs="Arial"/>
          <w:color w:val="000000" w:themeColor="text1"/>
          <w:sz w:val="24"/>
          <w:szCs w:val="24"/>
        </w:rPr>
        <w:t xml:space="preserve"> of a personal licen</w:t>
      </w:r>
      <w:r w:rsidR="00521FA6" w:rsidRPr="00DC4A8C">
        <w:rPr>
          <w:rFonts w:ascii="Arial" w:hAnsi="Arial" w:cs="Arial"/>
          <w:color w:val="000000" w:themeColor="text1"/>
          <w:sz w:val="24"/>
          <w:szCs w:val="24"/>
        </w:rPr>
        <w:t>ce</w:t>
      </w:r>
      <w:r w:rsidR="00811A04" w:rsidRPr="00DC4A8C">
        <w:rPr>
          <w:rFonts w:ascii="Arial" w:hAnsi="Arial" w:cs="Arial"/>
          <w:color w:val="000000" w:themeColor="text1"/>
          <w:sz w:val="24"/>
          <w:szCs w:val="24"/>
        </w:rPr>
        <w:t xml:space="preserve"> </w:t>
      </w:r>
      <w:r w:rsidR="00C56B09" w:rsidRPr="00DC4A8C">
        <w:rPr>
          <w:rFonts w:ascii="Arial" w:hAnsi="Arial" w:cs="Arial"/>
          <w:color w:val="000000" w:themeColor="text1"/>
          <w:sz w:val="24"/>
          <w:szCs w:val="24"/>
        </w:rPr>
        <w:t>(Kloek, 1944, pp.242).</w:t>
      </w:r>
    </w:p>
    <w:p w14:paraId="2BBC5D5D" w14:textId="240B120B" w:rsidR="00E769D6" w:rsidRPr="00AF4230" w:rsidRDefault="000D5BA6" w:rsidP="00F75AD0">
      <w:pPr>
        <w:spacing w:line="480" w:lineRule="auto"/>
        <w:jc w:val="both"/>
        <w:rPr>
          <w:rFonts w:ascii="Arial" w:hAnsi="Arial" w:cs="Arial"/>
          <w:color w:val="000000" w:themeColor="text1"/>
          <w:sz w:val="24"/>
          <w:szCs w:val="24"/>
        </w:rPr>
      </w:pPr>
      <w:r w:rsidRPr="00DC4A8C">
        <w:rPr>
          <w:rFonts w:ascii="Arial" w:hAnsi="Arial" w:cs="Arial"/>
          <w:color w:val="000000" w:themeColor="text1"/>
          <w:sz w:val="24"/>
          <w:szCs w:val="24"/>
        </w:rPr>
        <w:t>The dominan</w:t>
      </w:r>
      <w:r w:rsidR="00493C46" w:rsidRPr="00DC4A8C">
        <w:rPr>
          <w:rFonts w:ascii="Arial" w:hAnsi="Arial" w:cs="Arial"/>
          <w:color w:val="000000" w:themeColor="text1"/>
          <w:sz w:val="24"/>
          <w:szCs w:val="24"/>
        </w:rPr>
        <w:t xml:space="preserve">t and servient tenements must be identifiable at the time of the </w:t>
      </w:r>
      <w:r w:rsidR="00811A04" w:rsidRPr="00DC4A8C">
        <w:rPr>
          <w:rFonts w:ascii="Arial" w:hAnsi="Arial" w:cs="Arial"/>
          <w:color w:val="000000" w:themeColor="text1"/>
          <w:sz w:val="24"/>
          <w:szCs w:val="24"/>
        </w:rPr>
        <w:t>grant; London</w:t>
      </w:r>
      <w:r w:rsidR="00C839DB" w:rsidRPr="00DC4A8C">
        <w:rPr>
          <w:rFonts w:ascii="Arial" w:hAnsi="Arial" w:cs="Arial"/>
          <w:i/>
          <w:iCs/>
          <w:color w:val="000000" w:themeColor="text1"/>
          <w:sz w:val="24"/>
          <w:szCs w:val="24"/>
        </w:rPr>
        <w:t xml:space="preserve"> &amp; Blenheim Estates v Ladbroke Retail Parks [1994]</w:t>
      </w:r>
      <w:r w:rsidR="00811A04" w:rsidRPr="00DC4A8C">
        <w:rPr>
          <w:rFonts w:ascii="Arial" w:hAnsi="Arial" w:cs="Arial"/>
          <w:i/>
          <w:iCs/>
          <w:color w:val="000000" w:themeColor="text1"/>
          <w:sz w:val="24"/>
          <w:szCs w:val="24"/>
        </w:rPr>
        <w:t xml:space="preserve"> </w:t>
      </w:r>
      <w:r w:rsidR="009E5A5D" w:rsidRPr="00DC4A8C">
        <w:rPr>
          <w:rFonts w:ascii="Arial" w:hAnsi="Arial" w:cs="Arial"/>
          <w:color w:val="000000" w:themeColor="text1"/>
          <w:sz w:val="24"/>
          <w:szCs w:val="24"/>
        </w:rPr>
        <w:t xml:space="preserve">or else </w:t>
      </w:r>
      <w:r w:rsidR="005971DC" w:rsidRPr="00DC4A8C">
        <w:rPr>
          <w:rFonts w:ascii="Arial" w:hAnsi="Arial" w:cs="Arial"/>
          <w:color w:val="000000" w:themeColor="text1"/>
          <w:sz w:val="24"/>
          <w:szCs w:val="24"/>
        </w:rPr>
        <w:t>an easement cannot exist as an incorporeal hereditament</w:t>
      </w:r>
      <w:r w:rsidR="0008678B" w:rsidRPr="00DC4A8C">
        <w:rPr>
          <w:rFonts w:ascii="Arial" w:hAnsi="Arial" w:cs="Arial"/>
          <w:color w:val="000000" w:themeColor="text1"/>
          <w:sz w:val="24"/>
          <w:szCs w:val="24"/>
        </w:rPr>
        <w:t xml:space="preserve">, </w:t>
      </w:r>
      <w:r w:rsidR="00950E19" w:rsidRPr="00DC4A8C">
        <w:rPr>
          <w:rFonts w:ascii="Arial" w:hAnsi="Arial" w:cs="Arial"/>
          <w:color w:val="000000" w:themeColor="text1"/>
          <w:sz w:val="24"/>
          <w:szCs w:val="24"/>
        </w:rPr>
        <w:t>which has been argued by Judge Paul Baker QC as being fatal to the creation of an easement</w:t>
      </w:r>
      <w:r w:rsidR="00541F99" w:rsidRPr="00541F99">
        <w:rPr>
          <w:rFonts w:ascii="Arial" w:hAnsi="Arial" w:cs="Arial"/>
          <w:color w:val="000000" w:themeColor="text1"/>
          <w:sz w:val="24"/>
          <w:szCs w:val="24"/>
        </w:rPr>
        <w:t xml:space="preserve"> </w:t>
      </w:r>
      <w:r w:rsidR="00541F99" w:rsidRPr="00DC4A8C">
        <w:rPr>
          <w:rFonts w:ascii="Arial" w:hAnsi="Arial" w:cs="Arial"/>
          <w:color w:val="000000" w:themeColor="text1"/>
          <w:sz w:val="24"/>
          <w:szCs w:val="24"/>
        </w:rPr>
        <w:t>(Bray, 2016, pp.289)</w:t>
      </w:r>
      <w:r w:rsidR="00541F99">
        <w:rPr>
          <w:rFonts w:ascii="Arial" w:hAnsi="Arial" w:cs="Arial"/>
          <w:color w:val="000000" w:themeColor="text1"/>
          <w:sz w:val="24"/>
          <w:szCs w:val="24"/>
        </w:rPr>
        <w:t>.</w:t>
      </w:r>
      <w:r w:rsidR="00950E19" w:rsidRPr="00DC4A8C">
        <w:rPr>
          <w:rFonts w:ascii="Arial" w:hAnsi="Arial" w:cs="Arial"/>
          <w:color w:val="000000" w:themeColor="text1"/>
          <w:sz w:val="24"/>
          <w:szCs w:val="24"/>
        </w:rPr>
        <w:t xml:space="preserve"> Additionally, </w:t>
      </w:r>
      <w:r w:rsidR="00DC33DB" w:rsidRPr="00DC4A8C">
        <w:rPr>
          <w:rFonts w:ascii="Arial" w:hAnsi="Arial" w:cs="Arial"/>
          <w:color w:val="000000" w:themeColor="text1"/>
          <w:sz w:val="24"/>
          <w:szCs w:val="24"/>
        </w:rPr>
        <w:t xml:space="preserve">an easement cannot exist in gross for the benefit of </w:t>
      </w:r>
      <w:r w:rsidR="00950E19" w:rsidRPr="00DC4A8C">
        <w:rPr>
          <w:rFonts w:ascii="Arial" w:hAnsi="Arial" w:cs="Arial"/>
          <w:color w:val="000000" w:themeColor="text1"/>
          <w:sz w:val="24"/>
          <w:szCs w:val="24"/>
        </w:rPr>
        <w:t xml:space="preserve">unidentifiable persons </w:t>
      </w:r>
      <w:r w:rsidR="00DC33DB" w:rsidRPr="00DC4A8C">
        <w:rPr>
          <w:rFonts w:ascii="Arial" w:hAnsi="Arial" w:cs="Arial"/>
          <w:color w:val="000000" w:themeColor="text1"/>
          <w:sz w:val="24"/>
          <w:szCs w:val="24"/>
        </w:rPr>
        <w:t xml:space="preserve">or groups </w:t>
      </w:r>
      <w:r w:rsidR="00BB4DC9" w:rsidRPr="00DC4A8C">
        <w:rPr>
          <w:rFonts w:ascii="Arial" w:hAnsi="Arial" w:cs="Arial"/>
          <w:color w:val="000000" w:themeColor="text1"/>
          <w:sz w:val="24"/>
          <w:szCs w:val="24"/>
        </w:rPr>
        <w:t xml:space="preserve">or </w:t>
      </w:r>
      <w:r w:rsidR="00A51C41" w:rsidRPr="00DC4A8C">
        <w:rPr>
          <w:rFonts w:ascii="Arial" w:hAnsi="Arial" w:cs="Arial"/>
          <w:color w:val="000000" w:themeColor="text1"/>
          <w:sz w:val="24"/>
          <w:szCs w:val="24"/>
        </w:rPr>
        <w:t>as</w:t>
      </w:r>
      <w:r w:rsidR="001D1A2C" w:rsidRPr="00DC4A8C">
        <w:rPr>
          <w:rFonts w:ascii="Arial" w:hAnsi="Arial" w:cs="Arial"/>
          <w:color w:val="000000" w:themeColor="text1"/>
          <w:sz w:val="24"/>
          <w:szCs w:val="24"/>
        </w:rPr>
        <w:t xml:space="preserve"> customers</w:t>
      </w:r>
      <w:r w:rsidR="00A51C41" w:rsidRPr="00DC4A8C">
        <w:rPr>
          <w:rFonts w:ascii="Arial" w:hAnsi="Arial" w:cs="Arial"/>
          <w:color w:val="000000" w:themeColor="text1"/>
          <w:sz w:val="24"/>
          <w:szCs w:val="24"/>
        </w:rPr>
        <w:t xml:space="preserve"> evidenced in </w:t>
      </w:r>
      <w:r w:rsidR="00A51C41" w:rsidRPr="00DC4A8C">
        <w:rPr>
          <w:rFonts w:ascii="Arial" w:hAnsi="Arial" w:cs="Arial"/>
          <w:i/>
          <w:iCs/>
          <w:color w:val="000000" w:themeColor="text1"/>
          <w:sz w:val="24"/>
          <w:szCs w:val="24"/>
        </w:rPr>
        <w:t>London &amp; Blenheim [1994]</w:t>
      </w:r>
      <w:r w:rsidR="0084398B" w:rsidRPr="00DC4A8C">
        <w:rPr>
          <w:rFonts w:ascii="Arial" w:hAnsi="Arial" w:cs="Arial"/>
          <w:color w:val="000000" w:themeColor="text1"/>
          <w:sz w:val="24"/>
          <w:szCs w:val="24"/>
        </w:rPr>
        <w:t xml:space="preserve"> </w:t>
      </w:r>
      <w:r w:rsidR="00AB1498">
        <w:rPr>
          <w:rFonts w:ascii="Arial" w:hAnsi="Arial" w:cs="Arial"/>
          <w:color w:val="000000" w:themeColor="text1"/>
          <w:sz w:val="24"/>
          <w:szCs w:val="24"/>
        </w:rPr>
        <w:t>d</w:t>
      </w:r>
      <w:r w:rsidR="001C4634">
        <w:rPr>
          <w:rFonts w:ascii="Arial" w:hAnsi="Arial" w:cs="Arial"/>
          <w:color w:val="000000" w:themeColor="text1"/>
          <w:sz w:val="24"/>
          <w:szCs w:val="24"/>
        </w:rPr>
        <w:t>ue to rights and liabilities applying to land, not persons</w:t>
      </w:r>
      <w:r w:rsidR="00991EEF">
        <w:rPr>
          <w:rFonts w:ascii="Arial" w:hAnsi="Arial" w:cs="Arial"/>
          <w:color w:val="000000" w:themeColor="text1"/>
          <w:sz w:val="24"/>
          <w:szCs w:val="24"/>
        </w:rPr>
        <w:t xml:space="preserve">; </w:t>
      </w:r>
      <w:r w:rsidR="00991EEF">
        <w:rPr>
          <w:rFonts w:ascii="Arial" w:hAnsi="Arial" w:cs="Arial"/>
          <w:i/>
          <w:iCs/>
          <w:color w:val="000000" w:themeColor="text1"/>
          <w:sz w:val="24"/>
          <w:szCs w:val="24"/>
        </w:rPr>
        <w:t>Banstead Downs Golf Club v Customs Excise Comrs [</w:t>
      </w:r>
      <w:r w:rsidR="008031EB">
        <w:rPr>
          <w:rFonts w:ascii="Arial" w:hAnsi="Arial" w:cs="Arial"/>
          <w:i/>
          <w:iCs/>
          <w:color w:val="000000" w:themeColor="text1"/>
          <w:sz w:val="24"/>
          <w:szCs w:val="24"/>
        </w:rPr>
        <w:t xml:space="preserve">1974] </w:t>
      </w:r>
      <w:r w:rsidR="008031EB">
        <w:rPr>
          <w:rFonts w:ascii="Arial" w:hAnsi="Arial" w:cs="Arial"/>
          <w:color w:val="000000" w:themeColor="text1"/>
          <w:sz w:val="24"/>
          <w:szCs w:val="24"/>
        </w:rPr>
        <w:t>(Gray and Gray, 2011, pp.237).</w:t>
      </w:r>
    </w:p>
    <w:p w14:paraId="1CF05C83" w14:textId="77777777" w:rsidR="00AF4230" w:rsidRPr="0014471C" w:rsidRDefault="00AF4230" w:rsidP="00F75AD0">
      <w:pPr>
        <w:spacing w:line="480" w:lineRule="auto"/>
        <w:jc w:val="both"/>
        <w:rPr>
          <w:rFonts w:ascii="Arial" w:hAnsi="Arial" w:cs="Arial"/>
          <w:i/>
          <w:iCs/>
          <w:color w:val="000000" w:themeColor="text1"/>
          <w:sz w:val="24"/>
          <w:szCs w:val="24"/>
        </w:rPr>
      </w:pPr>
    </w:p>
    <w:p w14:paraId="58F9B2E4" w14:textId="5DA2A266" w:rsidR="00E52F54" w:rsidRPr="0014471C" w:rsidRDefault="00644191" w:rsidP="00484D21">
      <w:pPr>
        <w:spacing w:line="480" w:lineRule="auto"/>
        <w:jc w:val="both"/>
        <w:rPr>
          <w:rFonts w:ascii="Arial" w:hAnsi="Arial" w:cs="Arial"/>
          <w:color w:val="000000" w:themeColor="text1"/>
          <w:sz w:val="24"/>
          <w:szCs w:val="24"/>
        </w:rPr>
      </w:pPr>
      <w:r w:rsidRPr="0014471C">
        <w:rPr>
          <w:rFonts w:ascii="Arial" w:hAnsi="Arial" w:cs="Arial"/>
          <w:color w:val="000000" w:themeColor="text1"/>
          <w:sz w:val="24"/>
          <w:szCs w:val="24"/>
        </w:rPr>
        <w:t>A</w:t>
      </w:r>
      <w:r w:rsidR="00743733" w:rsidRPr="0014471C">
        <w:rPr>
          <w:rFonts w:ascii="Arial" w:hAnsi="Arial" w:cs="Arial"/>
          <w:color w:val="000000" w:themeColor="text1"/>
          <w:sz w:val="24"/>
          <w:szCs w:val="24"/>
        </w:rPr>
        <w:t>n easement must ‘accom</w:t>
      </w:r>
      <w:r w:rsidR="004A28A3" w:rsidRPr="0014471C">
        <w:rPr>
          <w:rFonts w:ascii="Arial" w:hAnsi="Arial" w:cs="Arial"/>
          <w:color w:val="000000" w:themeColor="text1"/>
          <w:sz w:val="24"/>
          <w:szCs w:val="24"/>
        </w:rPr>
        <w:t>m</w:t>
      </w:r>
      <w:r w:rsidR="00743733" w:rsidRPr="0014471C">
        <w:rPr>
          <w:rFonts w:ascii="Arial" w:hAnsi="Arial" w:cs="Arial"/>
          <w:color w:val="000000" w:themeColor="text1"/>
          <w:sz w:val="24"/>
          <w:szCs w:val="24"/>
        </w:rPr>
        <w:t xml:space="preserve">odate’ </w:t>
      </w:r>
      <w:r w:rsidR="004A28A3" w:rsidRPr="0014471C">
        <w:rPr>
          <w:rFonts w:ascii="Arial" w:hAnsi="Arial" w:cs="Arial"/>
          <w:color w:val="000000" w:themeColor="text1"/>
          <w:sz w:val="24"/>
          <w:szCs w:val="24"/>
        </w:rPr>
        <w:t>the dominant tenement</w:t>
      </w:r>
      <w:r w:rsidR="008E690B" w:rsidRPr="0014471C">
        <w:rPr>
          <w:rFonts w:ascii="Arial" w:hAnsi="Arial" w:cs="Arial"/>
          <w:color w:val="000000" w:themeColor="text1"/>
          <w:sz w:val="24"/>
          <w:szCs w:val="24"/>
        </w:rPr>
        <w:t xml:space="preserve"> therefore, </w:t>
      </w:r>
      <w:r w:rsidR="00075346" w:rsidRPr="0014471C">
        <w:rPr>
          <w:rFonts w:ascii="Arial" w:hAnsi="Arial" w:cs="Arial"/>
          <w:color w:val="000000" w:themeColor="text1"/>
          <w:sz w:val="24"/>
          <w:szCs w:val="24"/>
        </w:rPr>
        <w:t>the right must be of significant benefit on the dominant land</w:t>
      </w:r>
      <w:r w:rsidR="001C6999" w:rsidRPr="0014471C">
        <w:rPr>
          <w:rFonts w:ascii="Arial" w:hAnsi="Arial" w:cs="Arial"/>
          <w:color w:val="000000" w:themeColor="text1"/>
          <w:sz w:val="24"/>
          <w:szCs w:val="24"/>
        </w:rPr>
        <w:t xml:space="preserve"> </w:t>
      </w:r>
      <w:r w:rsidR="00C94063" w:rsidRPr="0014471C">
        <w:rPr>
          <w:rFonts w:ascii="Arial" w:hAnsi="Arial" w:cs="Arial"/>
          <w:color w:val="000000" w:themeColor="text1"/>
          <w:sz w:val="24"/>
          <w:szCs w:val="24"/>
        </w:rPr>
        <w:t xml:space="preserve">making it </w:t>
      </w:r>
      <w:r w:rsidR="00BC29D7" w:rsidRPr="0014471C">
        <w:rPr>
          <w:rFonts w:ascii="Arial" w:hAnsi="Arial" w:cs="Arial"/>
          <w:color w:val="000000" w:themeColor="text1"/>
          <w:sz w:val="24"/>
          <w:szCs w:val="24"/>
        </w:rPr>
        <w:t>a more convenient property</w:t>
      </w:r>
      <w:r w:rsidR="00727F0B" w:rsidRPr="0014471C">
        <w:rPr>
          <w:rFonts w:ascii="Arial" w:hAnsi="Arial" w:cs="Arial"/>
          <w:color w:val="000000" w:themeColor="text1"/>
          <w:sz w:val="24"/>
          <w:szCs w:val="24"/>
        </w:rPr>
        <w:t xml:space="preserve"> </w:t>
      </w:r>
      <w:r w:rsidR="00D4182C" w:rsidRPr="0014471C">
        <w:rPr>
          <w:rFonts w:ascii="Arial" w:hAnsi="Arial" w:cs="Arial"/>
          <w:color w:val="000000" w:themeColor="text1"/>
          <w:sz w:val="24"/>
          <w:szCs w:val="24"/>
        </w:rPr>
        <w:t>for all future owners</w:t>
      </w:r>
      <w:r w:rsidR="00F60A28">
        <w:rPr>
          <w:rFonts w:ascii="Arial" w:hAnsi="Arial" w:cs="Arial"/>
          <w:color w:val="000000" w:themeColor="text1"/>
          <w:sz w:val="24"/>
          <w:szCs w:val="24"/>
        </w:rPr>
        <w:t>. Thus</w:t>
      </w:r>
      <w:r w:rsidR="000E692B">
        <w:rPr>
          <w:rFonts w:ascii="Arial" w:hAnsi="Arial" w:cs="Arial"/>
          <w:color w:val="000000" w:themeColor="text1"/>
          <w:sz w:val="24"/>
          <w:szCs w:val="24"/>
        </w:rPr>
        <w:t>,</w:t>
      </w:r>
      <w:r w:rsidR="00D4182C" w:rsidRPr="0014471C">
        <w:rPr>
          <w:rFonts w:ascii="Arial" w:hAnsi="Arial" w:cs="Arial"/>
          <w:color w:val="000000" w:themeColor="text1"/>
          <w:sz w:val="24"/>
          <w:szCs w:val="24"/>
        </w:rPr>
        <w:t xml:space="preserve"> </w:t>
      </w:r>
      <w:r w:rsidR="00EC15CE" w:rsidRPr="0014471C">
        <w:rPr>
          <w:rFonts w:ascii="Arial" w:hAnsi="Arial" w:cs="Arial"/>
          <w:color w:val="000000" w:themeColor="text1"/>
          <w:sz w:val="24"/>
          <w:szCs w:val="24"/>
        </w:rPr>
        <w:t>increasing the normal enjoyment of the land</w:t>
      </w:r>
      <w:r w:rsidR="00BD15D9">
        <w:rPr>
          <w:rFonts w:ascii="Arial" w:hAnsi="Arial" w:cs="Arial"/>
          <w:color w:val="000000" w:themeColor="text1"/>
          <w:sz w:val="24"/>
          <w:szCs w:val="24"/>
        </w:rPr>
        <w:t>,</w:t>
      </w:r>
      <w:r w:rsidR="00EC15CE" w:rsidRPr="0014471C">
        <w:rPr>
          <w:rFonts w:ascii="Arial" w:hAnsi="Arial" w:cs="Arial"/>
          <w:color w:val="000000" w:themeColor="text1"/>
          <w:sz w:val="24"/>
          <w:szCs w:val="24"/>
        </w:rPr>
        <w:t xml:space="preserve"> </w:t>
      </w:r>
      <w:r w:rsidR="00997DA4" w:rsidRPr="0014471C">
        <w:rPr>
          <w:rFonts w:ascii="Arial" w:hAnsi="Arial" w:cs="Arial"/>
          <w:color w:val="000000" w:themeColor="text1"/>
          <w:sz w:val="24"/>
          <w:szCs w:val="24"/>
        </w:rPr>
        <w:t xml:space="preserve">rather than confer </w:t>
      </w:r>
      <w:r w:rsidR="00641B61" w:rsidRPr="0014471C">
        <w:rPr>
          <w:rFonts w:ascii="Arial" w:hAnsi="Arial" w:cs="Arial"/>
          <w:color w:val="000000" w:themeColor="text1"/>
          <w:sz w:val="24"/>
          <w:szCs w:val="24"/>
        </w:rPr>
        <w:t>a mere offering of personal advantage to the current owner</w:t>
      </w:r>
      <w:r w:rsidR="00563AC3" w:rsidRPr="0014471C">
        <w:rPr>
          <w:rFonts w:ascii="Arial" w:hAnsi="Arial" w:cs="Arial"/>
          <w:color w:val="000000" w:themeColor="text1"/>
          <w:sz w:val="24"/>
          <w:szCs w:val="24"/>
        </w:rPr>
        <w:t xml:space="preserve"> (</w:t>
      </w:r>
      <w:r w:rsidR="006E50CF" w:rsidRPr="0014471C">
        <w:rPr>
          <w:rFonts w:ascii="Arial" w:hAnsi="Arial" w:cs="Arial"/>
          <w:color w:val="000000" w:themeColor="text1"/>
          <w:sz w:val="24"/>
          <w:szCs w:val="24"/>
        </w:rPr>
        <w:t>Davi</w:t>
      </w:r>
      <w:r w:rsidR="004C0B65" w:rsidRPr="0014471C">
        <w:rPr>
          <w:rFonts w:ascii="Arial" w:hAnsi="Arial" w:cs="Arial"/>
          <w:color w:val="000000" w:themeColor="text1"/>
          <w:sz w:val="24"/>
          <w:szCs w:val="24"/>
        </w:rPr>
        <w:t>es and Taggart, 2021</w:t>
      </w:r>
      <w:r w:rsidR="00563AC3" w:rsidRPr="0014471C">
        <w:rPr>
          <w:rFonts w:ascii="Arial" w:hAnsi="Arial" w:cs="Arial"/>
          <w:color w:val="000000" w:themeColor="text1"/>
          <w:sz w:val="24"/>
          <w:szCs w:val="24"/>
        </w:rPr>
        <w:t>)</w:t>
      </w:r>
      <w:r w:rsidR="00641B61" w:rsidRPr="0014471C">
        <w:rPr>
          <w:rFonts w:ascii="Arial" w:hAnsi="Arial" w:cs="Arial"/>
          <w:color w:val="000000" w:themeColor="text1"/>
          <w:sz w:val="24"/>
          <w:szCs w:val="24"/>
        </w:rPr>
        <w:t>.</w:t>
      </w:r>
      <w:r w:rsidR="009A52EA" w:rsidRPr="0014471C">
        <w:rPr>
          <w:rFonts w:ascii="Arial" w:hAnsi="Arial" w:cs="Arial"/>
          <w:color w:val="000000" w:themeColor="text1"/>
          <w:sz w:val="24"/>
          <w:szCs w:val="24"/>
        </w:rPr>
        <w:t xml:space="preserve"> </w:t>
      </w:r>
      <w:r w:rsidR="00C80363" w:rsidRPr="0014471C">
        <w:rPr>
          <w:rFonts w:ascii="Arial" w:hAnsi="Arial" w:cs="Arial"/>
          <w:color w:val="000000" w:themeColor="text1"/>
          <w:sz w:val="24"/>
          <w:szCs w:val="24"/>
        </w:rPr>
        <w:t xml:space="preserve">However, </w:t>
      </w:r>
      <w:r w:rsidR="000E692B">
        <w:rPr>
          <w:rFonts w:ascii="Arial" w:hAnsi="Arial" w:cs="Arial"/>
          <w:color w:val="000000" w:themeColor="text1"/>
          <w:sz w:val="24"/>
          <w:szCs w:val="24"/>
        </w:rPr>
        <w:t xml:space="preserve">this has been </w:t>
      </w:r>
      <w:r w:rsidR="00D96D61" w:rsidRPr="0014471C">
        <w:rPr>
          <w:rFonts w:ascii="Arial" w:hAnsi="Arial" w:cs="Arial"/>
          <w:color w:val="000000" w:themeColor="text1"/>
          <w:sz w:val="24"/>
          <w:szCs w:val="24"/>
        </w:rPr>
        <w:t>argued as</w:t>
      </w:r>
      <w:r w:rsidR="000E692B">
        <w:rPr>
          <w:rFonts w:ascii="Arial" w:hAnsi="Arial" w:cs="Arial"/>
          <w:color w:val="000000" w:themeColor="text1"/>
          <w:sz w:val="24"/>
          <w:szCs w:val="24"/>
        </w:rPr>
        <w:t xml:space="preserve"> being</w:t>
      </w:r>
      <w:r w:rsidR="00D96D61" w:rsidRPr="0014471C">
        <w:rPr>
          <w:rFonts w:ascii="Arial" w:hAnsi="Arial" w:cs="Arial"/>
          <w:color w:val="000000" w:themeColor="text1"/>
          <w:sz w:val="24"/>
          <w:szCs w:val="24"/>
        </w:rPr>
        <w:t xml:space="preserve"> somewhat illusive since</w:t>
      </w:r>
      <w:r w:rsidR="00A25296" w:rsidRPr="0014471C">
        <w:rPr>
          <w:rFonts w:ascii="Arial" w:hAnsi="Arial" w:cs="Arial"/>
          <w:color w:val="000000" w:themeColor="text1"/>
          <w:sz w:val="24"/>
          <w:szCs w:val="24"/>
        </w:rPr>
        <w:t xml:space="preserve"> benefits are </w:t>
      </w:r>
      <w:r w:rsidR="0005025B" w:rsidRPr="0014471C">
        <w:rPr>
          <w:rFonts w:ascii="Arial" w:hAnsi="Arial" w:cs="Arial"/>
          <w:color w:val="000000" w:themeColor="text1"/>
          <w:sz w:val="24"/>
          <w:szCs w:val="24"/>
        </w:rPr>
        <w:t>essentially</w:t>
      </w:r>
      <w:r w:rsidR="00D41C1E" w:rsidRPr="0014471C">
        <w:rPr>
          <w:rFonts w:ascii="Arial" w:hAnsi="Arial" w:cs="Arial"/>
          <w:color w:val="000000" w:themeColor="text1"/>
          <w:sz w:val="24"/>
          <w:szCs w:val="24"/>
        </w:rPr>
        <w:t xml:space="preserve"> enjoyable by people and not land</w:t>
      </w:r>
      <w:r w:rsidR="00D96D61" w:rsidRPr="0014471C">
        <w:rPr>
          <w:rFonts w:ascii="Arial" w:hAnsi="Arial" w:cs="Arial"/>
          <w:color w:val="000000" w:themeColor="text1"/>
          <w:sz w:val="24"/>
          <w:szCs w:val="24"/>
        </w:rPr>
        <w:t xml:space="preserve"> </w:t>
      </w:r>
      <w:r w:rsidR="00A25296" w:rsidRPr="0014471C">
        <w:rPr>
          <w:rFonts w:ascii="Arial" w:hAnsi="Arial" w:cs="Arial"/>
          <w:color w:val="000000" w:themeColor="text1"/>
          <w:sz w:val="24"/>
          <w:szCs w:val="24"/>
        </w:rPr>
        <w:t>(</w:t>
      </w:r>
      <w:r w:rsidR="00D41C1E" w:rsidRPr="0014471C">
        <w:rPr>
          <w:rFonts w:ascii="Arial" w:hAnsi="Arial" w:cs="Arial"/>
          <w:color w:val="000000" w:themeColor="text1"/>
          <w:sz w:val="24"/>
          <w:szCs w:val="24"/>
        </w:rPr>
        <w:t>Gray and Gray, 2011, pp.</w:t>
      </w:r>
      <w:r w:rsidR="00E52F54" w:rsidRPr="0014471C">
        <w:rPr>
          <w:rFonts w:ascii="Arial" w:hAnsi="Arial" w:cs="Arial"/>
          <w:color w:val="000000" w:themeColor="text1"/>
          <w:sz w:val="24"/>
          <w:szCs w:val="24"/>
        </w:rPr>
        <w:t>237</w:t>
      </w:r>
      <w:r w:rsidR="00A25296" w:rsidRPr="0014471C">
        <w:rPr>
          <w:rFonts w:ascii="Arial" w:hAnsi="Arial" w:cs="Arial"/>
          <w:color w:val="000000" w:themeColor="text1"/>
          <w:sz w:val="24"/>
          <w:szCs w:val="24"/>
        </w:rPr>
        <w:t xml:space="preserve">). </w:t>
      </w:r>
    </w:p>
    <w:p w14:paraId="439D3DA1" w14:textId="75E03FA1" w:rsidR="00B30B42" w:rsidRPr="0014471C" w:rsidRDefault="008A4E4E" w:rsidP="003375A2">
      <w:pPr>
        <w:spacing w:line="480" w:lineRule="auto"/>
        <w:jc w:val="both"/>
        <w:rPr>
          <w:rFonts w:ascii="Arial" w:hAnsi="Arial" w:cs="Arial"/>
          <w:color w:val="000000" w:themeColor="text1"/>
          <w:sz w:val="24"/>
          <w:szCs w:val="24"/>
        </w:rPr>
      </w:pPr>
      <w:r w:rsidRPr="0014471C">
        <w:rPr>
          <w:rFonts w:ascii="Arial" w:hAnsi="Arial" w:cs="Arial"/>
          <w:color w:val="000000" w:themeColor="text1"/>
          <w:sz w:val="24"/>
          <w:szCs w:val="24"/>
        </w:rPr>
        <w:t xml:space="preserve">Complications arise </w:t>
      </w:r>
      <w:r w:rsidR="00AE4050" w:rsidRPr="0014471C">
        <w:rPr>
          <w:rFonts w:ascii="Arial" w:hAnsi="Arial" w:cs="Arial"/>
          <w:color w:val="000000" w:themeColor="text1"/>
          <w:sz w:val="24"/>
          <w:szCs w:val="24"/>
        </w:rPr>
        <w:t>when the advantage to the dominant tenement is attached to</w:t>
      </w:r>
      <w:r w:rsidR="00DF5428" w:rsidRPr="0014471C">
        <w:rPr>
          <w:rFonts w:ascii="Arial" w:hAnsi="Arial" w:cs="Arial"/>
          <w:color w:val="000000" w:themeColor="text1"/>
          <w:sz w:val="24"/>
          <w:szCs w:val="24"/>
        </w:rPr>
        <w:t xml:space="preserve"> the benefit of</w:t>
      </w:r>
      <w:r w:rsidR="00AE4050" w:rsidRPr="0014471C">
        <w:rPr>
          <w:rFonts w:ascii="Arial" w:hAnsi="Arial" w:cs="Arial"/>
          <w:color w:val="000000" w:themeColor="text1"/>
          <w:sz w:val="24"/>
          <w:szCs w:val="24"/>
        </w:rPr>
        <w:t xml:space="preserve"> a business</w:t>
      </w:r>
      <w:r w:rsidR="00A6696B" w:rsidRPr="0014471C">
        <w:rPr>
          <w:rFonts w:ascii="Arial" w:hAnsi="Arial" w:cs="Arial"/>
          <w:color w:val="000000" w:themeColor="text1"/>
          <w:sz w:val="24"/>
          <w:szCs w:val="24"/>
        </w:rPr>
        <w:t xml:space="preserve"> </w:t>
      </w:r>
      <w:r w:rsidR="0069538B" w:rsidRPr="0014471C">
        <w:rPr>
          <w:rFonts w:ascii="Arial" w:hAnsi="Arial" w:cs="Arial"/>
          <w:color w:val="000000" w:themeColor="text1"/>
          <w:sz w:val="24"/>
          <w:szCs w:val="24"/>
        </w:rPr>
        <w:t xml:space="preserve">which </w:t>
      </w:r>
      <w:r w:rsidR="00C935C1" w:rsidRPr="0014471C">
        <w:rPr>
          <w:rFonts w:ascii="Arial" w:hAnsi="Arial" w:cs="Arial"/>
          <w:color w:val="000000" w:themeColor="text1"/>
          <w:sz w:val="24"/>
          <w:szCs w:val="24"/>
        </w:rPr>
        <w:t xml:space="preserve">could be argued as </w:t>
      </w:r>
      <w:r w:rsidR="006D5494" w:rsidRPr="0014471C">
        <w:rPr>
          <w:rFonts w:ascii="Arial" w:hAnsi="Arial" w:cs="Arial"/>
          <w:color w:val="000000" w:themeColor="text1"/>
          <w:sz w:val="24"/>
          <w:szCs w:val="24"/>
        </w:rPr>
        <w:t>beneficial</w:t>
      </w:r>
      <w:r w:rsidR="00C935C1" w:rsidRPr="0014471C">
        <w:rPr>
          <w:rFonts w:ascii="Arial" w:hAnsi="Arial" w:cs="Arial"/>
          <w:color w:val="000000" w:themeColor="text1"/>
          <w:sz w:val="24"/>
          <w:szCs w:val="24"/>
        </w:rPr>
        <w:t xml:space="preserve"> to</w:t>
      </w:r>
      <w:r w:rsidR="0069538B" w:rsidRPr="0014471C">
        <w:rPr>
          <w:rFonts w:ascii="Arial" w:hAnsi="Arial" w:cs="Arial"/>
          <w:color w:val="000000" w:themeColor="text1"/>
          <w:sz w:val="24"/>
          <w:szCs w:val="24"/>
        </w:rPr>
        <w:t xml:space="preserve"> an individual rather than </w:t>
      </w:r>
      <w:r w:rsidR="00C935C1" w:rsidRPr="0014471C">
        <w:rPr>
          <w:rFonts w:ascii="Arial" w:hAnsi="Arial" w:cs="Arial"/>
          <w:color w:val="000000" w:themeColor="text1"/>
          <w:sz w:val="24"/>
          <w:szCs w:val="24"/>
        </w:rPr>
        <w:lastRenderedPageBreak/>
        <w:t>benefi</w:t>
      </w:r>
      <w:r w:rsidR="006D5494" w:rsidRPr="0014471C">
        <w:rPr>
          <w:rFonts w:ascii="Arial" w:hAnsi="Arial" w:cs="Arial"/>
          <w:color w:val="000000" w:themeColor="text1"/>
          <w:sz w:val="24"/>
          <w:szCs w:val="24"/>
        </w:rPr>
        <w:t>cial to</w:t>
      </w:r>
      <w:r w:rsidR="00C935C1" w:rsidRPr="0014471C">
        <w:rPr>
          <w:rFonts w:ascii="Arial" w:hAnsi="Arial" w:cs="Arial"/>
          <w:color w:val="000000" w:themeColor="text1"/>
          <w:sz w:val="24"/>
          <w:szCs w:val="24"/>
        </w:rPr>
        <w:t xml:space="preserve"> </w:t>
      </w:r>
      <w:r w:rsidR="001C440C" w:rsidRPr="0014471C">
        <w:rPr>
          <w:rFonts w:ascii="Arial" w:hAnsi="Arial" w:cs="Arial"/>
          <w:color w:val="000000" w:themeColor="text1"/>
          <w:sz w:val="24"/>
          <w:szCs w:val="24"/>
        </w:rPr>
        <w:t>the land</w:t>
      </w:r>
      <w:r w:rsidR="006D5494" w:rsidRPr="0014471C">
        <w:rPr>
          <w:rFonts w:ascii="Arial" w:hAnsi="Arial" w:cs="Arial"/>
          <w:color w:val="000000" w:themeColor="text1"/>
          <w:sz w:val="24"/>
          <w:szCs w:val="24"/>
        </w:rPr>
        <w:t xml:space="preserve"> </w:t>
      </w:r>
      <w:r w:rsidR="006E107C" w:rsidRPr="0014471C">
        <w:rPr>
          <w:rFonts w:ascii="Arial" w:hAnsi="Arial" w:cs="Arial"/>
          <w:color w:val="000000" w:themeColor="text1"/>
          <w:sz w:val="24"/>
          <w:szCs w:val="24"/>
        </w:rPr>
        <w:t>(Bray, 2016, pp.290).</w:t>
      </w:r>
      <w:r w:rsidR="00E01635" w:rsidRPr="0014471C">
        <w:rPr>
          <w:rFonts w:ascii="Arial" w:hAnsi="Arial" w:cs="Arial"/>
          <w:color w:val="000000" w:themeColor="text1"/>
          <w:sz w:val="24"/>
          <w:szCs w:val="24"/>
        </w:rPr>
        <w:t xml:space="preserve"> Such easements </w:t>
      </w:r>
      <w:r w:rsidR="00AD3763" w:rsidRPr="0014471C">
        <w:rPr>
          <w:rFonts w:ascii="Arial" w:hAnsi="Arial" w:cs="Arial"/>
          <w:color w:val="000000" w:themeColor="text1"/>
          <w:sz w:val="24"/>
          <w:szCs w:val="24"/>
        </w:rPr>
        <w:t>are seldom</w:t>
      </w:r>
      <w:r w:rsidR="0027318C" w:rsidRPr="0014471C">
        <w:rPr>
          <w:rFonts w:ascii="Arial" w:hAnsi="Arial" w:cs="Arial"/>
          <w:color w:val="000000" w:themeColor="text1"/>
          <w:sz w:val="24"/>
          <w:szCs w:val="24"/>
        </w:rPr>
        <w:t xml:space="preserve"> recognised</w:t>
      </w:r>
      <w:r w:rsidR="00CC61E2">
        <w:rPr>
          <w:rFonts w:ascii="Arial" w:hAnsi="Arial" w:cs="Arial"/>
          <w:color w:val="000000" w:themeColor="text1"/>
          <w:sz w:val="24"/>
          <w:szCs w:val="24"/>
        </w:rPr>
        <w:t>.</w:t>
      </w:r>
      <w:r w:rsidR="0027318C" w:rsidRPr="0014471C">
        <w:rPr>
          <w:rFonts w:ascii="Arial" w:hAnsi="Arial" w:cs="Arial"/>
          <w:color w:val="000000" w:themeColor="text1"/>
          <w:sz w:val="24"/>
          <w:szCs w:val="24"/>
        </w:rPr>
        <w:t xml:space="preserve"> </w:t>
      </w:r>
      <w:r w:rsidR="00C30ECE" w:rsidRPr="0014471C">
        <w:rPr>
          <w:rFonts w:ascii="Arial" w:hAnsi="Arial" w:cs="Arial"/>
          <w:i/>
          <w:iCs/>
          <w:color w:val="000000" w:themeColor="text1"/>
          <w:sz w:val="24"/>
          <w:szCs w:val="24"/>
        </w:rPr>
        <w:t>Hill v Tupper [1883]</w:t>
      </w:r>
      <w:r w:rsidR="007942AC" w:rsidRPr="0014471C">
        <w:rPr>
          <w:rFonts w:ascii="Arial" w:hAnsi="Arial" w:cs="Arial"/>
          <w:i/>
          <w:iCs/>
          <w:color w:val="000000" w:themeColor="text1"/>
          <w:sz w:val="24"/>
          <w:szCs w:val="24"/>
        </w:rPr>
        <w:t xml:space="preserve"> </w:t>
      </w:r>
      <w:r w:rsidR="00327BA8" w:rsidRPr="0014471C">
        <w:rPr>
          <w:rFonts w:ascii="Arial" w:hAnsi="Arial" w:cs="Arial"/>
          <w:color w:val="000000" w:themeColor="text1"/>
          <w:sz w:val="24"/>
          <w:szCs w:val="24"/>
        </w:rPr>
        <w:t xml:space="preserve">is an example </w:t>
      </w:r>
      <w:r w:rsidR="00C3208B" w:rsidRPr="0014471C">
        <w:rPr>
          <w:rFonts w:ascii="Arial" w:hAnsi="Arial" w:cs="Arial"/>
          <w:color w:val="000000" w:themeColor="text1"/>
          <w:sz w:val="24"/>
          <w:szCs w:val="24"/>
        </w:rPr>
        <w:t xml:space="preserve">where </w:t>
      </w:r>
      <w:r w:rsidR="00564D6E" w:rsidRPr="0014471C">
        <w:rPr>
          <w:rFonts w:ascii="Arial" w:hAnsi="Arial" w:cs="Arial"/>
          <w:color w:val="000000" w:themeColor="text1"/>
          <w:sz w:val="24"/>
          <w:szCs w:val="24"/>
        </w:rPr>
        <w:t xml:space="preserve">the judgement </w:t>
      </w:r>
      <w:r w:rsidR="005A64AB" w:rsidRPr="0014471C">
        <w:rPr>
          <w:rFonts w:ascii="Arial" w:hAnsi="Arial" w:cs="Arial"/>
          <w:color w:val="000000" w:themeColor="text1"/>
          <w:sz w:val="24"/>
          <w:szCs w:val="24"/>
        </w:rPr>
        <w:t xml:space="preserve">found that a monopoly </w:t>
      </w:r>
      <w:r w:rsidR="00763651" w:rsidRPr="0014471C">
        <w:rPr>
          <w:rFonts w:ascii="Arial" w:hAnsi="Arial" w:cs="Arial"/>
          <w:color w:val="000000" w:themeColor="text1"/>
          <w:sz w:val="24"/>
          <w:szCs w:val="24"/>
        </w:rPr>
        <w:t xml:space="preserve">with no connection </w:t>
      </w:r>
      <w:r w:rsidR="00DA2B33" w:rsidRPr="0014471C">
        <w:rPr>
          <w:rFonts w:ascii="Arial" w:hAnsi="Arial" w:cs="Arial"/>
          <w:color w:val="000000" w:themeColor="text1"/>
          <w:sz w:val="24"/>
          <w:szCs w:val="24"/>
        </w:rPr>
        <w:t xml:space="preserve">to the land was </w:t>
      </w:r>
      <w:r w:rsidR="00702FD1" w:rsidRPr="0014471C">
        <w:rPr>
          <w:rFonts w:ascii="Arial" w:hAnsi="Arial" w:cs="Arial"/>
          <w:color w:val="000000" w:themeColor="text1"/>
          <w:sz w:val="24"/>
          <w:szCs w:val="24"/>
        </w:rPr>
        <w:t>i</w:t>
      </w:r>
      <w:r w:rsidR="006250F5" w:rsidRPr="0014471C">
        <w:rPr>
          <w:rFonts w:ascii="Arial" w:hAnsi="Arial" w:cs="Arial"/>
          <w:color w:val="000000" w:themeColor="text1"/>
          <w:sz w:val="24"/>
          <w:szCs w:val="24"/>
        </w:rPr>
        <w:t xml:space="preserve">n fact </w:t>
      </w:r>
      <w:r w:rsidR="009A029E" w:rsidRPr="0014471C">
        <w:rPr>
          <w:rFonts w:ascii="Arial" w:hAnsi="Arial" w:cs="Arial"/>
          <w:color w:val="000000" w:themeColor="text1"/>
          <w:sz w:val="24"/>
          <w:szCs w:val="24"/>
        </w:rPr>
        <w:t xml:space="preserve">deemed </w:t>
      </w:r>
      <w:r w:rsidR="000E18BB" w:rsidRPr="0014471C">
        <w:rPr>
          <w:rFonts w:ascii="Arial" w:hAnsi="Arial" w:cs="Arial"/>
          <w:color w:val="000000" w:themeColor="text1"/>
          <w:sz w:val="24"/>
          <w:szCs w:val="24"/>
        </w:rPr>
        <w:t xml:space="preserve">to confer a mere commercial advantage rather than </w:t>
      </w:r>
      <w:r w:rsidR="00706469" w:rsidRPr="0014471C">
        <w:rPr>
          <w:rFonts w:ascii="Arial" w:hAnsi="Arial" w:cs="Arial"/>
          <w:color w:val="000000" w:themeColor="text1"/>
          <w:sz w:val="24"/>
          <w:szCs w:val="24"/>
        </w:rPr>
        <w:t>benefit the dominant land</w:t>
      </w:r>
      <w:r w:rsidR="00C3208B" w:rsidRPr="0014471C">
        <w:rPr>
          <w:rFonts w:ascii="Arial" w:hAnsi="Arial" w:cs="Arial"/>
          <w:color w:val="000000" w:themeColor="text1"/>
          <w:sz w:val="24"/>
          <w:szCs w:val="24"/>
        </w:rPr>
        <w:t>,</w:t>
      </w:r>
      <w:r w:rsidR="00F0777D" w:rsidRPr="0014471C">
        <w:rPr>
          <w:rFonts w:ascii="Arial" w:hAnsi="Arial" w:cs="Arial"/>
          <w:color w:val="000000" w:themeColor="text1"/>
          <w:sz w:val="24"/>
          <w:szCs w:val="24"/>
        </w:rPr>
        <w:t xml:space="preserve"> </w:t>
      </w:r>
      <w:r w:rsidR="000173B8" w:rsidRPr="0014471C">
        <w:rPr>
          <w:rFonts w:ascii="Arial" w:hAnsi="Arial" w:cs="Arial"/>
          <w:color w:val="000000" w:themeColor="text1"/>
          <w:sz w:val="24"/>
          <w:szCs w:val="24"/>
        </w:rPr>
        <w:t>reiterating</w:t>
      </w:r>
      <w:r w:rsidR="00F0777D" w:rsidRPr="0014471C">
        <w:rPr>
          <w:rFonts w:ascii="Arial" w:hAnsi="Arial" w:cs="Arial"/>
          <w:color w:val="000000" w:themeColor="text1"/>
          <w:sz w:val="24"/>
          <w:szCs w:val="24"/>
        </w:rPr>
        <w:t xml:space="preserve"> the </w:t>
      </w:r>
      <w:r w:rsidR="00E22731" w:rsidRPr="0014471C">
        <w:rPr>
          <w:rFonts w:ascii="Arial" w:hAnsi="Arial" w:cs="Arial"/>
          <w:color w:val="000000" w:themeColor="text1"/>
          <w:sz w:val="24"/>
          <w:szCs w:val="24"/>
        </w:rPr>
        <w:t xml:space="preserve">advantage cannot be </w:t>
      </w:r>
      <w:r w:rsidR="00DA33C0" w:rsidRPr="0014471C">
        <w:rPr>
          <w:rFonts w:ascii="Arial" w:hAnsi="Arial" w:cs="Arial"/>
          <w:color w:val="000000" w:themeColor="text1"/>
          <w:sz w:val="24"/>
          <w:szCs w:val="24"/>
        </w:rPr>
        <w:t>a</w:t>
      </w:r>
      <w:r w:rsidR="00252850" w:rsidRPr="0014471C">
        <w:rPr>
          <w:rFonts w:ascii="Arial" w:hAnsi="Arial" w:cs="Arial"/>
          <w:color w:val="000000" w:themeColor="text1"/>
          <w:sz w:val="24"/>
          <w:szCs w:val="24"/>
        </w:rPr>
        <w:t xml:space="preserve"> wholly personal one</w:t>
      </w:r>
      <w:r w:rsidR="0079464D" w:rsidRPr="0014471C">
        <w:rPr>
          <w:rFonts w:ascii="Arial" w:hAnsi="Arial" w:cs="Arial"/>
          <w:color w:val="000000" w:themeColor="text1"/>
          <w:sz w:val="24"/>
          <w:szCs w:val="24"/>
        </w:rPr>
        <w:t xml:space="preserve"> (Sayles, 2020, pp.</w:t>
      </w:r>
      <w:r w:rsidR="000B43BE" w:rsidRPr="0014471C">
        <w:rPr>
          <w:rFonts w:ascii="Arial" w:hAnsi="Arial" w:cs="Arial"/>
          <w:color w:val="000000" w:themeColor="text1"/>
          <w:sz w:val="24"/>
          <w:szCs w:val="24"/>
        </w:rPr>
        <w:t>182, 198</w:t>
      </w:r>
      <w:r w:rsidR="0079464D" w:rsidRPr="0014471C">
        <w:rPr>
          <w:rFonts w:ascii="Arial" w:hAnsi="Arial" w:cs="Arial"/>
          <w:color w:val="000000" w:themeColor="text1"/>
          <w:sz w:val="24"/>
          <w:szCs w:val="24"/>
        </w:rPr>
        <w:t>)</w:t>
      </w:r>
      <w:r w:rsidR="00C3208B" w:rsidRPr="0014471C">
        <w:rPr>
          <w:rFonts w:ascii="Arial" w:hAnsi="Arial" w:cs="Arial"/>
          <w:color w:val="000000" w:themeColor="text1"/>
          <w:sz w:val="24"/>
          <w:szCs w:val="24"/>
        </w:rPr>
        <w:t xml:space="preserve">. </w:t>
      </w:r>
    </w:p>
    <w:p w14:paraId="6C4ED49F" w14:textId="70468624" w:rsidR="00612815" w:rsidRPr="0014471C" w:rsidRDefault="009F05B6" w:rsidP="003375A2">
      <w:pPr>
        <w:spacing w:line="480" w:lineRule="auto"/>
        <w:jc w:val="both"/>
        <w:rPr>
          <w:rFonts w:ascii="Arial" w:hAnsi="Arial" w:cs="Arial"/>
          <w:color w:val="000000" w:themeColor="text1"/>
          <w:sz w:val="24"/>
          <w:szCs w:val="24"/>
        </w:rPr>
      </w:pPr>
      <w:r w:rsidRPr="0014471C">
        <w:rPr>
          <w:rFonts w:ascii="Arial" w:hAnsi="Arial" w:cs="Arial"/>
          <w:color w:val="000000" w:themeColor="text1"/>
          <w:sz w:val="24"/>
          <w:szCs w:val="24"/>
        </w:rPr>
        <w:t>In contrast</w:t>
      </w:r>
      <w:r w:rsidR="00585224" w:rsidRPr="0014471C">
        <w:rPr>
          <w:rFonts w:ascii="Arial" w:hAnsi="Arial" w:cs="Arial"/>
          <w:color w:val="000000" w:themeColor="text1"/>
          <w:sz w:val="24"/>
          <w:szCs w:val="24"/>
        </w:rPr>
        <w:t xml:space="preserve">, </w:t>
      </w:r>
      <w:r w:rsidR="00C30ECE" w:rsidRPr="0014471C">
        <w:rPr>
          <w:rFonts w:ascii="Arial" w:hAnsi="Arial" w:cs="Arial"/>
          <w:i/>
          <w:iCs/>
          <w:color w:val="000000" w:themeColor="text1"/>
          <w:sz w:val="24"/>
          <w:szCs w:val="24"/>
        </w:rPr>
        <w:t xml:space="preserve">Moody v Steggles [1879] </w:t>
      </w:r>
      <w:r w:rsidR="00585224" w:rsidRPr="0014471C">
        <w:rPr>
          <w:rFonts w:ascii="Arial" w:hAnsi="Arial" w:cs="Arial"/>
          <w:color w:val="000000" w:themeColor="text1"/>
          <w:sz w:val="24"/>
          <w:szCs w:val="24"/>
        </w:rPr>
        <w:t xml:space="preserve">found that </w:t>
      </w:r>
      <w:r w:rsidR="00895240" w:rsidRPr="0014471C">
        <w:rPr>
          <w:rFonts w:ascii="Arial" w:hAnsi="Arial" w:cs="Arial"/>
          <w:color w:val="000000" w:themeColor="text1"/>
          <w:sz w:val="24"/>
          <w:szCs w:val="24"/>
        </w:rPr>
        <w:t>where a right confers a commercial benefit</w:t>
      </w:r>
      <w:r w:rsidR="00CF0709" w:rsidRPr="0014471C">
        <w:rPr>
          <w:rFonts w:ascii="Arial" w:hAnsi="Arial" w:cs="Arial"/>
          <w:color w:val="000000" w:themeColor="text1"/>
          <w:sz w:val="24"/>
          <w:szCs w:val="24"/>
        </w:rPr>
        <w:t>,</w:t>
      </w:r>
      <w:r w:rsidR="00895240" w:rsidRPr="0014471C">
        <w:rPr>
          <w:rFonts w:ascii="Arial" w:hAnsi="Arial" w:cs="Arial"/>
          <w:color w:val="000000" w:themeColor="text1"/>
          <w:sz w:val="24"/>
          <w:szCs w:val="24"/>
        </w:rPr>
        <w:t xml:space="preserve"> </w:t>
      </w:r>
      <w:r w:rsidR="009D1624" w:rsidRPr="0014471C">
        <w:rPr>
          <w:rFonts w:ascii="Arial" w:hAnsi="Arial" w:cs="Arial"/>
          <w:color w:val="000000" w:themeColor="text1"/>
          <w:sz w:val="24"/>
          <w:szCs w:val="24"/>
        </w:rPr>
        <w:t xml:space="preserve">an easement may not necessarily be overlooked </w:t>
      </w:r>
      <w:r w:rsidR="00FF016D" w:rsidRPr="0014471C">
        <w:rPr>
          <w:rFonts w:ascii="Arial" w:hAnsi="Arial" w:cs="Arial"/>
          <w:color w:val="000000" w:themeColor="text1"/>
          <w:sz w:val="24"/>
          <w:szCs w:val="24"/>
        </w:rPr>
        <w:t xml:space="preserve">if </w:t>
      </w:r>
      <w:r w:rsidR="007C4E5C" w:rsidRPr="0014471C">
        <w:rPr>
          <w:rFonts w:ascii="Arial" w:hAnsi="Arial" w:cs="Arial"/>
          <w:color w:val="000000" w:themeColor="text1"/>
          <w:sz w:val="24"/>
          <w:szCs w:val="24"/>
        </w:rPr>
        <w:t xml:space="preserve">the commercial advantage </w:t>
      </w:r>
      <w:r w:rsidR="00995FA3" w:rsidRPr="0014471C">
        <w:rPr>
          <w:rFonts w:ascii="Arial" w:hAnsi="Arial" w:cs="Arial"/>
          <w:color w:val="000000" w:themeColor="text1"/>
          <w:sz w:val="24"/>
          <w:szCs w:val="24"/>
        </w:rPr>
        <w:t xml:space="preserve">due to its interlinked relationship </w:t>
      </w:r>
      <w:r w:rsidR="00932789" w:rsidRPr="0014471C">
        <w:rPr>
          <w:rFonts w:ascii="Arial" w:hAnsi="Arial" w:cs="Arial"/>
          <w:color w:val="000000" w:themeColor="text1"/>
          <w:sz w:val="24"/>
          <w:szCs w:val="24"/>
        </w:rPr>
        <w:t>not only benefits the business</w:t>
      </w:r>
      <w:r w:rsidR="004F21FD" w:rsidRPr="0014471C">
        <w:rPr>
          <w:rFonts w:ascii="Arial" w:hAnsi="Arial" w:cs="Arial"/>
          <w:color w:val="000000" w:themeColor="text1"/>
          <w:sz w:val="24"/>
          <w:szCs w:val="24"/>
        </w:rPr>
        <w:t>,</w:t>
      </w:r>
      <w:r w:rsidR="00932789" w:rsidRPr="0014471C">
        <w:rPr>
          <w:rFonts w:ascii="Arial" w:hAnsi="Arial" w:cs="Arial"/>
          <w:color w:val="000000" w:themeColor="text1"/>
          <w:sz w:val="24"/>
          <w:szCs w:val="24"/>
        </w:rPr>
        <w:t xml:space="preserve"> but </w:t>
      </w:r>
      <w:r w:rsidR="00897848" w:rsidRPr="0014471C">
        <w:rPr>
          <w:rFonts w:ascii="Arial" w:hAnsi="Arial" w:cs="Arial"/>
          <w:color w:val="000000" w:themeColor="text1"/>
          <w:sz w:val="24"/>
          <w:szCs w:val="24"/>
        </w:rPr>
        <w:t>can be seen to directly benefit the land</w:t>
      </w:r>
      <w:r w:rsidR="00B007F9" w:rsidRPr="0014471C">
        <w:rPr>
          <w:rFonts w:ascii="Arial" w:hAnsi="Arial" w:cs="Arial"/>
          <w:color w:val="000000" w:themeColor="text1"/>
          <w:sz w:val="24"/>
          <w:szCs w:val="24"/>
        </w:rPr>
        <w:t xml:space="preserve"> </w:t>
      </w:r>
      <w:r w:rsidR="00BC7D89" w:rsidRPr="0014471C">
        <w:rPr>
          <w:rFonts w:ascii="Arial" w:hAnsi="Arial" w:cs="Arial"/>
          <w:color w:val="000000" w:themeColor="text1"/>
          <w:sz w:val="24"/>
          <w:szCs w:val="24"/>
        </w:rPr>
        <w:t>and its subsequent</w:t>
      </w:r>
      <w:r w:rsidR="00B007F9" w:rsidRPr="0014471C">
        <w:rPr>
          <w:rFonts w:ascii="Arial" w:hAnsi="Arial" w:cs="Arial"/>
          <w:color w:val="000000" w:themeColor="text1"/>
          <w:sz w:val="24"/>
          <w:szCs w:val="24"/>
        </w:rPr>
        <w:t xml:space="preserve"> marketability</w:t>
      </w:r>
      <w:r w:rsidR="00F447B4" w:rsidRPr="0014471C">
        <w:rPr>
          <w:rFonts w:ascii="Arial" w:hAnsi="Arial" w:cs="Arial"/>
          <w:color w:val="000000" w:themeColor="text1"/>
          <w:sz w:val="24"/>
          <w:szCs w:val="24"/>
        </w:rPr>
        <w:t xml:space="preserve"> (Bray, 2016, pp.</w:t>
      </w:r>
      <w:r w:rsidR="00E852BE" w:rsidRPr="0014471C">
        <w:rPr>
          <w:rFonts w:ascii="Arial" w:hAnsi="Arial" w:cs="Arial"/>
          <w:color w:val="000000" w:themeColor="text1"/>
          <w:sz w:val="24"/>
          <w:szCs w:val="24"/>
        </w:rPr>
        <w:t>290</w:t>
      </w:r>
      <w:r w:rsidR="00F447B4" w:rsidRPr="0014471C">
        <w:rPr>
          <w:rFonts w:ascii="Arial" w:hAnsi="Arial" w:cs="Arial"/>
          <w:color w:val="000000" w:themeColor="text1"/>
          <w:sz w:val="24"/>
          <w:szCs w:val="24"/>
        </w:rPr>
        <w:t>)</w:t>
      </w:r>
      <w:r w:rsidR="00927C2E" w:rsidRPr="0014471C">
        <w:rPr>
          <w:rFonts w:ascii="Arial" w:hAnsi="Arial" w:cs="Arial"/>
          <w:color w:val="000000" w:themeColor="text1"/>
          <w:sz w:val="24"/>
          <w:szCs w:val="24"/>
        </w:rPr>
        <w:t>.</w:t>
      </w:r>
      <w:r w:rsidR="00612815" w:rsidRPr="0014471C">
        <w:rPr>
          <w:rFonts w:ascii="Arial" w:hAnsi="Arial" w:cs="Arial"/>
          <w:color w:val="000000" w:themeColor="text1"/>
          <w:sz w:val="24"/>
          <w:szCs w:val="24"/>
        </w:rPr>
        <w:t xml:space="preserve"> </w:t>
      </w:r>
      <w:r w:rsidR="00BA50CE" w:rsidRPr="0014471C">
        <w:rPr>
          <w:rFonts w:ascii="Arial" w:hAnsi="Arial" w:cs="Arial"/>
          <w:color w:val="000000" w:themeColor="text1"/>
          <w:sz w:val="24"/>
          <w:szCs w:val="24"/>
        </w:rPr>
        <w:t xml:space="preserve">Although, </w:t>
      </w:r>
      <w:r w:rsidR="00C30ECE" w:rsidRPr="0014471C">
        <w:rPr>
          <w:rFonts w:ascii="Arial" w:hAnsi="Arial" w:cs="Arial"/>
          <w:i/>
          <w:iCs/>
          <w:color w:val="000000" w:themeColor="text1"/>
          <w:sz w:val="24"/>
          <w:szCs w:val="24"/>
        </w:rPr>
        <w:t>Re Webb’s Lease [1951]</w:t>
      </w:r>
      <w:r w:rsidR="00BA50CE" w:rsidRPr="0014471C">
        <w:rPr>
          <w:rFonts w:ascii="Arial" w:hAnsi="Arial" w:cs="Arial"/>
          <w:i/>
          <w:iCs/>
          <w:color w:val="000000" w:themeColor="text1"/>
          <w:sz w:val="24"/>
          <w:szCs w:val="24"/>
        </w:rPr>
        <w:t xml:space="preserve"> </w:t>
      </w:r>
      <w:r w:rsidR="00BA50CE" w:rsidRPr="0014471C">
        <w:rPr>
          <w:rFonts w:ascii="Arial" w:hAnsi="Arial" w:cs="Arial"/>
          <w:color w:val="000000" w:themeColor="text1"/>
          <w:sz w:val="24"/>
          <w:szCs w:val="24"/>
        </w:rPr>
        <w:t>contradicts this principle</w:t>
      </w:r>
      <w:r w:rsidR="001762A6" w:rsidRPr="0014471C">
        <w:rPr>
          <w:rFonts w:ascii="Arial" w:hAnsi="Arial" w:cs="Arial"/>
          <w:color w:val="000000" w:themeColor="text1"/>
          <w:sz w:val="24"/>
          <w:szCs w:val="24"/>
        </w:rPr>
        <w:t xml:space="preserve"> </w:t>
      </w:r>
      <w:r w:rsidR="00013F8B" w:rsidRPr="0014471C">
        <w:rPr>
          <w:rFonts w:ascii="Arial" w:hAnsi="Arial" w:cs="Arial"/>
          <w:color w:val="000000" w:themeColor="text1"/>
          <w:sz w:val="24"/>
          <w:szCs w:val="24"/>
        </w:rPr>
        <w:t xml:space="preserve">as well </w:t>
      </w:r>
      <w:r w:rsidR="00867714" w:rsidRPr="0014471C">
        <w:rPr>
          <w:rFonts w:ascii="Arial" w:hAnsi="Arial" w:cs="Arial"/>
          <w:color w:val="000000" w:themeColor="text1"/>
          <w:sz w:val="24"/>
          <w:szCs w:val="24"/>
        </w:rPr>
        <w:t xml:space="preserve">as the right of signage </w:t>
      </w:r>
      <w:r w:rsidR="001762A6" w:rsidRPr="0014471C">
        <w:rPr>
          <w:rFonts w:ascii="Arial" w:hAnsi="Arial" w:cs="Arial"/>
          <w:color w:val="000000" w:themeColor="text1"/>
          <w:sz w:val="24"/>
          <w:szCs w:val="24"/>
        </w:rPr>
        <w:t>whereby</w:t>
      </w:r>
      <w:r w:rsidR="00612815" w:rsidRPr="0014471C">
        <w:rPr>
          <w:rFonts w:ascii="Arial" w:hAnsi="Arial" w:cs="Arial"/>
          <w:color w:val="000000" w:themeColor="text1"/>
          <w:sz w:val="24"/>
          <w:szCs w:val="24"/>
        </w:rPr>
        <w:t xml:space="preserve"> </w:t>
      </w:r>
      <w:r w:rsidR="00347283" w:rsidRPr="0014471C">
        <w:rPr>
          <w:rFonts w:ascii="Arial" w:hAnsi="Arial" w:cs="Arial"/>
          <w:color w:val="000000" w:themeColor="text1"/>
          <w:sz w:val="24"/>
          <w:szCs w:val="24"/>
        </w:rPr>
        <w:t xml:space="preserve">an advertisement was found to be of no benefit to the dominant tenement </w:t>
      </w:r>
      <w:r w:rsidR="006B0C8D" w:rsidRPr="0014471C">
        <w:rPr>
          <w:rFonts w:ascii="Arial" w:hAnsi="Arial" w:cs="Arial"/>
          <w:color w:val="000000" w:themeColor="text1"/>
          <w:sz w:val="24"/>
          <w:szCs w:val="24"/>
        </w:rPr>
        <w:t>and therefore</w:t>
      </w:r>
      <w:r w:rsidR="00347283" w:rsidRPr="0014471C">
        <w:rPr>
          <w:rFonts w:ascii="Arial" w:hAnsi="Arial" w:cs="Arial"/>
          <w:color w:val="000000" w:themeColor="text1"/>
          <w:sz w:val="24"/>
          <w:szCs w:val="24"/>
        </w:rPr>
        <w:t>,</w:t>
      </w:r>
      <w:r w:rsidR="006B0C8D" w:rsidRPr="0014471C">
        <w:rPr>
          <w:rFonts w:ascii="Arial" w:hAnsi="Arial" w:cs="Arial"/>
          <w:color w:val="000000" w:themeColor="text1"/>
          <w:sz w:val="24"/>
          <w:szCs w:val="24"/>
        </w:rPr>
        <w:t xml:space="preserve"> was </w:t>
      </w:r>
      <w:r w:rsidR="00B758E5" w:rsidRPr="0014471C">
        <w:rPr>
          <w:rFonts w:ascii="Arial" w:hAnsi="Arial" w:cs="Arial"/>
          <w:color w:val="000000" w:themeColor="text1"/>
          <w:sz w:val="24"/>
          <w:szCs w:val="24"/>
        </w:rPr>
        <w:t xml:space="preserve">not </w:t>
      </w:r>
      <w:r w:rsidR="00D82D39" w:rsidRPr="0014471C">
        <w:rPr>
          <w:rFonts w:ascii="Arial" w:hAnsi="Arial" w:cs="Arial"/>
          <w:color w:val="000000" w:themeColor="text1"/>
          <w:sz w:val="24"/>
          <w:szCs w:val="24"/>
        </w:rPr>
        <w:t>held to be an easement</w:t>
      </w:r>
      <w:r w:rsidR="006F498E" w:rsidRPr="0014471C">
        <w:rPr>
          <w:rFonts w:ascii="Arial" w:hAnsi="Arial" w:cs="Arial"/>
          <w:color w:val="000000" w:themeColor="text1"/>
          <w:sz w:val="24"/>
          <w:szCs w:val="24"/>
        </w:rPr>
        <w:t xml:space="preserve"> </w:t>
      </w:r>
      <w:r w:rsidR="000B43BE" w:rsidRPr="0014471C">
        <w:rPr>
          <w:rFonts w:ascii="Arial" w:hAnsi="Arial" w:cs="Arial"/>
          <w:color w:val="000000" w:themeColor="text1"/>
          <w:sz w:val="24"/>
          <w:szCs w:val="24"/>
        </w:rPr>
        <w:t>(</w:t>
      </w:r>
      <w:r w:rsidR="006E2111" w:rsidRPr="0014471C">
        <w:rPr>
          <w:rFonts w:ascii="Arial" w:hAnsi="Arial" w:cs="Arial"/>
          <w:color w:val="000000" w:themeColor="text1"/>
          <w:sz w:val="24"/>
          <w:szCs w:val="24"/>
        </w:rPr>
        <w:t>Richards, 2014, pp.434</w:t>
      </w:r>
      <w:r w:rsidR="000B43BE" w:rsidRPr="0014471C">
        <w:rPr>
          <w:rFonts w:ascii="Arial" w:hAnsi="Arial" w:cs="Arial"/>
          <w:color w:val="000000" w:themeColor="text1"/>
          <w:sz w:val="24"/>
          <w:szCs w:val="24"/>
        </w:rPr>
        <w:t>).</w:t>
      </w:r>
    </w:p>
    <w:p w14:paraId="01A37A5E" w14:textId="368F35FC" w:rsidR="00C31DE2" w:rsidRPr="0014471C" w:rsidRDefault="00C31DE2" w:rsidP="003375A2">
      <w:pPr>
        <w:spacing w:line="480" w:lineRule="auto"/>
        <w:jc w:val="both"/>
        <w:rPr>
          <w:rFonts w:ascii="Arial" w:hAnsi="Arial" w:cs="Arial"/>
          <w:color w:val="000000" w:themeColor="text1"/>
          <w:sz w:val="24"/>
          <w:szCs w:val="24"/>
        </w:rPr>
      </w:pPr>
    </w:p>
    <w:p w14:paraId="0FE57348" w14:textId="1AD8E0A6" w:rsidR="009B2974" w:rsidRPr="0014471C" w:rsidRDefault="007B453D" w:rsidP="003E1E80">
      <w:pPr>
        <w:spacing w:line="480" w:lineRule="auto"/>
        <w:jc w:val="both"/>
        <w:rPr>
          <w:rFonts w:ascii="Arial" w:hAnsi="Arial" w:cs="Arial"/>
          <w:color w:val="000000" w:themeColor="text1"/>
          <w:sz w:val="24"/>
          <w:szCs w:val="24"/>
        </w:rPr>
      </w:pPr>
      <w:r w:rsidRPr="0014471C">
        <w:rPr>
          <w:rFonts w:ascii="Arial" w:hAnsi="Arial" w:cs="Arial"/>
          <w:color w:val="000000" w:themeColor="text1"/>
          <w:sz w:val="24"/>
          <w:szCs w:val="24"/>
        </w:rPr>
        <w:t>A</w:t>
      </w:r>
      <w:r w:rsidR="005B4E1B" w:rsidRPr="0014471C">
        <w:rPr>
          <w:rFonts w:ascii="Arial" w:hAnsi="Arial" w:cs="Arial"/>
          <w:color w:val="000000" w:themeColor="text1"/>
          <w:sz w:val="24"/>
          <w:szCs w:val="24"/>
        </w:rPr>
        <w:t xml:space="preserve">nother key issue </w:t>
      </w:r>
      <w:r w:rsidR="0097068B" w:rsidRPr="0014471C">
        <w:rPr>
          <w:rFonts w:ascii="Arial" w:hAnsi="Arial" w:cs="Arial"/>
          <w:color w:val="000000" w:themeColor="text1"/>
          <w:sz w:val="24"/>
          <w:szCs w:val="24"/>
        </w:rPr>
        <w:t xml:space="preserve">is </w:t>
      </w:r>
      <w:r w:rsidR="00314D86" w:rsidRPr="0014471C">
        <w:rPr>
          <w:rFonts w:ascii="Arial" w:hAnsi="Arial" w:cs="Arial"/>
          <w:color w:val="000000" w:themeColor="text1"/>
          <w:sz w:val="24"/>
          <w:szCs w:val="24"/>
        </w:rPr>
        <w:t xml:space="preserve">whether a </w:t>
      </w:r>
      <w:r w:rsidR="0097068B" w:rsidRPr="0014471C">
        <w:rPr>
          <w:rFonts w:ascii="Arial" w:hAnsi="Arial" w:cs="Arial"/>
          <w:color w:val="000000" w:themeColor="text1"/>
          <w:sz w:val="24"/>
          <w:szCs w:val="24"/>
        </w:rPr>
        <w:t xml:space="preserve">purely </w:t>
      </w:r>
      <w:r w:rsidR="00314D86" w:rsidRPr="0014471C">
        <w:rPr>
          <w:rFonts w:ascii="Arial" w:hAnsi="Arial" w:cs="Arial"/>
          <w:color w:val="000000" w:themeColor="text1"/>
          <w:sz w:val="24"/>
          <w:szCs w:val="24"/>
        </w:rPr>
        <w:t>recreational right exists as an easement</w:t>
      </w:r>
      <w:r w:rsidR="00D46043" w:rsidRPr="0014471C">
        <w:rPr>
          <w:rFonts w:ascii="Arial" w:hAnsi="Arial" w:cs="Arial"/>
          <w:color w:val="000000" w:themeColor="text1"/>
          <w:sz w:val="24"/>
          <w:szCs w:val="24"/>
        </w:rPr>
        <w:t>.</w:t>
      </w:r>
      <w:r w:rsidR="00314D86" w:rsidRPr="0014471C">
        <w:rPr>
          <w:rFonts w:ascii="Arial" w:hAnsi="Arial" w:cs="Arial"/>
          <w:color w:val="000000" w:themeColor="text1"/>
          <w:sz w:val="24"/>
          <w:szCs w:val="24"/>
        </w:rPr>
        <w:t xml:space="preserve"> </w:t>
      </w:r>
      <w:r w:rsidR="00EC0E67" w:rsidRPr="0014471C">
        <w:rPr>
          <w:rFonts w:ascii="Arial" w:hAnsi="Arial" w:cs="Arial"/>
          <w:color w:val="000000" w:themeColor="text1"/>
          <w:sz w:val="24"/>
          <w:szCs w:val="24"/>
        </w:rPr>
        <w:t>Historically</w:t>
      </w:r>
      <w:r w:rsidR="001A7F8C" w:rsidRPr="0014471C">
        <w:rPr>
          <w:rFonts w:ascii="Arial" w:hAnsi="Arial" w:cs="Arial"/>
          <w:color w:val="000000" w:themeColor="text1"/>
          <w:sz w:val="24"/>
          <w:szCs w:val="24"/>
        </w:rPr>
        <w:t>, the courts took a restricted view as to what was considered recreation</w:t>
      </w:r>
      <w:r w:rsidR="00347E01" w:rsidRPr="0014471C">
        <w:rPr>
          <w:rFonts w:ascii="Arial" w:hAnsi="Arial" w:cs="Arial"/>
          <w:color w:val="000000" w:themeColor="text1"/>
          <w:sz w:val="24"/>
          <w:szCs w:val="24"/>
        </w:rPr>
        <w:t xml:space="preserve"> </w:t>
      </w:r>
      <w:r w:rsidR="00483153" w:rsidRPr="0014471C">
        <w:rPr>
          <w:rFonts w:ascii="Arial" w:hAnsi="Arial" w:cs="Arial"/>
          <w:color w:val="000000" w:themeColor="text1"/>
          <w:sz w:val="24"/>
          <w:szCs w:val="24"/>
        </w:rPr>
        <w:t xml:space="preserve">suggesting that the right to walk was not </w:t>
      </w:r>
      <w:r w:rsidR="00CE1044" w:rsidRPr="0014471C">
        <w:rPr>
          <w:rFonts w:ascii="Arial" w:hAnsi="Arial" w:cs="Arial"/>
          <w:color w:val="000000" w:themeColor="text1"/>
          <w:sz w:val="24"/>
          <w:szCs w:val="24"/>
        </w:rPr>
        <w:t>sufficient</w:t>
      </w:r>
      <w:r w:rsidR="002E72C3" w:rsidRPr="0014471C">
        <w:rPr>
          <w:rFonts w:ascii="Arial" w:hAnsi="Arial" w:cs="Arial"/>
          <w:color w:val="000000" w:themeColor="text1"/>
          <w:sz w:val="24"/>
          <w:szCs w:val="24"/>
        </w:rPr>
        <w:t>;</w:t>
      </w:r>
      <w:r w:rsidR="00CE1044" w:rsidRPr="0014471C">
        <w:rPr>
          <w:rFonts w:ascii="Arial" w:hAnsi="Arial" w:cs="Arial"/>
          <w:color w:val="000000" w:themeColor="text1"/>
          <w:sz w:val="24"/>
          <w:szCs w:val="24"/>
        </w:rPr>
        <w:t xml:space="preserve"> </w:t>
      </w:r>
      <w:r w:rsidR="002E72C3" w:rsidRPr="0014471C">
        <w:rPr>
          <w:rFonts w:ascii="Arial" w:hAnsi="Arial" w:cs="Arial"/>
          <w:i/>
          <w:iCs/>
          <w:color w:val="000000" w:themeColor="text1"/>
          <w:sz w:val="24"/>
          <w:szCs w:val="24"/>
        </w:rPr>
        <w:t>International Tea Stores v Hobbs [1903]</w:t>
      </w:r>
      <w:r w:rsidR="007C6B52" w:rsidRPr="0014471C">
        <w:rPr>
          <w:rFonts w:ascii="Arial" w:hAnsi="Arial" w:cs="Arial"/>
          <w:i/>
          <w:iCs/>
          <w:color w:val="000000" w:themeColor="text1"/>
          <w:sz w:val="24"/>
          <w:szCs w:val="24"/>
        </w:rPr>
        <w:t xml:space="preserve">. </w:t>
      </w:r>
      <w:r w:rsidR="007C6B52" w:rsidRPr="0014471C">
        <w:rPr>
          <w:rFonts w:ascii="Arial" w:hAnsi="Arial" w:cs="Arial"/>
          <w:color w:val="000000" w:themeColor="text1"/>
          <w:sz w:val="24"/>
          <w:szCs w:val="24"/>
        </w:rPr>
        <w:t>W</w:t>
      </w:r>
      <w:r w:rsidR="00CE1044" w:rsidRPr="0014471C">
        <w:rPr>
          <w:rFonts w:ascii="Arial" w:hAnsi="Arial" w:cs="Arial"/>
          <w:color w:val="000000" w:themeColor="text1"/>
          <w:sz w:val="24"/>
          <w:szCs w:val="24"/>
        </w:rPr>
        <w:t>hereas</w:t>
      </w:r>
      <w:r w:rsidR="007C6B52" w:rsidRPr="0014471C">
        <w:rPr>
          <w:rFonts w:ascii="Arial" w:hAnsi="Arial" w:cs="Arial"/>
          <w:color w:val="000000" w:themeColor="text1"/>
          <w:sz w:val="24"/>
          <w:szCs w:val="24"/>
        </w:rPr>
        <w:t>,</w:t>
      </w:r>
      <w:r w:rsidR="00CE1044" w:rsidRPr="0014471C">
        <w:rPr>
          <w:rFonts w:ascii="Arial" w:hAnsi="Arial" w:cs="Arial"/>
          <w:color w:val="000000" w:themeColor="text1"/>
          <w:sz w:val="24"/>
          <w:szCs w:val="24"/>
        </w:rPr>
        <w:t xml:space="preserve"> </w:t>
      </w:r>
      <w:r w:rsidR="002E72C3" w:rsidRPr="0014471C">
        <w:rPr>
          <w:rFonts w:ascii="Arial" w:hAnsi="Arial" w:cs="Arial"/>
          <w:color w:val="000000" w:themeColor="text1"/>
          <w:sz w:val="24"/>
          <w:szCs w:val="24"/>
        </w:rPr>
        <w:t xml:space="preserve">in </w:t>
      </w:r>
      <w:r w:rsidR="00FF1291" w:rsidRPr="0014471C">
        <w:rPr>
          <w:rFonts w:ascii="Arial" w:hAnsi="Arial" w:cs="Arial"/>
          <w:i/>
          <w:iCs/>
          <w:color w:val="000000" w:themeColor="text1"/>
          <w:sz w:val="24"/>
          <w:szCs w:val="24"/>
        </w:rPr>
        <w:t>Re Ellenborough Parks [1956]</w:t>
      </w:r>
      <w:r w:rsidR="002E72C3" w:rsidRPr="0014471C">
        <w:rPr>
          <w:rFonts w:ascii="Arial" w:hAnsi="Arial" w:cs="Arial"/>
          <w:i/>
          <w:iCs/>
          <w:color w:val="000000" w:themeColor="text1"/>
          <w:sz w:val="24"/>
          <w:szCs w:val="24"/>
        </w:rPr>
        <w:t xml:space="preserve"> </w:t>
      </w:r>
      <w:r w:rsidR="007C6B52" w:rsidRPr="0014471C">
        <w:rPr>
          <w:rFonts w:ascii="Arial" w:hAnsi="Arial" w:cs="Arial"/>
          <w:color w:val="000000" w:themeColor="text1"/>
          <w:sz w:val="24"/>
          <w:szCs w:val="24"/>
        </w:rPr>
        <w:t>the right to</w:t>
      </w:r>
      <w:r w:rsidR="009B4314" w:rsidRPr="0014471C">
        <w:rPr>
          <w:rFonts w:ascii="Arial" w:hAnsi="Arial" w:cs="Arial"/>
          <w:color w:val="000000" w:themeColor="text1"/>
          <w:sz w:val="24"/>
          <w:szCs w:val="24"/>
        </w:rPr>
        <w:t xml:space="preserve"> use a communal garden </w:t>
      </w:r>
      <w:r w:rsidR="006844D0" w:rsidRPr="0014471C">
        <w:rPr>
          <w:rFonts w:ascii="Arial" w:hAnsi="Arial" w:cs="Arial"/>
          <w:color w:val="000000" w:themeColor="text1"/>
          <w:sz w:val="24"/>
          <w:szCs w:val="24"/>
        </w:rPr>
        <w:t xml:space="preserve">was held to be a valid easement as it was described as not merely </w:t>
      </w:r>
      <w:r w:rsidR="00C45EAC" w:rsidRPr="0014471C">
        <w:rPr>
          <w:rFonts w:ascii="Arial" w:hAnsi="Arial" w:cs="Arial"/>
          <w:color w:val="000000" w:themeColor="text1"/>
          <w:sz w:val="24"/>
          <w:szCs w:val="24"/>
        </w:rPr>
        <w:t xml:space="preserve">for recreation or amusement but of benefit to the </w:t>
      </w:r>
      <w:r w:rsidR="00CF4AC4" w:rsidRPr="0014471C">
        <w:rPr>
          <w:rFonts w:ascii="Arial" w:hAnsi="Arial" w:cs="Arial"/>
          <w:color w:val="000000" w:themeColor="text1"/>
          <w:sz w:val="24"/>
          <w:szCs w:val="24"/>
        </w:rPr>
        <w:t>houses adjoined</w:t>
      </w:r>
      <w:r w:rsidR="003F0EC8" w:rsidRPr="0014471C">
        <w:rPr>
          <w:rFonts w:ascii="Arial" w:hAnsi="Arial" w:cs="Arial"/>
          <w:color w:val="000000" w:themeColor="text1"/>
          <w:sz w:val="24"/>
          <w:szCs w:val="24"/>
        </w:rPr>
        <w:t xml:space="preserve">, similarly upheld in </w:t>
      </w:r>
      <w:r w:rsidR="00023053" w:rsidRPr="0014471C">
        <w:rPr>
          <w:rFonts w:ascii="Arial" w:hAnsi="Arial" w:cs="Arial"/>
          <w:i/>
          <w:iCs/>
          <w:color w:val="000000" w:themeColor="text1"/>
          <w:sz w:val="24"/>
          <w:szCs w:val="24"/>
        </w:rPr>
        <w:t>Mulvaney v Gough [2002]</w:t>
      </w:r>
      <w:r w:rsidR="00CF4AC4" w:rsidRPr="0014471C">
        <w:rPr>
          <w:rFonts w:ascii="Arial" w:hAnsi="Arial" w:cs="Arial"/>
          <w:color w:val="000000" w:themeColor="text1"/>
          <w:sz w:val="24"/>
          <w:szCs w:val="24"/>
        </w:rPr>
        <w:t xml:space="preserve"> </w:t>
      </w:r>
      <w:r w:rsidR="00B10B13" w:rsidRPr="0014471C">
        <w:rPr>
          <w:rFonts w:ascii="Arial" w:hAnsi="Arial" w:cs="Arial"/>
          <w:color w:val="000000" w:themeColor="text1"/>
          <w:sz w:val="24"/>
          <w:szCs w:val="24"/>
        </w:rPr>
        <w:t>(Richards, 2014, pp.</w:t>
      </w:r>
      <w:r w:rsidR="00466AB0" w:rsidRPr="0014471C">
        <w:rPr>
          <w:rFonts w:ascii="Arial" w:hAnsi="Arial" w:cs="Arial"/>
          <w:color w:val="000000" w:themeColor="text1"/>
          <w:sz w:val="24"/>
          <w:szCs w:val="24"/>
        </w:rPr>
        <w:t>435</w:t>
      </w:r>
      <w:r w:rsidR="000A3A3E" w:rsidRPr="0014471C">
        <w:rPr>
          <w:rFonts w:ascii="Arial" w:hAnsi="Arial" w:cs="Arial"/>
          <w:color w:val="000000" w:themeColor="text1"/>
          <w:sz w:val="24"/>
          <w:szCs w:val="24"/>
        </w:rPr>
        <w:t>-436</w:t>
      </w:r>
      <w:r w:rsidR="00B10B13" w:rsidRPr="0014471C">
        <w:rPr>
          <w:rFonts w:ascii="Arial" w:hAnsi="Arial" w:cs="Arial"/>
          <w:color w:val="000000" w:themeColor="text1"/>
          <w:sz w:val="24"/>
          <w:szCs w:val="24"/>
        </w:rPr>
        <w:t>).</w:t>
      </w:r>
      <w:r w:rsidR="000A3A3E" w:rsidRPr="0014471C">
        <w:rPr>
          <w:rFonts w:ascii="Arial" w:hAnsi="Arial" w:cs="Arial"/>
          <w:color w:val="000000" w:themeColor="text1"/>
          <w:sz w:val="24"/>
          <w:szCs w:val="24"/>
        </w:rPr>
        <w:t xml:space="preserve"> </w:t>
      </w:r>
      <w:r w:rsidR="009B2974" w:rsidRPr="0014471C">
        <w:rPr>
          <w:rFonts w:ascii="Arial" w:hAnsi="Arial" w:cs="Arial"/>
          <w:color w:val="000000" w:themeColor="text1"/>
          <w:sz w:val="24"/>
          <w:szCs w:val="24"/>
        </w:rPr>
        <w:t>More recently,</w:t>
      </w:r>
      <w:r w:rsidR="00642014" w:rsidRPr="0014471C">
        <w:rPr>
          <w:rFonts w:ascii="Arial" w:hAnsi="Arial" w:cs="Arial"/>
          <w:color w:val="000000" w:themeColor="text1"/>
          <w:sz w:val="24"/>
          <w:szCs w:val="24"/>
        </w:rPr>
        <w:t xml:space="preserve"> in</w:t>
      </w:r>
      <w:r w:rsidR="009B2974" w:rsidRPr="0014471C">
        <w:rPr>
          <w:rFonts w:ascii="Arial" w:hAnsi="Arial" w:cs="Arial"/>
          <w:color w:val="000000" w:themeColor="text1"/>
          <w:sz w:val="24"/>
          <w:szCs w:val="24"/>
        </w:rPr>
        <w:t xml:space="preserve"> </w:t>
      </w:r>
      <w:r w:rsidR="00FF1291" w:rsidRPr="0014471C">
        <w:rPr>
          <w:rFonts w:ascii="Arial" w:hAnsi="Arial" w:cs="Arial"/>
          <w:i/>
          <w:iCs/>
          <w:color w:val="000000" w:themeColor="text1"/>
          <w:sz w:val="24"/>
          <w:szCs w:val="24"/>
        </w:rPr>
        <w:t>Regency Villas v Diamond Resorts [2018]</w:t>
      </w:r>
      <w:r w:rsidR="009B2974" w:rsidRPr="0014471C">
        <w:rPr>
          <w:rFonts w:ascii="Arial" w:hAnsi="Arial" w:cs="Arial"/>
          <w:i/>
          <w:iCs/>
          <w:color w:val="000000" w:themeColor="text1"/>
          <w:sz w:val="24"/>
          <w:szCs w:val="24"/>
        </w:rPr>
        <w:t xml:space="preserve"> </w:t>
      </w:r>
      <w:r w:rsidR="00A35EF7" w:rsidRPr="0014471C">
        <w:rPr>
          <w:rFonts w:ascii="Arial" w:hAnsi="Arial" w:cs="Arial"/>
          <w:color w:val="000000" w:themeColor="text1"/>
          <w:sz w:val="24"/>
          <w:szCs w:val="24"/>
        </w:rPr>
        <w:t xml:space="preserve">the grant of recreational rights </w:t>
      </w:r>
      <w:r w:rsidR="00461B3B" w:rsidRPr="0014471C">
        <w:rPr>
          <w:rFonts w:ascii="Arial" w:hAnsi="Arial" w:cs="Arial"/>
          <w:color w:val="000000" w:themeColor="text1"/>
          <w:sz w:val="24"/>
          <w:szCs w:val="24"/>
        </w:rPr>
        <w:t>amounted to an easement as the benefit to</w:t>
      </w:r>
      <w:r w:rsidR="009647C0" w:rsidRPr="0014471C">
        <w:rPr>
          <w:rFonts w:ascii="Arial" w:hAnsi="Arial" w:cs="Arial"/>
          <w:color w:val="000000" w:themeColor="text1"/>
          <w:sz w:val="24"/>
          <w:szCs w:val="24"/>
        </w:rPr>
        <w:t xml:space="preserve"> </w:t>
      </w:r>
      <w:r w:rsidR="00AC6278" w:rsidRPr="0014471C">
        <w:rPr>
          <w:rFonts w:ascii="Arial" w:hAnsi="Arial" w:cs="Arial"/>
          <w:color w:val="000000" w:themeColor="text1"/>
          <w:sz w:val="24"/>
          <w:szCs w:val="24"/>
        </w:rPr>
        <w:t>the</w:t>
      </w:r>
      <w:r w:rsidR="00461B3B" w:rsidRPr="0014471C">
        <w:rPr>
          <w:rFonts w:ascii="Arial" w:hAnsi="Arial" w:cs="Arial"/>
          <w:color w:val="000000" w:themeColor="text1"/>
          <w:sz w:val="24"/>
          <w:szCs w:val="24"/>
        </w:rPr>
        <w:t xml:space="preserve"> dominant land </w:t>
      </w:r>
      <w:r w:rsidR="009647C0" w:rsidRPr="0014471C">
        <w:rPr>
          <w:rFonts w:ascii="Arial" w:hAnsi="Arial" w:cs="Arial"/>
          <w:color w:val="000000" w:themeColor="text1"/>
          <w:sz w:val="24"/>
          <w:szCs w:val="24"/>
        </w:rPr>
        <w:t>was clear</w:t>
      </w:r>
      <w:r w:rsidR="00382859">
        <w:rPr>
          <w:rFonts w:ascii="Arial" w:hAnsi="Arial" w:cs="Arial"/>
          <w:color w:val="000000" w:themeColor="text1"/>
          <w:sz w:val="24"/>
          <w:szCs w:val="24"/>
        </w:rPr>
        <w:t>,</w:t>
      </w:r>
      <w:r w:rsidR="009647C0" w:rsidRPr="0014471C">
        <w:rPr>
          <w:rFonts w:ascii="Arial" w:hAnsi="Arial" w:cs="Arial"/>
          <w:color w:val="000000" w:themeColor="text1"/>
          <w:sz w:val="24"/>
          <w:szCs w:val="24"/>
        </w:rPr>
        <w:t xml:space="preserve"> </w:t>
      </w:r>
      <w:r w:rsidR="00CB043B" w:rsidRPr="0014471C">
        <w:rPr>
          <w:rFonts w:ascii="Arial" w:hAnsi="Arial" w:cs="Arial"/>
          <w:color w:val="000000" w:themeColor="text1"/>
          <w:sz w:val="24"/>
          <w:szCs w:val="24"/>
        </w:rPr>
        <w:t>giv</w:t>
      </w:r>
      <w:r w:rsidR="00801F25" w:rsidRPr="0014471C">
        <w:rPr>
          <w:rFonts w:ascii="Arial" w:hAnsi="Arial" w:cs="Arial"/>
          <w:color w:val="000000" w:themeColor="text1"/>
          <w:sz w:val="24"/>
          <w:szCs w:val="24"/>
        </w:rPr>
        <w:t>en</w:t>
      </w:r>
      <w:r w:rsidR="00CB043B" w:rsidRPr="0014471C">
        <w:rPr>
          <w:rFonts w:ascii="Arial" w:hAnsi="Arial" w:cs="Arial"/>
          <w:color w:val="000000" w:themeColor="text1"/>
          <w:sz w:val="24"/>
          <w:szCs w:val="24"/>
        </w:rPr>
        <w:t xml:space="preserve"> the</w:t>
      </w:r>
      <w:r w:rsidR="00AB07E3" w:rsidRPr="0014471C">
        <w:rPr>
          <w:rFonts w:ascii="Arial" w:hAnsi="Arial" w:cs="Arial"/>
          <w:color w:val="000000" w:themeColor="text1"/>
          <w:sz w:val="24"/>
          <w:szCs w:val="24"/>
        </w:rPr>
        <w:t xml:space="preserve"> need to accom</w:t>
      </w:r>
      <w:r w:rsidR="0080623E" w:rsidRPr="0014471C">
        <w:rPr>
          <w:rFonts w:ascii="Arial" w:hAnsi="Arial" w:cs="Arial"/>
          <w:color w:val="000000" w:themeColor="text1"/>
          <w:sz w:val="24"/>
          <w:szCs w:val="24"/>
        </w:rPr>
        <w:t>m</w:t>
      </w:r>
      <w:r w:rsidR="00AB07E3" w:rsidRPr="0014471C">
        <w:rPr>
          <w:rFonts w:ascii="Arial" w:hAnsi="Arial" w:cs="Arial"/>
          <w:color w:val="000000" w:themeColor="text1"/>
          <w:sz w:val="24"/>
          <w:szCs w:val="24"/>
        </w:rPr>
        <w:t>odate the changing need</w:t>
      </w:r>
      <w:r w:rsidR="0080623E" w:rsidRPr="0014471C">
        <w:rPr>
          <w:rFonts w:ascii="Arial" w:hAnsi="Arial" w:cs="Arial"/>
          <w:color w:val="000000" w:themeColor="text1"/>
          <w:sz w:val="24"/>
          <w:szCs w:val="24"/>
        </w:rPr>
        <w:t xml:space="preserve">s of society </w:t>
      </w:r>
      <w:r w:rsidR="00D87C7B" w:rsidRPr="0014471C">
        <w:rPr>
          <w:rFonts w:ascii="Arial" w:hAnsi="Arial" w:cs="Arial"/>
          <w:color w:val="000000" w:themeColor="text1"/>
          <w:sz w:val="24"/>
          <w:szCs w:val="24"/>
        </w:rPr>
        <w:t xml:space="preserve">where physical exercise is regarded as </w:t>
      </w:r>
      <w:r w:rsidR="00AC6278" w:rsidRPr="0014471C">
        <w:rPr>
          <w:rFonts w:ascii="Arial" w:hAnsi="Arial" w:cs="Arial"/>
          <w:color w:val="000000" w:themeColor="text1"/>
          <w:sz w:val="24"/>
          <w:szCs w:val="24"/>
        </w:rPr>
        <w:t>an essential part of daily life (Sayles, 2020, pp.</w:t>
      </w:r>
      <w:r w:rsidR="00071CFD" w:rsidRPr="0014471C">
        <w:rPr>
          <w:rFonts w:ascii="Arial" w:hAnsi="Arial" w:cs="Arial"/>
          <w:color w:val="000000" w:themeColor="text1"/>
          <w:sz w:val="24"/>
          <w:szCs w:val="24"/>
        </w:rPr>
        <w:t>182-183</w:t>
      </w:r>
      <w:r w:rsidR="00801F25" w:rsidRPr="0014471C">
        <w:rPr>
          <w:rFonts w:ascii="Arial" w:hAnsi="Arial" w:cs="Arial"/>
          <w:color w:val="000000" w:themeColor="text1"/>
          <w:sz w:val="24"/>
          <w:szCs w:val="24"/>
        </w:rPr>
        <w:t>,</w:t>
      </w:r>
      <w:r w:rsidR="00071CFD" w:rsidRPr="0014471C">
        <w:rPr>
          <w:rFonts w:ascii="Arial" w:hAnsi="Arial" w:cs="Arial"/>
          <w:color w:val="000000" w:themeColor="text1"/>
          <w:sz w:val="24"/>
          <w:szCs w:val="24"/>
        </w:rPr>
        <w:t xml:space="preserve"> </w:t>
      </w:r>
      <w:r w:rsidR="00801F25" w:rsidRPr="0014471C">
        <w:rPr>
          <w:rFonts w:ascii="Arial" w:hAnsi="Arial" w:cs="Arial"/>
          <w:color w:val="000000" w:themeColor="text1"/>
          <w:sz w:val="24"/>
          <w:szCs w:val="24"/>
        </w:rPr>
        <w:t>199</w:t>
      </w:r>
      <w:r w:rsidR="00AC6278" w:rsidRPr="0014471C">
        <w:rPr>
          <w:rFonts w:ascii="Arial" w:hAnsi="Arial" w:cs="Arial"/>
          <w:color w:val="000000" w:themeColor="text1"/>
          <w:sz w:val="24"/>
          <w:szCs w:val="24"/>
        </w:rPr>
        <w:t>).</w:t>
      </w:r>
      <w:r w:rsidR="00071CFD" w:rsidRPr="0014471C">
        <w:rPr>
          <w:rFonts w:ascii="Arial" w:hAnsi="Arial" w:cs="Arial"/>
          <w:color w:val="000000" w:themeColor="text1"/>
          <w:sz w:val="24"/>
          <w:szCs w:val="24"/>
        </w:rPr>
        <w:t xml:space="preserve"> </w:t>
      </w:r>
      <w:r w:rsidR="00A07CBC" w:rsidRPr="0014471C">
        <w:rPr>
          <w:rFonts w:ascii="Arial" w:hAnsi="Arial" w:cs="Arial"/>
          <w:color w:val="000000" w:themeColor="text1"/>
          <w:sz w:val="24"/>
          <w:szCs w:val="24"/>
        </w:rPr>
        <w:t xml:space="preserve">An increase in the use of the land once an </w:t>
      </w:r>
      <w:r w:rsidR="00A07CBC" w:rsidRPr="0014471C">
        <w:rPr>
          <w:rFonts w:ascii="Arial" w:hAnsi="Arial" w:cs="Arial"/>
          <w:color w:val="000000" w:themeColor="text1"/>
          <w:sz w:val="24"/>
          <w:szCs w:val="24"/>
        </w:rPr>
        <w:lastRenderedPageBreak/>
        <w:t xml:space="preserve">easement is held </w:t>
      </w:r>
      <w:r w:rsidR="003679EB" w:rsidRPr="0014471C">
        <w:rPr>
          <w:rFonts w:ascii="Arial" w:hAnsi="Arial" w:cs="Arial"/>
          <w:color w:val="000000" w:themeColor="text1"/>
          <w:sz w:val="24"/>
          <w:szCs w:val="24"/>
        </w:rPr>
        <w:t>does not necessarily restrict the easement</w:t>
      </w:r>
      <w:r w:rsidR="008C3040" w:rsidRPr="0014471C">
        <w:rPr>
          <w:rFonts w:ascii="Arial" w:hAnsi="Arial" w:cs="Arial"/>
          <w:color w:val="000000" w:themeColor="text1"/>
          <w:sz w:val="24"/>
          <w:szCs w:val="24"/>
        </w:rPr>
        <w:t>.</w:t>
      </w:r>
      <w:r w:rsidR="003679EB" w:rsidRPr="0014471C">
        <w:rPr>
          <w:rFonts w:ascii="Arial" w:hAnsi="Arial" w:cs="Arial"/>
          <w:color w:val="000000" w:themeColor="text1"/>
          <w:sz w:val="24"/>
          <w:szCs w:val="24"/>
        </w:rPr>
        <w:t xml:space="preserve"> </w:t>
      </w:r>
      <w:r w:rsidR="008C3040" w:rsidRPr="0014471C">
        <w:rPr>
          <w:rFonts w:ascii="Arial" w:hAnsi="Arial" w:cs="Arial"/>
          <w:color w:val="000000" w:themeColor="text1"/>
          <w:sz w:val="24"/>
          <w:szCs w:val="24"/>
        </w:rPr>
        <w:t>Al</w:t>
      </w:r>
      <w:r w:rsidR="003679EB" w:rsidRPr="0014471C">
        <w:rPr>
          <w:rFonts w:ascii="Arial" w:hAnsi="Arial" w:cs="Arial"/>
          <w:color w:val="000000" w:themeColor="text1"/>
          <w:sz w:val="24"/>
          <w:szCs w:val="24"/>
        </w:rPr>
        <w:t>though</w:t>
      </w:r>
      <w:r w:rsidR="0007076E" w:rsidRPr="0014471C">
        <w:rPr>
          <w:rFonts w:ascii="Arial" w:hAnsi="Arial" w:cs="Arial"/>
          <w:color w:val="000000" w:themeColor="text1"/>
          <w:sz w:val="24"/>
          <w:szCs w:val="24"/>
        </w:rPr>
        <w:t>,</w:t>
      </w:r>
      <w:r w:rsidR="003679EB" w:rsidRPr="0014471C">
        <w:rPr>
          <w:rFonts w:ascii="Arial" w:hAnsi="Arial" w:cs="Arial"/>
          <w:color w:val="000000" w:themeColor="text1"/>
          <w:sz w:val="24"/>
          <w:szCs w:val="24"/>
        </w:rPr>
        <w:t xml:space="preserve"> the courts hold a restricted attitude </w:t>
      </w:r>
      <w:r w:rsidR="001D6485" w:rsidRPr="0014471C">
        <w:rPr>
          <w:rFonts w:ascii="Arial" w:hAnsi="Arial" w:cs="Arial"/>
          <w:color w:val="000000" w:themeColor="text1"/>
          <w:sz w:val="24"/>
          <w:szCs w:val="24"/>
        </w:rPr>
        <w:t xml:space="preserve">when extending the enjoyment to customers evidenced in </w:t>
      </w:r>
      <w:r w:rsidR="0079651C" w:rsidRPr="0014471C">
        <w:rPr>
          <w:rFonts w:ascii="Arial" w:hAnsi="Arial" w:cs="Arial"/>
          <w:i/>
          <w:iCs/>
          <w:color w:val="000000" w:themeColor="text1"/>
          <w:sz w:val="24"/>
          <w:szCs w:val="24"/>
        </w:rPr>
        <w:t xml:space="preserve">Greatorex v Newman [2008] </w:t>
      </w:r>
      <w:r w:rsidR="004A148D" w:rsidRPr="0014471C">
        <w:rPr>
          <w:rFonts w:ascii="Arial" w:hAnsi="Arial" w:cs="Arial"/>
          <w:color w:val="000000" w:themeColor="text1"/>
          <w:sz w:val="24"/>
          <w:szCs w:val="24"/>
        </w:rPr>
        <w:t>(Bray, 2016, pp.292).</w:t>
      </w:r>
    </w:p>
    <w:p w14:paraId="0736D27E" w14:textId="1DE31D4B" w:rsidR="003C2881" w:rsidRPr="00DE77F4" w:rsidRDefault="0079651C" w:rsidP="00E96FD8">
      <w:pPr>
        <w:spacing w:line="480" w:lineRule="auto"/>
        <w:jc w:val="both"/>
        <w:rPr>
          <w:rFonts w:ascii="Arial" w:hAnsi="Arial" w:cs="Arial"/>
          <w:color w:val="000000" w:themeColor="text1"/>
          <w:sz w:val="24"/>
          <w:szCs w:val="24"/>
        </w:rPr>
      </w:pPr>
      <w:r w:rsidRPr="0014471C">
        <w:rPr>
          <w:rFonts w:ascii="Arial" w:hAnsi="Arial" w:cs="Arial"/>
          <w:color w:val="000000" w:themeColor="text1"/>
          <w:sz w:val="24"/>
          <w:szCs w:val="24"/>
        </w:rPr>
        <w:t>Crucially, i</w:t>
      </w:r>
      <w:r w:rsidR="00044677" w:rsidRPr="0014471C">
        <w:rPr>
          <w:rFonts w:ascii="Arial" w:hAnsi="Arial" w:cs="Arial"/>
          <w:color w:val="000000" w:themeColor="text1"/>
          <w:sz w:val="24"/>
          <w:szCs w:val="24"/>
        </w:rPr>
        <w:t xml:space="preserve">n order to accommodate the dominant tenement, the two parcels of land must be sufficiently closely situated, though not necessarily adjacent in order to glean efficient benefit on the servient land illustrated in </w:t>
      </w:r>
      <w:r w:rsidR="00044677" w:rsidRPr="0014471C">
        <w:rPr>
          <w:rFonts w:ascii="Arial" w:hAnsi="Arial" w:cs="Arial"/>
          <w:i/>
          <w:iCs/>
          <w:color w:val="000000" w:themeColor="text1"/>
          <w:sz w:val="24"/>
          <w:szCs w:val="24"/>
        </w:rPr>
        <w:t>Bailey v Stephens [1862]</w:t>
      </w:r>
      <w:r w:rsidR="00044677" w:rsidRPr="0014471C">
        <w:rPr>
          <w:rFonts w:ascii="Arial" w:hAnsi="Arial" w:cs="Arial"/>
          <w:color w:val="000000" w:themeColor="text1"/>
          <w:sz w:val="24"/>
          <w:szCs w:val="24"/>
        </w:rPr>
        <w:t xml:space="preserve"> and later confirmed in </w:t>
      </w:r>
      <w:r w:rsidR="00044677" w:rsidRPr="0014471C">
        <w:rPr>
          <w:rFonts w:ascii="Arial" w:hAnsi="Arial" w:cs="Arial"/>
          <w:i/>
          <w:iCs/>
          <w:color w:val="000000" w:themeColor="text1"/>
          <w:sz w:val="24"/>
          <w:szCs w:val="24"/>
        </w:rPr>
        <w:t xml:space="preserve">Pugh v Savage [1970] </w:t>
      </w:r>
      <w:r w:rsidR="00044677" w:rsidRPr="0014471C">
        <w:rPr>
          <w:rFonts w:ascii="Arial" w:hAnsi="Arial" w:cs="Arial"/>
          <w:color w:val="000000" w:themeColor="text1"/>
          <w:sz w:val="24"/>
          <w:szCs w:val="24"/>
        </w:rPr>
        <w:t>(Pattison, 2019).</w:t>
      </w:r>
    </w:p>
    <w:p w14:paraId="11766B8F" w14:textId="77777777" w:rsidR="00B74C1F" w:rsidRPr="007D39C0" w:rsidRDefault="00B74C1F" w:rsidP="00F75AD0">
      <w:pPr>
        <w:spacing w:line="480" w:lineRule="auto"/>
        <w:jc w:val="both"/>
        <w:rPr>
          <w:rFonts w:ascii="Arial" w:hAnsi="Arial" w:cs="Arial"/>
          <w:color w:val="FF0000"/>
          <w:sz w:val="24"/>
          <w:szCs w:val="24"/>
        </w:rPr>
      </w:pPr>
    </w:p>
    <w:p w14:paraId="2FFA3C32" w14:textId="45A96FC8" w:rsidR="00FD38C0" w:rsidRPr="00DC4C9F" w:rsidRDefault="00444F92" w:rsidP="00F75AD0">
      <w:pPr>
        <w:spacing w:line="480" w:lineRule="auto"/>
        <w:jc w:val="both"/>
        <w:rPr>
          <w:rFonts w:ascii="Arial" w:hAnsi="Arial" w:cs="Arial"/>
          <w:color w:val="000000" w:themeColor="text1"/>
          <w:sz w:val="24"/>
          <w:szCs w:val="24"/>
        </w:rPr>
      </w:pPr>
      <w:r w:rsidRPr="00DC4C9F">
        <w:rPr>
          <w:rFonts w:ascii="Arial" w:hAnsi="Arial" w:cs="Arial"/>
          <w:color w:val="000000" w:themeColor="text1"/>
          <w:sz w:val="24"/>
          <w:szCs w:val="24"/>
        </w:rPr>
        <w:t xml:space="preserve">The </w:t>
      </w:r>
      <w:r w:rsidR="0078064E" w:rsidRPr="00DC4C9F">
        <w:rPr>
          <w:rFonts w:ascii="Arial" w:hAnsi="Arial" w:cs="Arial"/>
          <w:color w:val="000000" w:themeColor="text1"/>
          <w:sz w:val="24"/>
          <w:szCs w:val="24"/>
        </w:rPr>
        <w:t xml:space="preserve">third key characteristic </w:t>
      </w:r>
      <w:r w:rsidR="00D160E2" w:rsidRPr="00DC4C9F">
        <w:rPr>
          <w:rFonts w:ascii="Arial" w:hAnsi="Arial" w:cs="Arial"/>
          <w:color w:val="000000" w:themeColor="text1"/>
          <w:sz w:val="24"/>
          <w:szCs w:val="24"/>
        </w:rPr>
        <w:t xml:space="preserve">to satisfy an easement </w:t>
      </w:r>
      <w:r w:rsidR="00E15F9B" w:rsidRPr="00DC4C9F">
        <w:rPr>
          <w:rFonts w:ascii="Arial" w:hAnsi="Arial" w:cs="Arial"/>
          <w:color w:val="000000" w:themeColor="text1"/>
          <w:sz w:val="24"/>
          <w:szCs w:val="24"/>
        </w:rPr>
        <w:t xml:space="preserve">specifies that </w:t>
      </w:r>
      <w:r w:rsidR="001101C0" w:rsidRPr="00DC4C9F">
        <w:rPr>
          <w:rFonts w:ascii="Arial" w:hAnsi="Arial" w:cs="Arial"/>
          <w:color w:val="000000" w:themeColor="text1"/>
          <w:sz w:val="24"/>
          <w:szCs w:val="24"/>
        </w:rPr>
        <w:t>the owners of the</w:t>
      </w:r>
      <w:r w:rsidR="000B2478" w:rsidRPr="00DC4C9F">
        <w:rPr>
          <w:rFonts w:ascii="Arial" w:hAnsi="Arial" w:cs="Arial"/>
          <w:color w:val="000000" w:themeColor="text1"/>
          <w:sz w:val="24"/>
          <w:szCs w:val="24"/>
        </w:rPr>
        <w:t xml:space="preserve"> dominant and servient tenements must be different</w:t>
      </w:r>
      <w:r w:rsidR="000A1577" w:rsidRPr="00DC4C9F">
        <w:rPr>
          <w:rFonts w:ascii="Arial" w:hAnsi="Arial" w:cs="Arial"/>
          <w:color w:val="000000" w:themeColor="text1"/>
          <w:sz w:val="24"/>
          <w:szCs w:val="24"/>
        </w:rPr>
        <w:t>;</w:t>
      </w:r>
      <w:r w:rsidR="00E37232" w:rsidRPr="00DC4C9F">
        <w:rPr>
          <w:rFonts w:ascii="Arial" w:hAnsi="Arial" w:cs="Arial"/>
          <w:i/>
          <w:iCs/>
          <w:color w:val="000000" w:themeColor="text1"/>
          <w:sz w:val="24"/>
          <w:szCs w:val="24"/>
        </w:rPr>
        <w:t xml:space="preserve"> Roe v Siddons [1888]</w:t>
      </w:r>
      <w:r w:rsidR="000B2478" w:rsidRPr="00DC4C9F">
        <w:rPr>
          <w:rFonts w:ascii="Arial" w:hAnsi="Arial" w:cs="Arial"/>
          <w:color w:val="000000" w:themeColor="text1"/>
          <w:sz w:val="24"/>
          <w:szCs w:val="24"/>
        </w:rPr>
        <w:t xml:space="preserve">. </w:t>
      </w:r>
      <w:r w:rsidR="00293C20" w:rsidRPr="00DC4C9F">
        <w:rPr>
          <w:rFonts w:ascii="Arial" w:hAnsi="Arial" w:cs="Arial"/>
          <w:color w:val="000000" w:themeColor="text1"/>
          <w:sz w:val="24"/>
          <w:szCs w:val="24"/>
        </w:rPr>
        <w:t xml:space="preserve">In </w:t>
      </w:r>
      <w:r w:rsidR="003A2B0B" w:rsidRPr="00DC4C9F">
        <w:rPr>
          <w:rFonts w:ascii="Arial" w:hAnsi="Arial" w:cs="Arial"/>
          <w:color w:val="000000" w:themeColor="text1"/>
          <w:sz w:val="24"/>
          <w:szCs w:val="24"/>
        </w:rPr>
        <w:t xml:space="preserve">effect, </w:t>
      </w:r>
      <w:r w:rsidR="006E2E42" w:rsidRPr="00DC4C9F">
        <w:rPr>
          <w:rFonts w:ascii="Arial" w:hAnsi="Arial" w:cs="Arial"/>
          <w:color w:val="000000" w:themeColor="text1"/>
          <w:sz w:val="24"/>
          <w:szCs w:val="24"/>
        </w:rPr>
        <w:t xml:space="preserve">a person cannot have an easement </w:t>
      </w:r>
      <w:r w:rsidR="004962BE" w:rsidRPr="00DC4C9F">
        <w:rPr>
          <w:rFonts w:ascii="Arial" w:hAnsi="Arial" w:cs="Arial"/>
          <w:color w:val="000000" w:themeColor="text1"/>
          <w:sz w:val="24"/>
          <w:szCs w:val="24"/>
        </w:rPr>
        <w:t>against one’s own lan</w:t>
      </w:r>
      <w:r w:rsidR="00395674" w:rsidRPr="00DC4C9F">
        <w:rPr>
          <w:rFonts w:ascii="Arial" w:hAnsi="Arial" w:cs="Arial"/>
          <w:color w:val="000000" w:themeColor="text1"/>
          <w:sz w:val="24"/>
          <w:szCs w:val="24"/>
        </w:rPr>
        <w:t>d</w:t>
      </w:r>
      <w:r w:rsidR="00CD22E8" w:rsidRPr="00DC4C9F">
        <w:rPr>
          <w:rFonts w:ascii="Arial" w:hAnsi="Arial" w:cs="Arial"/>
          <w:color w:val="000000" w:themeColor="text1"/>
          <w:sz w:val="24"/>
          <w:szCs w:val="24"/>
        </w:rPr>
        <w:t xml:space="preserve"> (Sayles, 2020, pp.182).</w:t>
      </w:r>
      <w:r w:rsidR="00217C1C" w:rsidRPr="00DC4C9F">
        <w:rPr>
          <w:rFonts w:ascii="Arial" w:hAnsi="Arial" w:cs="Arial"/>
          <w:color w:val="000000" w:themeColor="text1"/>
          <w:sz w:val="24"/>
          <w:szCs w:val="24"/>
        </w:rPr>
        <w:t xml:space="preserve"> A characteristic reinforced by Lord Esher in </w:t>
      </w:r>
      <w:r w:rsidR="00CD22E8" w:rsidRPr="00DC4C9F">
        <w:rPr>
          <w:rFonts w:ascii="Arial" w:hAnsi="Arial" w:cs="Arial"/>
          <w:i/>
          <w:iCs/>
          <w:color w:val="000000" w:themeColor="text1"/>
          <w:sz w:val="24"/>
          <w:szCs w:val="24"/>
        </w:rPr>
        <w:t xml:space="preserve">Metropolitan Railway v Fowler [1892] </w:t>
      </w:r>
      <w:r w:rsidR="00F4777C" w:rsidRPr="00DC4C9F">
        <w:rPr>
          <w:rFonts w:ascii="Arial" w:hAnsi="Arial" w:cs="Arial"/>
          <w:color w:val="000000" w:themeColor="text1"/>
          <w:sz w:val="24"/>
          <w:szCs w:val="24"/>
        </w:rPr>
        <w:t>(</w:t>
      </w:r>
      <w:r w:rsidR="00DD4904" w:rsidRPr="00DC4C9F">
        <w:rPr>
          <w:rFonts w:ascii="Arial" w:hAnsi="Arial" w:cs="Arial"/>
          <w:color w:val="000000" w:themeColor="text1"/>
          <w:sz w:val="24"/>
          <w:szCs w:val="24"/>
        </w:rPr>
        <w:t>Swar</w:t>
      </w:r>
      <w:r w:rsidR="00ED5DA7" w:rsidRPr="00DC4C9F">
        <w:rPr>
          <w:rFonts w:ascii="Arial" w:hAnsi="Arial" w:cs="Arial"/>
          <w:color w:val="000000" w:themeColor="text1"/>
          <w:sz w:val="24"/>
          <w:szCs w:val="24"/>
        </w:rPr>
        <w:t xml:space="preserve">b, </w:t>
      </w:r>
      <w:r w:rsidR="00FD38C0" w:rsidRPr="00DC4C9F">
        <w:rPr>
          <w:rFonts w:ascii="Arial" w:hAnsi="Arial" w:cs="Arial"/>
          <w:color w:val="000000" w:themeColor="text1"/>
          <w:sz w:val="24"/>
          <w:szCs w:val="24"/>
        </w:rPr>
        <w:t>2021</w:t>
      </w:r>
      <w:r w:rsidR="00F4777C" w:rsidRPr="00DC4C9F">
        <w:rPr>
          <w:rFonts w:ascii="Arial" w:hAnsi="Arial" w:cs="Arial"/>
          <w:color w:val="000000" w:themeColor="text1"/>
          <w:sz w:val="24"/>
          <w:szCs w:val="24"/>
        </w:rPr>
        <w:t>).</w:t>
      </w:r>
      <w:r w:rsidR="00DA189B" w:rsidRPr="00DC4C9F">
        <w:rPr>
          <w:rFonts w:ascii="Arial" w:hAnsi="Arial" w:cs="Arial"/>
          <w:color w:val="000000" w:themeColor="text1"/>
          <w:sz w:val="24"/>
          <w:szCs w:val="24"/>
        </w:rPr>
        <w:t xml:space="preserve"> </w:t>
      </w:r>
      <w:r w:rsidR="004D7043" w:rsidRPr="00DC4C9F">
        <w:rPr>
          <w:rFonts w:ascii="Arial" w:hAnsi="Arial" w:cs="Arial"/>
          <w:color w:val="000000" w:themeColor="text1"/>
          <w:sz w:val="24"/>
          <w:szCs w:val="24"/>
        </w:rPr>
        <w:t xml:space="preserve">This has been argued </w:t>
      </w:r>
      <w:r w:rsidR="008F5046" w:rsidRPr="00DC4C9F">
        <w:rPr>
          <w:rFonts w:ascii="Arial" w:hAnsi="Arial" w:cs="Arial"/>
          <w:color w:val="000000" w:themeColor="text1"/>
          <w:sz w:val="24"/>
          <w:szCs w:val="24"/>
        </w:rPr>
        <w:t>as restricting the landowner</w:t>
      </w:r>
      <w:r w:rsidR="00D62AB6" w:rsidRPr="00DC4C9F">
        <w:rPr>
          <w:rFonts w:ascii="Arial" w:hAnsi="Arial" w:cs="Arial"/>
          <w:color w:val="000000" w:themeColor="text1"/>
          <w:sz w:val="24"/>
          <w:szCs w:val="24"/>
        </w:rPr>
        <w:t>’</w:t>
      </w:r>
      <w:r w:rsidR="008F5046" w:rsidRPr="00DC4C9F">
        <w:rPr>
          <w:rFonts w:ascii="Arial" w:hAnsi="Arial" w:cs="Arial"/>
          <w:color w:val="000000" w:themeColor="text1"/>
          <w:sz w:val="24"/>
          <w:szCs w:val="24"/>
        </w:rPr>
        <w:t xml:space="preserve">s rights particularly </w:t>
      </w:r>
      <w:r w:rsidR="00136EE8" w:rsidRPr="00DC4C9F">
        <w:rPr>
          <w:rFonts w:ascii="Arial" w:hAnsi="Arial" w:cs="Arial"/>
          <w:color w:val="000000" w:themeColor="text1"/>
          <w:sz w:val="24"/>
          <w:szCs w:val="24"/>
        </w:rPr>
        <w:t xml:space="preserve">regarding </w:t>
      </w:r>
      <w:r w:rsidR="00010C42" w:rsidRPr="00DC4C9F">
        <w:rPr>
          <w:rFonts w:ascii="Arial" w:hAnsi="Arial" w:cs="Arial"/>
          <w:color w:val="000000" w:themeColor="text1"/>
          <w:sz w:val="24"/>
          <w:szCs w:val="24"/>
        </w:rPr>
        <w:t>landlord</w:t>
      </w:r>
      <w:r w:rsidR="00D62AB6" w:rsidRPr="00DC4C9F">
        <w:rPr>
          <w:rFonts w:ascii="Arial" w:hAnsi="Arial" w:cs="Arial"/>
          <w:color w:val="000000" w:themeColor="text1"/>
          <w:sz w:val="24"/>
          <w:szCs w:val="24"/>
        </w:rPr>
        <w:t>,</w:t>
      </w:r>
      <w:r w:rsidR="00010C42" w:rsidRPr="00DC4C9F">
        <w:rPr>
          <w:rFonts w:ascii="Arial" w:hAnsi="Arial" w:cs="Arial"/>
          <w:color w:val="000000" w:themeColor="text1"/>
          <w:sz w:val="24"/>
          <w:szCs w:val="24"/>
        </w:rPr>
        <w:t xml:space="preserve"> tenant situations</w:t>
      </w:r>
      <w:r w:rsidR="005358E3" w:rsidRPr="00DC4C9F">
        <w:rPr>
          <w:rFonts w:ascii="Arial" w:hAnsi="Arial" w:cs="Arial"/>
          <w:color w:val="000000" w:themeColor="text1"/>
          <w:sz w:val="24"/>
          <w:szCs w:val="24"/>
        </w:rPr>
        <w:t xml:space="preserve"> and vice versa</w:t>
      </w:r>
      <w:r w:rsidR="00010C42" w:rsidRPr="00DC4C9F">
        <w:rPr>
          <w:rFonts w:ascii="Arial" w:hAnsi="Arial" w:cs="Arial"/>
          <w:color w:val="000000" w:themeColor="text1"/>
          <w:sz w:val="24"/>
          <w:szCs w:val="24"/>
        </w:rPr>
        <w:t xml:space="preserve">. As a result, </w:t>
      </w:r>
      <w:r w:rsidR="00D62AB6" w:rsidRPr="00DC4C9F">
        <w:rPr>
          <w:rFonts w:ascii="Arial" w:hAnsi="Arial" w:cs="Arial"/>
          <w:color w:val="000000" w:themeColor="text1"/>
          <w:sz w:val="24"/>
          <w:szCs w:val="24"/>
        </w:rPr>
        <w:t>s</w:t>
      </w:r>
      <w:r w:rsidR="000736C9" w:rsidRPr="00DC4C9F">
        <w:rPr>
          <w:rFonts w:ascii="Arial" w:hAnsi="Arial" w:cs="Arial"/>
          <w:color w:val="000000" w:themeColor="text1"/>
          <w:sz w:val="24"/>
          <w:szCs w:val="24"/>
        </w:rPr>
        <w:t xml:space="preserve">uch enjoyment </w:t>
      </w:r>
      <w:r w:rsidR="00A10A29" w:rsidRPr="00DC4C9F">
        <w:rPr>
          <w:rFonts w:ascii="Arial" w:hAnsi="Arial" w:cs="Arial"/>
          <w:color w:val="000000" w:themeColor="text1"/>
          <w:sz w:val="24"/>
          <w:szCs w:val="24"/>
        </w:rPr>
        <w:t>has been recognised as being a quasi-easement</w:t>
      </w:r>
      <w:r w:rsidR="009A601E" w:rsidRPr="00DC4C9F">
        <w:rPr>
          <w:rFonts w:ascii="Arial" w:hAnsi="Arial" w:cs="Arial"/>
          <w:color w:val="000000" w:themeColor="text1"/>
          <w:sz w:val="24"/>
          <w:szCs w:val="24"/>
        </w:rPr>
        <w:t xml:space="preserve"> whereby </w:t>
      </w:r>
      <w:r w:rsidR="00282128" w:rsidRPr="00DC4C9F">
        <w:rPr>
          <w:rFonts w:ascii="Arial" w:hAnsi="Arial" w:cs="Arial"/>
          <w:color w:val="000000" w:themeColor="text1"/>
          <w:sz w:val="24"/>
          <w:szCs w:val="24"/>
        </w:rPr>
        <w:t xml:space="preserve">the land is owned </w:t>
      </w:r>
      <w:r w:rsidR="00665A06" w:rsidRPr="00DC4C9F">
        <w:rPr>
          <w:rFonts w:ascii="Arial" w:hAnsi="Arial" w:cs="Arial"/>
          <w:color w:val="000000" w:themeColor="text1"/>
          <w:sz w:val="24"/>
          <w:szCs w:val="24"/>
        </w:rPr>
        <w:t xml:space="preserve">by the same person </w:t>
      </w:r>
      <w:r w:rsidR="00CF252F" w:rsidRPr="00DC4C9F">
        <w:rPr>
          <w:rFonts w:ascii="Arial" w:hAnsi="Arial" w:cs="Arial"/>
          <w:color w:val="000000" w:themeColor="text1"/>
          <w:sz w:val="24"/>
          <w:szCs w:val="24"/>
        </w:rPr>
        <w:t xml:space="preserve">yet </w:t>
      </w:r>
      <w:r w:rsidR="00665A06" w:rsidRPr="00DC4C9F">
        <w:rPr>
          <w:rFonts w:ascii="Arial" w:hAnsi="Arial" w:cs="Arial"/>
          <w:color w:val="000000" w:themeColor="text1"/>
          <w:sz w:val="24"/>
          <w:szCs w:val="24"/>
        </w:rPr>
        <w:t>diversely occupied</w:t>
      </w:r>
      <w:r w:rsidR="0086446B" w:rsidRPr="00DC4C9F">
        <w:rPr>
          <w:rFonts w:ascii="Arial" w:hAnsi="Arial" w:cs="Arial"/>
          <w:color w:val="000000" w:themeColor="text1"/>
          <w:sz w:val="24"/>
          <w:szCs w:val="24"/>
        </w:rPr>
        <w:t xml:space="preserve"> (Gray and Gray, 2011, pp.</w:t>
      </w:r>
      <w:r w:rsidR="00EC5566" w:rsidRPr="00DC4C9F">
        <w:rPr>
          <w:rFonts w:ascii="Arial" w:hAnsi="Arial" w:cs="Arial"/>
          <w:color w:val="000000" w:themeColor="text1"/>
          <w:sz w:val="24"/>
          <w:szCs w:val="24"/>
        </w:rPr>
        <w:t>238-239</w:t>
      </w:r>
      <w:r w:rsidR="0086446B" w:rsidRPr="00DC4C9F">
        <w:rPr>
          <w:rFonts w:ascii="Arial" w:hAnsi="Arial" w:cs="Arial"/>
          <w:color w:val="000000" w:themeColor="text1"/>
          <w:sz w:val="24"/>
          <w:szCs w:val="24"/>
        </w:rPr>
        <w:t>)</w:t>
      </w:r>
      <w:r w:rsidR="00665A06" w:rsidRPr="00DC4C9F">
        <w:rPr>
          <w:rFonts w:ascii="Arial" w:hAnsi="Arial" w:cs="Arial"/>
          <w:color w:val="000000" w:themeColor="text1"/>
          <w:sz w:val="24"/>
          <w:szCs w:val="24"/>
        </w:rPr>
        <w:t xml:space="preserve">. </w:t>
      </w:r>
      <w:r w:rsidR="002D1DA3" w:rsidRPr="00DC4C9F">
        <w:rPr>
          <w:rFonts w:ascii="Arial" w:hAnsi="Arial" w:cs="Arial"/>
          <w:color w:val="000000" w:themeColor="text1"/>
          <w:sz w:val="24"/>
          <w:szCs w:val="24"/>
        </w:rPr>
        <w:t>Subs</w:t>
      </w:r>
      <w:r w:rsidR="000F5240" w:rsidRPr="00DC4C9F">
        <w:rPr>
          <w:rFonts w:ascii="Arial" w:hAnsi="Arial" w:cs="Arial"/>
          <w:color w:val="000000" w:themeColor="text1"/>
          <w:sz w:val="24"/>
          <w:szCs w:val="24"/>
        </w:rPr>
        <w:t xml:space="preserve">equently, the landlord is </w:t>
      </w:r>
      <w:r w:rsidR="00AE64B2" w:rsidRPr="00DC4C9F">
        <w:rPr>
          <w:rFonts w:ascii="Arial" w:hAnsi="Arial" w:cs="Arial"/>
          <w:color w:val="000000" w:themeColor="text1"/>
          <w:sz w:val="24"/>
          <w:szCs w:val="24"/>
        </w:rPr>
        <w:t xml:space="preserve">welcome to create an easement </w:t>
      </w:r>
      <w:r w:rsidR="004504D5" w:rsidRPr="00DC4C9F">
        <w:rPr>
          <w:rFonts w:ascii="Arial" w:hAnsi="Arial" w:cs="Arial"/>
          <w:color w:val="000000" w:themeColor="text1"/>
          <w:sz w:val="24"/>
          <w:szCs w:val="24"/>
        </w:rPr>
        <w:t>in favour of the ten</w:t>
      </w:r>
      <w:r w:rsidR="00A13399" w:rsidRPr="00DC4C9F">
        <w:rPr>
          <w:rFonts w:ascii="Arial" w:hAnsi="Arial" w:cs="Arial"/>
          <w:color w:val="000000" w:themeColor="text1"/>
          <w:sz w:val="24"/>
          <w:szCs w:val="24"/>
        </w:rPr>
        <w:t>a</w:t>
      </w:r>
      <w:r w:rsidR="004504D5" w:rsidRPr="00DC4C9F">
        <w:rPr>
          <w:rFonts w:ascii="Arial" w:hAnsi="Arial" w:cs="Arial"/>
          <w:color w:val="000000" w:themeColor="text1"/>
          <w:sz w:val="24"/>
          <w:szCs w:val="24"/>
        </w:rPr>
        <w:t>nt</w:t>
      </w:r>
      <w:r w:rsidR="00100A37" w:rsidRPr="00DC4C9F">
        <w:rPr>
          <w:rFonts w:ascii="Arial" w:hAnsi="Arial" w:cs="Arial"/>
          <w:color w:val="000000" w:themeColor="text1"/>
          <w:sz w:val="24"/>
          <w:szCs w:val="24"/>
        </w:rPr>
        <w:t xml:space="preserve"> (Bray, 2016, pp.292-293)</w:t>
      </w:r>
      <w:r w:rsidR="004504D5" w:rsidRPr="00DC4C9F">
        <w:rPr>
          <w:rFonts w:ascii="Arial" w:hAnsi="Arial" w:cs="Arial"/>
          <w:color w:val="000000" w:themeColor="text1"/>
          <w:sz w:val="24"/>
          <w:szCs w:val="24"/>
        </w:rPr>
        <w:t>. A</w:t>
      </w:r>
      <w:r w:rsidR="00A10A29" w:rsidRPr="00DC4C9F">
        <w:rPr>
          <w:rFonts w:ascii="Arial" w:hAnsi="Arial" w:cs="Arial"/>
          <w:color w:val="000000" w:themeColor="text1"/>
          <w:sz w:val="24"/>
          <w:szCs w:val="24"/>
        </w:rPr>
        <w:t xml:space="preserve">lthough not binding </w:t>
      </w:r>
      <w:r w:rsidR="002D69F0" w:rsidRPr="00DC4C9F">
        <w:rPr>
          <w:rFonts w:ascii="Arial" w:hAnsi="Arial" w:cs="Arial"/>
          <w:color w:val="000000" w:themeColor="text1"/>
          <w:sz w:val="24"/>
          <w:szCs w:val="24"/>
        </w:rPr>
        <w:t xml:space="preserve">quasi-easements </w:t>
      </w:r>
      <w:r w:rsidR="00A10A29" w:rsidRPr="00DC4C9F">
        <w:rPr>
          <w:rFonts w:ascii="Arial" w:hAnsi="Arial" w:cs="Arial"/>
          <w:color w:val="000000" w:themeColor="text1"/>
          <w:sz w:val="24"/>
          <w:szCs w:val="24"/>
        </w:rPr>
        <w:t>ha</w:t>
      </w:r>
      <w:r w:rsidR="002D69F0" w:rsidRPr="00DC4C9F">
        <w:rPr>
          <w:rFonts w:ascii="Arial" w:hAnsi="Arial" w:cs="Arial"/>
          <w:color w:val="000000" w:themeColor="text1"/>
          <w:sz w:val="24"/>
          <w:szCs w:val="24"/>
        </w:rPr>
        <w:t>ve</w:t>
      </w:r>
      <w:r w:rsidR="00A10A29" w:rsidRPr="00DC4C9F">
        <w:rPr>
          <w:rFonts w:ascii="Arial" w:hAnsi="Arial" w:cs="Arial"/>
          <w:color w:val="000000" w:themeColor="text1"/>
          <w:sz w:val="24"/>
          <w:szCs w:val="24"/>
        </w:rPr>
        <w:t xml:space="preserve"> the potential to become a full easement </w:t>
      </w:r>
      <w:r w:rsidR="006236B3" w:rsidRPr="00DC4C9F">
        <w:rPr>
          <w:rFonts w:ascii="Arial" w:hAnsi="Arial" w:cs="Arial"/>
          <w:color w:val="000000" w:themeColor="text1"/>
          <w:sz w:val="24"/>
          <w:szCs w:val="24"/>
        </w:rPr>
        <w:t xml:space="preserve">should </w:t>
      </w:r>
      <w:r w:rsidR="006E53DE" w:rsidRPr="00DC4C9F">
        <w:rPr>
          <w:rFonts w:ascii="Arial" w:hAnsi="Arial" w:cs="Arial"/>
          <w:color w:val="000000" w:themeColor="text1"/>
          <w:sz w:val="24"/>
          <w:szCs w:val="24"/>
        </w:rPr>
        <w:t xml:space="preserve">the ‘principle of diversity’ of ownership </w:t>
      </w:r>
      <w:r w:rsidR="00A72E14" w:rsidRPr="00DC4C9F">
        <w:rPr>
          <w:rFonts w:ascii="Arial" w:hAnsi="Arial" w:cs="Arial"/>
          <w:color w:val="000000" w:themeColor="text1"/>
          <w:sz w:val="24"/>
          <w:szCs w:val="24"/>
        </w:rPr>
        <w:t>arise</w:t>
      </w:r>
      <w:r w:rsidR="00090EBA" w:rsidRPr="00DC4C9F">
        <w:rPr>
          <w:rFonts w:ascii="Arial" w:hAnsi="Arial" w:cs="Arial"/>
          <w:color w:val="000000" w:themeColor="text1"/>
          <w:sz w:val="24"/>
          <w:szCs w:val="24"/>
        </w:rPr>
        <w:t>;</w:t>
      </w:r>
      <w:r w:rsidR="0016699A" w:rsidRPr="00DC4C9F">
        <w:rPr>
          <w:rFonts w:ascii="Arial" w:hAnsi="Arial" w:cs="Arial"/>
          <w:color w:val="000000" w:themeColor="text1"/>
          <w:sz w:val="24"/>
          <w:szCs w:val="24"/>
        </w:rPr>
        <w:t xml:space="preserve"> </w:t>
      </w:r>
      <w:r w:rsidR="00100A37" w:rsidRPr="00DC4C9F">
        <w:rPr>
          <w:rFonts w:ascii="Arial" w:hAnsi="Arial" w:cs="Arial"/>
          <w:i/>
          <w:iCs/>
          <w:color w:val="000000" w:themeColor="text1"/>
          <w:sz w:val="24"/>
          <w:szCs w:val="24"/>
        </w:rPr>
        <w:t>Wheeldon v Burrows [1879]</w:t>
      </w:r>
      <w:r w:rsidR="00100A37" w:rsidRPr="00DC4C9F">
        <w:rPr>
          <w:rFonts w:ascii="Arial" w:hAnsi="Arial" w:cs="Arial"/>
          <w:color w:val="000000" w:themeColor="text1"/>
          <w:sz w:val="24"/>
          <w:szCs w:val="24"/>
        </w:rPr>
        <w:t xml:space="preserve"> (</w:t>
      </w:r>
      <w:r w:rsidR="006230C5" w:rsidRPr="00DC4C9F">
        <w:rPr>
          <w:rFonts w:ascii="Arial" w:hAnsi="Arial" w:cs="Arial"/>
          <w:color w:val="000000" w:themeColor="text1"/>
          <w:sz w:val="24"/>
          <w:szCs w:val="24"/>
        </w:rPr>
        <w:t>Pattison, 2019</w:t>
      </w:r>
      <w:r w:rsidR="00100A37" w:rsidRPr="00DC4C9F">
        <w:rPr>
          <w:rFonts w:ascii="Arial" w:hAnsi="Arial" w:cs="Arial"/>
          <w:color w:val="000000" w:themeColor="text1"/>
          <w:sz w:val="24"/>
          <w:szCs w:val="24"/>
        </w:rPr>
        <w:t>)</w:t>
      </w:r>
      <w:r w:rsidR="00EC5566" w:rsidRPr="00DC4C9F">
        <w:rPr>
          <w:rFonts w:ascii="Arial" w:hAnsi="Arial" w:cs="Arial"/>
          <w:color w:val="000000" w:themeColor="text1"/>
          <w:sz w:val="24"/>
          <w:szCs w:val="24"/>
        </w:rPr>
        <w:t>.</w:t>
      </w:r>
      <w:r w:rsidR="001C0500" w:rsidRPr="00DC4C9F">
        <w:rPr>
          <w:rFonts w:ascii="Arial" w:hAnsi="Arial" w:cs="Arial"/>
          <w:color w:val="000000" w:themeColor="text1"/>
          <w:sz w:val="24"/>
          <w:szCs w:val="24"/>
        </w:rPr>
        <w:t xml:space="preserve"> </w:t>
      </w:r>
      <w:r w:rsidR="006B5A5E" w:rsidRPr="00DC4C9F">
        <w:rPr>
          <w:rFonts w:ascii="Arial" w:hAnsi="Arial" w:cs="Arial"/>
          <w:color w:val="000000" w:themeColor="text1"/>
          <w:sz w:val="24"/>
          <w:szCs w:val="24"/>
        </w:rPr>
        <w:t xml:space="preserve">Despite </w:t>
      </w:r>
      <w:r w:rsidR="00FD6E6D" w:rsidRPr="00DC4C9F">
        <w:rPr>
          <w:rFonts w:ascii="Arial" w:hAnsi="Arial" w:cs="Arial"/>
          <w:color w:val="000000" w:themeColor="text1"/>
          <w:sz w:val="24"/>
          <w:szCs w:val="24"/>
        </w:rPr>
        <w:t xml:space="preserve">a quasi-easements </w:t>
      </w:r>
      <w:r w:rsidR="00C97E49" w:rsidRPr="00DC4C9F">
        <w:rPr>
          <w:rFonts w:ascii="Arial" w:hAnsi="Arial" w:cs="Arial"/>
          <w:color w:val="000000" w:themeColor="text1"/>
          <w:sz w:val="24"/>
          <w:szCs w:val="24"/>
        </w:rPr>
        <w:t>advantageous</w:t>
      </w:r>
      <w:r w:rsidR="00FD6E6D" w:rsidRPr="00DC4C9F">
        <w:rPr>
          <w:rFonts w:ascii="Arial" w:hAnsi="Arial" w:cs="Arial"/>
          <w:color w:val="000000" w:themeColor="text1"/>
          <w:sz w:val="24"/>
          <w:szCs w:val="24"/>
        </w:rPr>
        <w:t xml:space="preserve"> nature toward the </w:t>
      </w:r>
      <w:r w:rsidR="00B3158A" w:rsidRPr="00DC4C9F">
        <w:rPr>
          <w:rFonts w:ascii="Arial" w:hAnsi="Arial" w:cs="Arial"/>
          <w:color w:val="000000" w:themeColor="text1"/>
          <w:sz w:val="24"/>
          <w:szCs w:val="24"/>
        </w:rPr>
        <w:t>dominant tenement</w:t>
      </w:r>
      <w:r w:rsidR="00E36AEE" w:rsidRPr="00DC4C9F">
        <w:rPr>
          <w:rFonts w:ascii="Arial" w:hAnsi="Arial" w:cs="Arial"/>
          <w:color w:val="000000" w:themeColor="text1"/>
          <w:sz w:val="24"/>
          <w:szCs w:val="24"/>
        </w:rPr>
        <w:t>,</w:t>
      </w:r>
      <w:r w:rsidR="00B3158A" w:rsidRPr="00DC4C9F">
        <w:rPr>
          <w:rFonts w:ascii="Arial" w:hAnsi="Arial" w:cs="Arial"/>
          <w:color w:val="000000" w:themeColor="text1"/>
          <w:sz w:val="24"/>
          <w:szCs w:val="24"/>
        </w:rPr>
        <w:t xml:space="preserve"> </w:t>
      </w:r>
      <w:r w:rsidR="009E4417" w:rsidRPr="00DC4C9F">
        <w:rPr>
          <w:rFonts w:ascii="Arial" w:hAnsi="Arial" w:cs="Arial"/>
          <w:color w:val="000000" w:themeColor="text1"/>
          <w:sz w:val="24"/>
          <w:szCs w:val="24"/>
        </w:rPr>
        <w:t xml:space="preserve">s.62 LPA 1925 </w:t>
      </w:r>
      <w:r w:rsidR="0020032D" w:rsidRPr="00DC4C9F">
        <w:rPr>
          <w:rFonts w:ascii="Arial" w:hAnsi="Arial" w:cs="Arial"/>
          <w:color w:val="000000" w:themeColor="text1"/>
          <w:sz w:val="24"/>
          <w:szCs w:val="24"/>
        </w:rPr>
        <w:t xml:space="preserve">has </w:t>
      </w:r>
      <w:r w:rsidR="0092111B" w:rsidRPr="00DC4C9F">
        <w:rPr>
          <w:rFonts w:ascii="Arial" w:hAnsi="Arial" w:cs="Arial"/>
          <w:color w:val="000000" w:themeColor="text1"/>
          <w:sz w:val="24"/>
          <w:szCs w:val="24"/>
        </w:rPr>
        <w:t xml:space="preserve">modified the rules </w:t>
      </w:r>
      <w:r w:rsidR="0076585A" w:rsidRPr="00DC4C9F">
        <w:rPr>
          <w:rFonts w:ascii="Arial" w:hAnsi="Arial" w:cs="Arial"/>
          <w:color w:val="000000" w:themeColor="text1"/>
          <w:sz w:val="24"/>
          <w:szCs w:val="24"/>
        </w:rPr>
        <w:t xml:space="preserve">relating to implied grant and in the absence of a contrary </w:t>
      </w:r>
      <w:r w:rsidR="00AE4FB2" w:rsidRPr="00DC4C9F">
        <w:rPr>
          <w:rFonts w:ascii="Arial" w:hAnsi="Arial" w:cs="Arial"/>
          <w:color w:val="000000" w:themeColor="text1"/>
          <w:sz w:val="24"/>
          <w:szCs w:val="24"/>
        </w:rPr>
        <w:t>statement or intention</w:t>
      </w:r>
      <w:r w:rsidR="00EF1BBC" w:rsidRPr="00DC4C9F">
        <w:rPr>
          <w:rFonts w:ascii="Arial" w:hAnsi="Arial" w:cs="Arial"/>
          <w:color w:val="000000" w:themeColor="text1"/>
          <w:sz w:val="24"/>
          <w:szCs w:val="24"/>
        </w:rPr>
        <w:t>,</w:t>
      </w:r>
      <w:r w:rsidR="00AE4FB2" w:rsidRPr="00DC4C9F">
        <w:rPr>
          <w:rFonts w:ascii="Arial" w:hAnsi="Arial" w:cs="Arial"/>
          <w:color w:val="000000" w:themeColor="text1"/>
          <w:sz w:val="24"/>
          <w:szCs w:val="24"/>
        </w:rPr>
        <w:t xml:space="preserve"> </w:t>
      </w:r>
      <w:r w:rsidR="00C06938" w:rsidRPr="00DC4C9F">
        <w:rPr>
          <w:rFonts w:ascii="Arial" w:hAnsi="Arial" w:cs="Arial"/>
          <w:color w:val="000000" w:themeColor="text1"/>
          <w:sz w:val="24"/>
          <w:szCs w:val="24"/>
        </w:rPr>
        <w:t>every conveyance passes with it all easements, rights and advantages</w:t>
      </w:r>
      <w:r w:rsidR="00B31A62" w:rsidRPr="00DC4C9F">
        <w:rPr>
          <w:rFonts w:ascii="Arial" w:hAnsi="Arial" w:cs="Arial"/>
          <w:color w:val="000000" w:themeColor="text1"/>
          <w:sz w:val="24"/>
          <w:szCs w:val="24"/>
        </w:rPr>
        <w:t xml:space="preserve"> pertaining to </w:t>
      </w:r>
      <w:r w:rsidR="00710382" w:rsidRPr="00DC4C9F">
        <w:rPr>
          <w:rFonts w:ascii="Arial" w:hAnsi="Arial" w:cs="Arial"/>
          <w:color w:val="000000" w:themeColor="text1"/>
          <w:sz w:val="24"/>
          <w:szCs w:val="24"/>
        </w:rPr>
        <w:t>what was enjoyed at the time of conveyance</w:t>
      </w:r>
      <w:r w:rsidR="009E4417" w:rsidRPr="00DC4C9F">
        <w:rPr>
          <w:rFonts w:ascii="Arial" w:hAnsi="Arial" w:cs="Arial"/>
          <w:color w:val="000000" w:themeColor="text1"/>
          <w:sz w:val="24"/>
          <w:szCs w:val="24"/>
        </w:rPr>
        <w:t xml:space="preserve"> (Dollar, 2019).</w:t>
      </w:r>
      <w:r w:rsidR="00790D94" w:rsidRPr="00DC4C9F">
        <w:rPr>
          <w:rFonts w:ascii="Arial" w:hAnsi="Arial" w:cs="Arial"/>
          <w:color w:val="000000" w:themeColor="text1"/>
          <w:sz w:val="24"/>
          <w:szCs w:val="24"/>
        </w:rPr>
        <w:t xml:space="preserve"> </w:t>
      </w:r>
      <w:r w:rsidR="0033161B" w:rsidRPr="00DC4C9F">
        <w:rPr>
          <w:rFonts w:ascii="Arial" w:hAnsi="Arial" w:cs="Arial"/>
          <w:color w:val="000000" w:themeColor="text1"/>
          <w:sz w:val="24"/>
          <w:szCs w:val="24"/>
        </w:rPr>
        <w:t xml:space="preserve">The Law Commission criticised </w:t>
      </w:r>
      <w:r w:rsidR="00725E33" w:rsidRPr="00DC4C9F">
        <w:rPr>
          <w:rFonts w:ascii="Arial" w:hAnsi="Arial" w:cs="Arial"/>
          <w:color w:val="000000" w:themeColor="text1"/>
          <w:sz w:val="24"/>
          <w:szCs w:val="24"/>
        </w:rPr>
        <w:t>this ruling suggest</w:t>
      </w:r>
      <w:r w:rsidR="00F228E0" w:rsidRPr="00DC4C9F">
        <w:rPr>
          <w:rFonts w:ascii="Arial" w:hAnsi="Arial" w:cs="Arial"/>
          <w:color w:val="000000" w:themeColor="text1"/>
          <w:sz w:val="24"/>
          <w:szCs w:val="24"/>
        </w:rPr>
        <w:t>ing</w:t>
      </w:r>
      <w:r w:rsidR="00725E33" w:rsidRPr="00DC4C9F">
        <w:rPr>
          <w:rFonts w:ascii="Arial" w:hAnsi="Arial" w:cs="Arial"/>
          <w:color w:val="000000" w:themeColor="text1"/>
          <w:sz w:val="24"/>
          <w:szCs w:val="24"/>
        </w:rPr>
        <w:t xml:space="preserve"> that </w:t>
      </w:r>
      <w:r w:rsidR="00725E33" w:rsidRPr="00DC4C9F">
        <w:rPr>
          <w:rFonts w:ascii="Arial" w:hAnsi="Arial" w:cs="Arial"/>
          <w:color w:val="000000" w:themeColor="text1"/>
          <w:sz w:val="24"/>
          <w:szCs w:val="24"/>
        </w:rPr>
        <w:lastRenderedPageBreak/>
        <w:t xml:space="preserve">it be abolished </w:t>
      </w:r>
      <w:r w:rsidR="00EC5BA5" w:rsidRPr="00DC4C9F">
        <w:rPr>
          <w:rFonts w:ascii="Arial" w:hAnsi="Arial" w:cs="Arial"/>
          <w:color w:val="000000" w:themeColor="text1"/>
          <w:sz w:val="24"/>
          <w:szCs w:val="24"/>
        </w:rPr>
        <w:t xml:space="preserve">due to the restrictions preventing owners </w:t>
      </w:r>
      <w:r w:rsidR="00C97233" w:rsidRPr="00DC4C9F">
        <w:rPr>
          <w:rFonts w:ascii="Arial" w:hAnsi="Arial" w:cs="Arial"/>
          <w:color w:val="000000" w:themeColor="text1"/>
          <w:sz w:val="24"/>
          <w:szCs w:val="24"/>
        </w:rPr>
        <w:t>from dealing with and making reasonable use o</w:t>
      </w:r>
      <w:r w:rsidR="003F6231">
        <w:rPr>
          <w:rFonts w:ascii="Arial" w:hAnsi="Arial" w:cs="Arial"/>
          <w:color w:val="000000" w:themeColor="text1"/>
          <w:sz w:val="24"/>
          <w:szCs w:val="24"/>
        </w:rPr>
        <w:t>f</w:t>
      </w:r>
      <w:r w:rsidR="00C97233" w:rsidRPr="00DC4C9F">
        <w:rPr>
          <w:rFonts w:ascii="Arial" w:hAnsi="Arial" w:cs="Arial"/>
          <w:color w:val="000000" w:themeColor="text1"/>
          <w:sz w:val="24"/>
          <w:szCs w:val="24"/>
        </w:rPr>
        <w:t xml:space="preserve"> their own land (Robinson, 2019).</w:t>
      </w:r>
    </w:p>
    <w:p w14:paraId="598E7B77" w14:textId="77777777" w:rsidR="00A61429" w:rsidRPr="00D41F6E" w:rsidRDefault="00A61429" w:rsidP="00F75AD0">
      <w:pPr>
        <w:spacing w:line="480" w:lineRule="auto"/>
        <w:jc w:val="both"/>
        <w:rPr>
          <w:rFonts w:ascii="Arial" w:hAnsi="Arial" w:cs="Arial"/>
          <w:color w:val="000000" w:themeColor="text1"/>
          <w:sz w:val="24"/>
          <w:szCs w:val="24"/>
        </w:rPr>
      </w:pPr>
    </w:p>
    <w:p w14:paraId="5A6FBAF1" w14:textId="7329892D" w:rsidR="00720A70" w:rsidRDefault="00720A70" w:rsidP="00F75AD0">
      <w:pPr>
        <w:spacing w:line="480" w:lineRule="auto"/>
        <w:jc w:val="both"/>
        <w:rPr>
          <w:rFonts w:ascii="Arial" w:hAnsi="Arial" w:cs="Arial"/>
          <w:color w:val="9F006E"/>
          <w:sz w:val="24"/>
          <w:szCs w:val="24"/>
        </w:rPr>
      </w:pPr>
      <w:r w:rsidRPr="00D41F6E">
        <w:rPr>
          <w:rFonts w:ascii="Arial" w:hAnsi="Arial" w:cs="Arial"/>
          <w:color w:val="000000" w:themeColor="text1"/>
          <w:sz w:val="24"/>
          <w:szCs w:val="24"/>
        </w:rPr>
        <w:t>T</w:t>
      </w:r>
      <w:r w:rsidR="00FD1B8C" w:rsidRPr="00D41F6E">
        <w:rPr>
          <w:rFonts w:ascii="Arial" w:hAnsi="Arial" w:cs="Arial"/>
          <w:color w:val="000000" w:themeColor="text1"/>
          <w:sz w:val="24"/>
          <w:szCs w:val="24"/>
        </w:rPr>
        <w:t xml:space="preserve">he fourth characteristic </w:t>
      </w:r>
      <w:r w:rsidRPr="00D41F6E">
        <w:rPr>
          <w:rFonts w:ascii="Arial" w:hAnsi="Arial" w:cs="Arial"/>
          <w:color w:val="000000" w:themeColor="text1"/>
          <w:sz w:val="24"/>
          <w:szCs w:val="24"/>
        </w:rPr>
        <w:t>specifies</w:t>
      </w:r>
      <w:r w:rsidR="00A53716" w:rsidRPr="00D41F6E">
        <w:rPr>
          <w:rFonts w:ascii="Arial" w:hAnsi="Arial" w:cs="Arial"/>
          <w:color w:val="000000" w:themeColor="text1"/>
          <w:sz w:val="24"/>
          <w:szCs w:val="24"/>
        </w:rPr>
        <w:t xml:space="preserve"> the easement </w:t>
      </w:r>
      <w:r w:rsidRPr="00D41F6E">
        <w:rPr>
          <w:rFonts w:ascii="Arial" w:hAnsi="Arial" w:cs="Arial"/>
          <w:color w:val="000000" w:themeColor="text1"/>
          <w:sz w:val="24"/>
          <w:szCs w:val="24"/>
        </w:rPr>
        <w:t xml:space="preserve">must be </w:t>
      </w:r>
      <w:r w:rsidR="00A53716" w:rsidRPr="00D41F6E">
        <w:rPr>
          <w:rFonts w:ascii="Arial" w:hAnsi="Arial" w:cs="Arial"/>
          <w:color w:val="000000" w:themeColor="text1"/>
          <w:sz w:val="24"/>
          <w:szCs w:val="24"/>
        </w:rPr>
        <w:t xml:space="preserve">capable of forming the subject matter </w:t>
      </w:r>
      <w:r w:rsidR="00605437" w:rsidRPr="00D41F6E">
        <w:rPr>
          <w:rFonts w:ascii="Arial" w:hAnsi="Arial" w:cs="Arial"/>
          <w:color w:val="000000" w:themeColor="text1"/>
          <w:sz w:val="24"/>
          <w:szCs w:val="24"/>
        </w:rPr>
        <w:t>of a grant</w:t>
      </w:r>
      <w:r w:rsidR="00AC66D3" w:rsidRPr="00D41F6E">
        <w:rPr>
          <w:rFonts w:ascii="Arial" w:hAnsi="Arial" w:cs="Arial"/>
          <w:color w:val="000000" w:themeColor="text1"/>
          <w:sz w:val="24"/>
          <w:szCs w:val="24"/>
        </w:rPr>
        <w:t>,</w:t>
      </w:r>
      <w:r w:rsidRPr="00D41F6E">
        <w:rPr>
          <w:rFonts w:ascii="Arial" w:hAnsi="Arial" w:cs="Arial"/>
          <w:color w:val="000000" w:themeColor="text1"/>
          <w:sz w:val="24"/>
          <w:szCs w:val="24"/>
        </w:rPr>
        <w:t xml:space="preserve"> </w:t>
      </w:r>
      <w:r w:rsidR="00AC66D3" w:rsidRPr="00D41F6E">
        <w:rPr>
          <w:rFonts w:ascii="Arial" w:hAnsi="Arial" w:cs="Arial"/>
          <w:color w:val="000000" w:themeColor="text1"/>
          <w:sz w:val="24"/>
          <w:szCs w:val="24"/>
        </w:rPr>
        <w:t xml:space="preserve">on the grounds that an easement </w:t>
      </w:r>
      <w:r w:rsidR="00D7610D" w:rsidRPr="00D41F6E">
        <w:rPr>
          <w:rFonts w:ascii="Arial" w:hAnsi="Arial" w:cs="Arial"/>
          <w:color w:val="000000" w:themeColor="text1"/>
          <w:sz w:val="24"/>
          <w:szCs w:val="24"/>
        </w:rPr>
        <w:t xml:space="preserve">is </w:t>
      </w:r>
      <w:r w:rsidR="00AC66D3" w:rsidRPr="00D41F6E">
        <w:rPr>
          <w:rFonts w:ascii="Arial" w:hAnsi="Arial" w:cs="Arial"/>
          <w:color w:val="000000" w:themeColor="text1"/>
          <w:sz w:val="24"/>
          <w:szCs w:val="24"/>
        </w:rPr>
        <w:t xml:space="preserve">a registerable property right and therefore must be capable of being granted by deed under s.1(2)(a) LPA 1925 (Tanfield, 2016). </w:t>
      </w:r>
      <w:r w:rsidRPr="00D41F6E">
        <w:rPr>
          <w:rFonts w:ascii="Arial" w:hAnsi="Arial" w:cs="Arial"/>
          <w:color w:val="000000" w:themeColor="text1"/>
          <w:sz w:val="24"/>
          <w:szCs w:val="24"/>
        </w:rPr>
        <w:t xml:space="preserve">Strict parameters on the types of rights permissible fall into </w:t>
      </w:r>
      <w:r w:rsidR="00CB1100" w:rsidRPr="00D41F6E">
        <w:rPr>
          <w:rFonts w:ascii="Arial" w:hAnsi="Arial" w:cs="Arial"/>
          <w:color w:val="000000" w:themeColor="text1"/>
          <w:sz w:val="24"/>
          <w:szCs w:val="24"/>
        </w:rPr>
        <w:t>interlinking criteria</w:t>
      </w:r>
      <w:r w:rsidR="00555AFF" w:rsidRPr="00D41F6E">
        <w:rPr>
          <w:rFonts w:ascii="Arial" w:hAnsi="Arial" w:cs="Arial"/>
          <w:color w:val="000000" w:themeColor="text1"/>
          <w:sz w:val="24"/>
          <w:szCs w:val="24"/>
        </w:rPr>
        <w:t xml:space="preserve">. </w:t>
      </w:r>
      <w:r w:rsidR="00EA01CA" w:rsidRPr="00D41F6E">
        <w:rPr>
          <w:rFonts w:ascii="Arial" w:hAnsi="Arial" w:cs="Arial"/>
          <w:color w:val="000000" w:themeColor="text1"/>
          <w:sz w:val="24"/>
          <w:szCs w:val="24"/>
        </w:rPr>
        <w:t>There must be a capable grantor and grantee</w:t>
      </w:r>
      <w:r w:rsidR="008F2F49" w:rsidRPr="00D41F6E">
        <w:rPr>
          <w:rFonts w:ascii="Arial" w:hAnsi="Arial" w:cs="Arial"/>
          <w:color w:val="000000" w:themeColor="text1"/>
          <w:sz w:val="24"/>
          <w:szCs w:val="24"/>
        </w:rPr>
        <w:t xml:space="preserve">, </w:t>
      </w:r>
      <w:r w:rsidR="005B3368" w:rsidRPr="00D41F6E">
        <w:rPr>
          <w:rFonts w:ascii="Arial" w:hAnsi="Arial" w:cs="Arial"/>
          <w:color w:val="000000" w:themeColor="text1"/>
          <w:sz w:val="24"/>
          <w:szCs w:val="24"/>
        </w:rPr>
        <w:t xml:space="preserve">in effect </w:t>
      </w:r>
      <w:r w:rsidR="00FF20C1" w:rsidRPr="00D41F6E">
        <w:rPr>
          <w:rFonts w:ascii="Arial" w:hAnsi="Arial" w:cs="Arial"/>
          <w:color w:val="000000" w:themeColor="text1"/>
          <w:sz w:val="24"/>
          <w:szCs w:val="24"/>
        </w:rPr>
        <w:t xml:space="preserve">only </w:t>
      </w:r>
      <w:r w:rsidR="005B3368" w:rsidRPr="00D41F6E">
        <w:rPr>
          <w:rFonts w:ascii="Arial" w:hAnsi="Arial" w:cs="Arial"/>
          <w:color w:val="000000" w:themeColor="text1"/>
          <w:sz w:val="24"/>
          <w:szCs w:val="24"/>
        </w:rPr>
        <w:t xml:space="preserve">a </w:t>
      </w:r>
      <w:r w:rsidR="00FF20C1" w:rsidRPr="00D41F6E">
        <w:rPr>
          <w:rFonts w:ascii="Arial" w:hAnsi="Arial" w:cs="Arial"/>
          <w:color w:val="000000" w:themeColor="text1"/>
          <w:sz w:val="24"/>
          <w:szCs w:val="24"/>
        </w:rPr>
        <w:t xml:space="preserve">person </w:t>
      </w:r>
      <w:r w:rsidR="005B3368" w:rsidRPr="00D41F6E">
        <w:rPr>
          <w:rFonts w:ascii="Arial" w:hAnsi="Arial" w:cs="Arial"/>
          <w:color w:val="000000" w:themeColor="text1"/>
          <w:sz w:val="24"/>
          <w:szCs w:val="24"/>
        </w:rPr>
        <w:t>competent</w:t>
      </w:r>
      <w:r w:rsidR="00FF20C1" w:rsidRPr="00D41F6E">
        <w:rPr>
          <w:rFonts w:ascii="Arial" w:hAnsi="Arial" w:cs="Arial"/>
          <w:color w:val="000000" w:themeColor="text1"/>
          <w:sz w:val="24"/>
          <w:szCs w:val="24"/>
        </w:rPr>
        <w:t xml:space="preserve"> </w:t>
      </w:r>
      <w:r w:rsidR="00FC64BB" w:rsidRPr="00D41F6E">
        <w:rPr>
          <w:rFonts w:ascii="Arial" w:hAnsi="Arial" w:cs="Arial"/>
          <w:color w:val="000000" w:themeColor="text1"/>
          <w:sz w:val="24"/>
          <w:szCs w:val="24"/>
        </w:rPr>
        <w:t>with propriety interest can</w:t>
      </w:r>
      <w:r w:rsidR="00CE426F" w:rsidRPr="00D41F6E">
        <w:rPr>
          <w:rFonts w:ascii="Arial" w:hAnsi="Arial" w:cs="Arial"/>
          <w:color w:val="000000" w:themeColor="text1"/>
          <w:sz w:val="24"/>
          <w:szCs w:val="24"/>
        </w:rPr>
        <w:t xml:space="preserve"> grant an</w:t>
      </w:r>
      <w:r w:rsidR="00FC64BB" w:rsidRPr="00D41F6E">
        <w:rPr>
          <w:rFonts w:ascii="Arial" w:hAnsi="Arial" w:cs="Arial"/>
          <w:color w:val="000000" w:themeColor="text1"/>
          <w:sz w:val="24"/>
          <w:szCs w:val="24"/>
        </w:rPr>
        <w:t xml:space="preserve"> easement </w:t>
      </w:r>
      <w:r w:rsidR="00CE426F" w:rsidRPr="00D41F6E">
        <w:rPr>
          <w:rFonts w:ascii="Arial" w:hAnsi="Arial" w:cs="Arial"/>
          <w:color w:val="000000" w:themeColor="text1"/>
          <w:sz w:val="24"/>
          <w:szCs w:val="24"/>
        </w:rPr>
        <w:t>over servient land</w:t>
      </w:r>
      <w:r w:rsidR="00360C46">
        <w:rPr>
          <w:rFonts w:ascii="Arial" w:hAnsi="Arial" w:cs="Arial"/>
          <w:color w:val="000000" w:themeColor="text1"/>
          <w:sz w:val="24"/>
          <w:szCs w:val="24"/>
        </w:rPr>
        <w:t>,</w:t>
      </w:r>
      <w:r w:rsidR="00C62A2F" w:rsidRPr="00D41F6E">
        <w:rPr>
          <w:rFonts w:ascii="Arial" w:hAnsi="Arial" w:cs="Arial"/>
          <w:color w:val="000000" w:themeColor="text1"/>
          <w:sz w:val="24"/>
          <w:szCs w:val="24"/>
        </w:rPr>
        <w:t xml:space="preserve"> for instance</w:t>
      </w:r>
      <w:r w:rsidR="00C3540C" w:rsidRPr="00D41F6E">
        <w:rPr>
          <w:rFonts w:ascii="Arial" w:hAnsi="Arial" w:cs="Arial"/>
          <w:color w:val="000000" w:themeColor="text1"/>
          <w:sz w:val="24"/>
          <w:szCs w:val="24"/>
        </w:rPr>
        <w:t>, a</w:t>
      </w:r>
      <w:r w:rsidR="00677815" w:rsidRPr="00D41F6E">
        <w:rPr>
          <w:rFonts w:ascii="Arial" w:hAnsi="Arial" w:cs="Arial"/>
          <w:color w:val="000000" w:themeColor="text1"/>
          <w:sz w:val="24"/>
          <w:szCs w:val="24"/>
        </w:rPr>
        <w:t xml:space="preserve"> person entitled to a</w:t>
      </w:r>
      <w:r w:rsidR="00C3540C" w:rsidRPr="00D41F6E">
        <w:rPr>
          <w:rFonts w:ascii="Arial" w:hAnsi="Arial" w:cs="Arial"/>
          <w:color w:val="000000" w:themeColor="text1"/>
          <w:sz w:val="24"/>
          <w:szCs w:val="24"/>
        </w:rPr>
        <w:t xml:space="preserve"> leasehold or freehold </w:t>
      </w:r>
      <w:r w:rsidR="00677815" w:rsidRPr="00D41F6E">
        <w:rPr>
          <w:rFonts w:ascii="Arial" w:hAnsi="Arial" w:cs="Arial"/>
          <w:color w:val="000000" w:themeColor="text1"/>
          <w:sz w:val="24"/>
          <w:szCs w:val="24"/>
        </w:rPr>
        <w:t xml:space="preserve">estate in the land (Gray and Gray, 2011, pp.239). </w:t>
      </w:r>
      <w:r w:rsidR="00B137A8" w:rsidRPr="00D41F6E">
        <w:rPr>
          <w:rFonts w:ascii="Arial" w:hAnsi="Arial" w:cs="Arial"/>
          <w:color w:val="000000" w:themeColor="text1"/>
          <w:sz w:val="24"/>
          <w:szCs w:val="24"/>
        </w:rPr>
        <w:t>Likewise</w:t>
      </w:r>
      <w:r w:rsidR="00677815" w:rsidRPr="00D41F6E">
        <w:rPr>
          <w:rFonts w:ascii="Arial" w:hAnsi="Arial" w:cs="Arial"/>
          <w:color w:val="000000" w:themeColor="text1"/>
          <w:sz w:val="24"/>
          <w:szCs w:val="24"/>
        </w:rPr>
        <w:t>, the gua</w:t>
      </w:r>
      <w:r w:rsidR="00EC4DF6" w:rsidRPr="00D41F6E">
        <w:rPr>
          <w:rFonts w:ascii="Arial" w:hAnsi="Arial" w:cs="Arial"/>
          <w:color w:val="000000" w:themeColor="text1"/>
          <w:sz w:val="24"/>
          <w:szCs w:val="24"/>
        </w:rPr>
        <w:t>ra</w:t>
      </w:r>
      <w:r w:rsidR="00677815" w:rsidRPr="00D41F6E">
        <w:rPr>
          <w:rFonts w:ascii="Arial" w:hAnsi="Arial" w:cs="Arial"/>
          <w:color w:val="000000" w:themeColor="text1"/>
          <w:sz w:val="24"/>
          <w:szCs w:val="24"/>
        </w:rPr>
        <w:t xml:space="preserve">ntee </w:t>
      </w:r>
      <w:r w:rsidR="00CE6D59" w:rsidRPr="00D41F6E">
        <w:rPr>
          <w:rFonts w:ascii="Arial" w:hAnsi="Arial" w:cs="Arial"/>
          <w:color w:val="000000" w:themeColor="text1"/>
          <w:sz w:val="24"/>
          <w:szCs w:val="24"/>
        </w:rPr>
        <w:t>must be capable of receiving such a grant</w:t>
      </w:r>
      <w:r w:rsidR="002B27A4">
        <w:rPr>
          <w:rFonts w:ascii="Arial" w:hAnsi="Arial" w:cs="Arial"/>
          <w:color w:val="000000" w:themeColor="text1"/>
          <w:sz w:val="24"/>
          <w:szCs w:val="24"/>
        </w:rPr>
        <w:t>,</w:t>
      </w:r>
      <w:r w:rsidR="00CE6D59" w:rsidRPr="00D41F6E">
        <w:rPr>
          <w:rFonts w:ascii="Arial" w:hAnsi="Arial" w:cs="Arial"/>
          <w:color w:val="000000" w:themeColor="text1"/>
          <w:sz w:val="24"/>
          <w:szCs w:val="24"/>
        </w:rPr>
        <w:t xml:space="preserve"> </w:t>
      </w:r>
      <w:r w:rsidR="003D347C" w:rsidRPr="00D41F6E">
        <w:rPr>
          <w:rFonts w:ascii="Arial" w:hAnsi="Arial" w:cs="Arial"/>
          <w:color w:val="000000" w:themeColor="text1"/>
          <w:sz w:val="24"/>
          <w:szCs w:val="24"/>
        </w:rPr>
        <w:t>implying that the grant must be to a definite person or definite body of persons</w:t>
      </w:r>
      <w:r w:rsidR="00640CA8" w:rsidRPr="00D41F6E">
        <w:rPr>
          <w:rFonts w:ascii="Arial" w:hAnsi="Arial" w:cs="Arial"/>
          <w:color w:val="000000" w:themeColor="text1"/>
          <w:sz w:val="24"/>
          <w:szCs w:val="24"/>
        </w:rPr>
        <w:t xml:space="preserve"> </w:t>
      </w:r>
      <w:r w:rsidR="00492927" w:rsidRPr="00D41F6E">
        <w:rPr>
          <w:rFonts w:ascii="Arial" w:hAnsi="Arial" w:cs="Arial"/>
          <w:color w:val="000000" w:themeColor="text1"/>
          <w:sz w:val="24"/>
          <w:szCs w:val="24"/>
        </w:rPr>
        <w:t>(Bray, 2016, pp.293)</w:t>
      </w:r>
      <w:r w:rsidR="004A2980" w:rsidRPr="00D41F6E">
        <w:rPr>
          <w:rFonts w:ascii="Arial" w:hAnsi="Arial" w:cs="Arial"/>
          <w:color w:val="000000" w:themeColor="text1"/>
          <w:sz w:val="24"/>
          <w:szCs w:val="24"/>
        </w:rPr>
        <w:t>.</w:t>
      </w:r>
      <w:r w:rsidR="004A2980">
        <w:rPr>
          <w:rFonts w:ascii="Arial" w:hAnsi="Arial" w:cs="Arial"/>
          <w:color w:val="9F006E"/>
          <w:sz w:val="24"/>
          <w:szCs w:val="24"/>
        </w:rPr>
        <w:t xml:space="preserve"> </w:t>
      </w:r>
    </w:p>
    <w:p w14:paraId="5751DA9A" w14:textId="2D06EA22" w:rsidR="008F4E3E" w:rsidRDefault="005349A4" w:rsidP="004917E9">
      <w:pPr>
        <w:spacing w:line="480" w:lineRule="auto"/>
        <w:jc w:val="both"/>
        <w:rPr>
          <w:rFonts w:ascii="Arial" w:hAnsi="Arial" w:cs="Arial"/>
          <w:color w:val="000000" w:themeColor="text1"/>
          <w:sz w:val="24"/>
          <w:szCs w:val="24"/>
        </w:rPr>
      </w:pPr>
      <w:r w:rsidRPr="007017A0">
        <w:rPr>
          <w:rFonts w:ascii="Arial" w:hAnsi="Arial" w:cs="Arial"/>
          <w:color w:val="000000" w:themeColor="text1"/>
          <w:sz w:val="24"/>
          <w:szCs w:val="24"/>
        </w:rPr>
        <w:t xml:space="preserve">All easements must have definitional clarity. </w:t>
      </w:r>
      <w:r w:rsidR="00F8748D" w:rsidRPr="007017A0">
        <w:rPr>
          <w:rFonts w:ascii="Arial" w:hAnsi="Arial" w:cs="Arial"/>
          <w:color w:val="000000" w:themeColor="text1"/>
          <w:sz w:val="24"/>
          <w:szCs w:val="24"/>
        </w:rPr>
        <w:t xml:space="preserve">Therefore, the exact nature of the right </w:t>
      </w:r>
      <w:r w:rsidR="00F7282B" w:rsidRPr="007017A0">
        <w:rPr>
          <w:rFonts w:ascii="Arial" w:hAnsi="Arial" w:cs="Arial"/>
          <w:color w:val="000000" w:themeColor="text1"/>
          <w:sz w:val="24"/>
          <w:szCs w:val="24"/>
        </w:rPr>
        <w:t>should be clear in ambit</w:t>
      </w:r>
      <w:r w:rsidR="00BB0ACC" w:rsidRPr="007017A0">
        <w:rPr>
          <w:rFonts w:ascii="Arial" w:hAnsi="Arial" w:cs="Arial"/>
          <w:color w:val="000000" w:themeColor="text1"/>
          <w:sz w:val="24"/>
          <w:szCs w:val="24"/>
        </w:rPr>
        <w:t>.</w:t>
      </w:r>
      <w:r w:rsidR="00F7282B" w:rsidRPr="007017A0">
        <w:rPr>
          <w:rFonts w:ascii="Arial" w:hAnsi="Arial" w:cs="Arial"/>
          <w:color w:val="000000" w:themeColor="text1"/>
          <w:sz w:val="24"/>
          <w:szCs w:val="24"/>
        </w:rPr>
        <w:t xml:space="preserve"> </w:t>
      </w:r>
      <w:r w:rsidR="00BB0ACC" w:rsidRPr="007017A0">
        <w:rPr>
          <w:rFonts w:ascii="Arial" w:hAnsi="Arial" w:cs="Arial"/>
          <w:color w:val="000000" w:themeColor="text1"/>
          <w:sz w:val="24"/>
          <w:szCs w:val="24"/>
        </w:rPr>
        <w:t>I</w:t>
      </w:r>
      <w:r w:rsidR="002D7FBC" w:rsidRPr="007017A0">
        <w:rPr>
          <w:rFonts w:ascii="Arial" w:hAnsi="Arial" w:cs="Arial"/>
          <w:color w:val="000000" w:themeColor="text1"/>
          <w:sz w:val="24"/>
          <w:szCs w:val="24"/>
        </w:rPr>
        <w:t xml:space="preserve">ll-defined </w:t>
      </w:r>
      <w:r w:rsidR="00BB0ACC" w:rsidRPr="007017A0">
        <w:rPr>
          <w:rFonts w:ascii="Arial" w:hAnsi="Arial" w:cs="Arial"/>
          <w:color w:val="000000" w:themeColor="text1"/>
          <w:sz w:val="24"/>
          <w:szCs w:val="24"/>
        </w:rPr>
        <w:t xml:space="preserve">and too broadly phrased rights </w:t>
      </w:r>
      <w:r w:rsidR="00C22C0D" w:rsidRPr="007017A0">
        <w:rPr>
          <w:rFonts w:ascii="Arial" w:hAnsi="Arial" w:cs="Arial"/>
          <w:color w:val="000000" w:themeColor="text1"/>
          <w:sz w:val="24"/>
          <w:szCs w:val="24"/>
        </w:rPr>
        <w:t>cannot be subject to a grant</w:t>
      </w:r>
      <w:r w:rsidR="00E55FC2" w:rsidRPr="007017A0">
        <w:rPr>
          <w:rFonts w:ascii="Arial" w:hAnsi="Arial" w:cs="Arial"/>
          <w:color w:val="000000" w:themeColor="text1"/>
          <w:sz w:val="24"/>
          <w:szCs w:val="24"/>
        </w:rPr>
        <w:t xml:space="preserve">, </w:t>
      </w:r>
      <w:r w:rsidR="00BA4C7A" w:rsidRPr="007017A0">
        <w:rPr>
          <w:rFonts w:ascii="Arial" w:hAnsi="Arial" w:cs="Arial"/>
          <w:color w:val="000000" w:themeColor="text1"/>
          <w:sz w:val="24"/>
          <w:szCs w:val="24"/>
        </w:rPr>
        <w:t>demonstrated in</w:t>
      </w:r>
      <w:r w:rsidR="00C22C0D" w:rsidRPr="007017A0">
        <w:rPr>
          <w:rFonts w:ascii="Arial" w:hAnsi="Arial" w:cs="Arial"/>
          <w:color w:val="000000" w:themeColor="text1"/>
          <w:sz w:val="24"/>
          <w:szCs w:val="24"/>
        </w:rPr>
        <w:t xml:space="preserve"> </w:t>
      </w:r>
      <w:r w:rsidR="00BA4C7A" w:rsidRPr="007017A0">
        <w:rPr>
          <w:rFonts w:ascii="Arial" w:hAnsi="Arial" w:cs="Arial"/>
          <w:i/>
          <w:iCs/>
          <w:color w:val="000000" w:themeColor="text1"/>
          <w:sz w:val="24"/>
          <w:szCs w:val="24"/>
        </w:rPr>
        <w:t xml:space="preserve">Re Aldred [1610] </w:t>
      </w:r>
      <w:r w:rsidR="00834EEB" w:rsidRPr="007017A0">
        <w:rPr>
          <w:rFonts w:ascii="Arial" w:hAnsi="Arial" w:cs="Arial"/>
          <w:color w:val="000000" w:themeColor="text1"/>
          <w:sz w:val="24"/>
          <w:szCs w:val="24"/>
        </w:rPr>
        <w:t xml:space="preserve">as there cannot be an easement of a </w:t>
      </w:r>
      <w:r w:rsidR="00965F45" w:rsidRPr="007017A0">
        <w:rPr>
          <w:rFonts w:ascii="Arial" w:hAnsi="Arial" w:cs="Arial"/>
          <w:color w:val="000000" w:themeColor="text1"/>
          <w:sz w:val="24"/>
          <w:szCs w:val="24"/>
        </w:rPr>
        <w:t>‘</w:t>
      </w:r>
      <w:r w:rsidR="00834EEB" w:rsidRPr="007017A0">
        <w:rPr>
          <w:rFonts w:ascii="Arial" w:hAnsi="Arial" w:cs="Arial"/>
          <w:color w:val="000000" w:themeColor="text1"/>
          <w:sz w:val="24"/>
          <w:szCs w:val="24"/>
        </w:rPr>
        <w:t>good view</w:t>
      </w:r>
      <w:r w:rsidR="00965F45" w:rsidRPr="007017A0">
        <w:rPr>
          <w:rFonts w:ascii="Arial" w:hAnsi="Arial" w:cs="Arial"/>
          <w:color w:val="000000" w:themeColor="text1"/>
          <w:sz w:val="24"/>
          <w:szCs w:val="24"/>
        </w:rPr>
        <w:t>’</w:t>
      </w:r>
      <w:r w:rsidR="006C08DE">
        <w:rPr>
          <w:rFonts w:ascii="Arial" w:hAnsi="Arial" w:cs="Arial"/>
          <w:color w:val="000000" w:themeColor="text1"/>
          <w:sz w:val="24"/>
          <w:szCs w:val="24"/>
        </w:rPr>
        <w:t xml:space="preserve"> given </w:t>
      </w:r>
      <w:r w:rsidR="00B34839">
        <w:rPr>
          <w:rFonts w:ascii="Arial" w:hAnsi="Arial" w:cs="Arial"/>
          <w:color w:val="000000" w:themeColor="text1"/>
          <w:sz w:val="24"/>
          <w:szCs w:val="24"/>
        </w:rPr>
        <w:t>its ambiguous nature</w:t>
      </w:r>
      <w:r w:rsidR="00A91087" w:rsidRPr="007017A0">
        <w:rPr>
          <w:rFonts w:ascii="Arial" w:hAnsi="Arial" w:cs="Arial"/>
          <w:color w:val="000000" w:themeColor="text1"/>
          <w:sz w:val="24"/>
          <w:szCs w:val="24"/>
        </w:rPr>
        <w:t xml:space="preserve">. </w:t>
      </w:r>
      <w:r w:rsidR="00F4362F">
        <w:rPr>
          <w:rFonts w:ascii="Arial" w:hAnsi="Arial" w:cs="Arial"/>
          <w:color w:val="000000" w:themeColor="text1"/>
          <w:sz w:val="24"/>
          <w:szCs w:val="24"/>
        </w:rPr>
        <w:t>Consequently, i</w:t>
      </w:r>
      <w:r w:rsidR="00E44C8A" w:rsidRPr="007017A0">
        <w:rPr>
          <w:rFonts w:ascii="Arial" w:hAnsi="Arial" w:cs="Arial"/>
          <w:color w:val="000000" w:themeColor="text1"/>
          <w:sz w:val="24"/>
          <w:szCs w:val="24"/>
        </w:rPr>
        <w:t xml:space="preserve">t could be </w:t>
      </w:r>
      <w:r w:rsidR="00205C4D" w:rsidRPr="007017A0">
        <w:rPr>
          <w:rFonts w:ascii="Arial" w:hAnsi="Arial" w:cs="Arial"/>
          <w:color w:val="000000" w:themeColor="text1"/>
          <w:sz w:val="24"/>
          <w:szCs w:val="24"/>
        </w:rPr>
        <w:t xml:space="preserve">argued </w:t>
      </w:r>
      <w:r w:rsidR="00E44C8A" w:rsidRPr="007017A0">
        <w:rPr>
          <w:rFonts w:ascii="Arial" w:hAnsi="Arial" w:cs="Arial"/>
          <w:color w:val="000000" w:themeColor="text1"/>
          <w:sz w:val="24"/>
          <w:szCs w:val="24"/>
        </w:rPr>
        <w:t xml:space="preserve">that </w:t>
      </w:r>
      <w:r w:rsidR="00E44C8A" w:rsidRPr="007017A0">
        <w:rPr>
          <w:rFonts w:ascii="Arial" w:hAnsi="Arial" w:cs="Arial"/>
          <w:i/>
          <w:iCs/>
          <w:color w:val="000000" w:themeColor="text1"/>
          <w:sz w:val="24"/>
          <w:szCs w:val="24"/>
        </w:rPr>
        <w:t xml:space="preserve">Re Ellenborough Parks [1956] </w:t>
      </w:r>
      <w:r w:rsidR="00E44C8A" w:rsidRPr="007017A0">
        <w:rPr>
          <w:rFonts w:ascii="Arial" w:hAnsi="Arial" w:cs="Arial"/>
          <w:color w:val="000000" w:themeColor="text1"/>
          <w:sz w:val="24"/>
          <w:szCs w:val="24"/>
        </w:rPr>
        <w:t xml:space="preserve">was too </w:t>
      </w:r>
      <w:r w:rsidR="00A30D61" w:rsidRPr="007017A0">
        <w:rPr>
          <w:rFonts w:ascii="Arial" w:hAnsi="Arial" w:cs="Arial"/>
          <w:color w:val="000000" w:themeColor="text1"/>
          <w:sz w:val="24"/>
          <w:szCs w:val="24"/>
        </w:rPr>
        <w:t xml:space="preserve">vague and too indefinite to </w:t>
      </w:r>
      <w:r w:rsidR="003614CB">
        <w:rPr>
          <w:rFonts w:ascii="Arial" w:hAnsi="Arial" w:cs="Arial"/>
          <w:color w:val="000000" w:themeColor="text1"/>
          <w:sz w:val="24"/>
          <w:szCs w:val="24"/>
        </w:rPr>
        <w:t xml:space="preserve">also </w:t>
      </w:r>
      <w:r w:rsidR="00A30D61" w:rsidRPr="007017A0">
        <w:rPr>
          <w:rFonts w:ascii="Arial" w:hAnsi="Arial" w:cs="Arial"/>
          <w:color w:val="000000" w:themeColor="text1"/>
          <w:sz w:val="24"/>
          <w:szCs w:val="24"/>
        </w:rPr>
        <w:t xml:space="preserve">amount to an easement </w:t>
      </w:r>
      <w:r w:rsidR="008F4E3E" w:rsidRPr="007017A0">
        <w:rPr>
          <w:rFonts w:ascii="Arial" w:hAnsi="Arial" w:cs="Arial"/>
          <w:color w:val="000000" w:themeColor="text1"/>
          <w:sz w:val="24"/>
          <w:szCs w:val="24"/>
        </w:rPr>
        <w:t>(Richards, 2014, pp.43</w:t>
      </w:r>
      <w:r w:rsidR="008F4E3E">
        <w:rPr>
          <w:rFonts w:ascii="Arial" w:hAnsi="Arial" w:cs="Arial"/>
          <w:color w:val="000000" w:themeColor="text1"/>
          <w:sz w:val="24"/>
          <w:szCs w:val="24"/>
        </w:rPr>
        <w:t>6-43</w:t>
      </w:r>
      <w:r w:rsidR="008F4E3E" w:rsidRPr="007017A0">
        <w:rPr>
          <w:rFonts w:ascii="Arial" w:hAnsi="Arial" w:cs="Arial"/>
          <w:color w:val="000000" w:themeColor="text1"/>
          <w:sz w:val="24"/>
          <w:szCs w:val="24"/>
        </w:rPr>
        <w:t>7)</w:t>
      </w:r>
      <w:r w:rsidR="008F4E3E">
        <w:rPr>
          <w:rFonts w:ascii="Arial" w:hAnsi="Arial" w:cs="Arial"/>
          <w:color w:val="000000" w:themeColor="text1"/>
          <w:sz w:val="24"/>
          <w:szCs w:val="24"/>
        </w:rPr>
        <w:t>.</w:t>
      </w:r>
    </w:p>
    <w:p w14:paraId="263067EA" w14:textId="695B91CC" w:rsidR="008F4E3E" w:rsidRDefault="0053490E" w:rsidP="004917E9">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Furthermore</w:t>
      </w:r>
      <w:r w:rsidR="00D836C8" w:rsidRPr="007017A0">
        <w:rPr>
          <w:rFonts w:ascii="Arial" w:hAnsi="Arial" w:cs="Arial"/>
          <w:color w:val="000000" w:themeColor="text1"/>
          <w:sz w:val="24"/>
          <w:szCs w:val="24"/>
        </w:rPr>
        <w:t xml:space="preserve">, </w:t>
      </w:r>
      <w:r w:rsidR="00B013E8" w:rsidRPr="007017A0">
        <w:rPr>
          <w:rFonts w:ascii="Arial" w:hAnsi="Arial" w:cs="Arial"/>
          <w:color w:val="000000" w:themeColor="text1"/>
          <w:sz w:val="24"/>
          <w:szCs w:val="24"/>
        </w:rPr>
        <w:t xml:space="preserve">when considering </w:t>
      </w:r>
      <w:r w:rsidR="00B013E8" w:rsidRPr="007017A0">
        <w:rPr>
          <w:rFonts w:ascii="Arial" w:hAnsi="Arial" w:cs="Arial"/>
          <w:i/>
          <w:iCs/>
          <w:color w:val="000000" w:themeColor="text1"/>
          <w:sz w:val="24"/>
          <w:szCs w:val="24"/>
        </w:rPr>
        <w:t xml:space="preserve">Hunter v Canary Wharf [1997] </w:t>
      </w:r>
      <w:r w:rsidR="0094386D" w:rsidRPr="007017A0">
        <w:rPr>
          <w:rFonts w:ascii="Arial" w:hAnsi="Arial" w:cs="Arial"/>
          <w:color w:val="000000" w:themeColor="text1"/>
          <w:sz w:val="24"/>
          <w:szCs w:val="24"/>
        </w:rPr>
        <w:t xml:space="preserve">the easement failed </w:t>
      </w:r>
      <w:r w:rsidR="00B013E8" w:rsidRPr="007017A0">
        <w:rPr>
          <w:rFonts w:ascii="Arial" w:hAnsi="Arial" w:cs="Arial"/>
          <w:color w:val="000000" w:themeColor="text1"/>
          <w:sz w:val="24"/>
          <w:szCs w:val="24"/>
        </w:rPr>
        <w:t xml:space="preserve">on acquiring a right on the grounds of being insufficiently definite </w:t>
      </w:r>
      <w:r w:rsidR="008F4E3E">
        <w:rPr>
          <w:rFonts w:ascii="Arial" w:hAnsi="Arial" w:cs="Arial"/>
          <w:color w:val="000000" w:themeColor="text1"/>
          <w:sz w:val="24"/>
          <w:szCs w:val="24"/>
        </w:rPr>
        <w:t xml:space="preserve">and </w:t>
      </w:r>
      <w:r w:rsidR="0094386D" w:rsidRPr="007017A0">
        <w:rPr>
          <w:rFonts w:ascii="Arial" w:hAnsi="Arial" w:cs="Arial"/>
          <w:color w:val="000000" w:themeColor="text1"/>
          <w:sz w:val="24"/>
          <w:szCs w:val="24"/>
        </w:rPr>
        <w:t xml:space="preserve">also </w:t>
      </w:r>
      <w:r w:rsidR="00424C6D" w:rsidRPr="007017A0">
        <w:rPr>
          <w:rFonts w:ascii="Arial" w:hAnsi="Arial" w:cs="Arial"/>
          <w:color w:val="000000" w:themeColor="text1"/>
          <w:sz w:val="24"/>
          <w:szCs w:val="24"/>
        </w:rPr>
        <w:t>fell into the category of;</w:t>
      </w:r>
      <w:r w:rsidR="001555BB" w:rsidRPr="007017A0">
        <w:rPr>
          <w:rFonts w:ascii="Arial" w:hAnsi="Arial" w:cs="Arial"/>
          <w:color w:val="000000" w:themeColor="text1"/>
          <w:sz w:val="24"/>
          <w:szCs w:val="24"/>
        </w:rPr>
        <w:t xml:space="preserve"> the </w:t>
      </w:r>
      <w:r w:rsidR="00DC2FBF" w:rsidRPr="007017A0">
        <w:rPr>
          <w:rFonts w:ascii="Arial" w:hAnsi="Arial" w:cs="Arial"/>
          <w:color w:val="000000" w:themeColor="text1"/>
          <w:sz w:val="24"/>
          <w:szCs w:val="24"/>
        </w:rPr>
        <w:t xml:space="preserve">right must be within the </w:t>
      </w:r>
      <w:r w:rsidR="001555BB" w:rsidRPr="007017A0">
        <w:rPr>
          <w:rFonts w:ascii="Arial" w:hAnsi="Arial" w:cs="Arial"/>
          <w:color w:val="000000" w:themeColor="text1"/>
          <w:sz w:val="24"/>
          <w:szCs w:val="24"/>
        </w:rPr>
        <w:t>general nature of the right</w:t>
      </w:r>
      <w:r w:rsidR="00DC2FBF" w:rsidRPr="007017A0">
        <w:rPr>
          <w:rFonts w:ascii="Arial" w:hAnsi="Arial" w:cs="Arial"/>
          <w:color w:val="000000" w:themeColor="text1"/>
          <w:sz w:val="24"/>
          <w:szCs w:val="24"/>
        </w:rPr>
        <w:t xml:space="preserve">s traditionally recognised as </w:t>
      </w:r>
      <w:r w:rsidR="002A48A8" w:rsidRPr="007017A0">
        <w:rPr>
          <w:rFonts w:ascii="Arial" w:hAnsi="Arial" w:cs="Arial"/>
          <w:color w:val="000000" w:themeColor="text1"/>
          <w:sz w:val="24"/>
          <w:szCs w:val="24"/>
        </w:rPr>
        <w:t>easements</w:t>
      </w:r>
      <w:r w:rsidR="00E15F12">
        <w:rPr>
          <w:rFonts w:ascii="Arial" w:hAnsi="Arial" w:cs="Arial"/>
          <w:color w:val="000000" w:themeColor="text1"/>
          <w:sz w:val="24"/>
          <w:szCs w:val="24"/>
        </w:rPr>
        <w:t>’</w:t>
      </w:r>
      <w:r w:rsidR="00006B04" w:rsidRPr="007017A0">
        <w:rPr>
          <w:rFonts w:ascii="Arial" w:hAnsi="Arial" w:cs="Arial"/>
          <w:color w:val="000000" w:themeColor="text1"/>
          <w:sz w:val="24"/>
          <w:szCs w:val="24"/>
        </w:rPr>
        <w:t xml:space="preserve"> (Gray and Gray, 2011, pp.</w:t>
      </w:r>
      <w:r w:rsidR="008E3CC2" w:rsidRPr="007017A0">
        <w:rPr>
          <w:rFonts w:ascii="Arial" w:hAnsi="Arial" w:cs="Arial"/>
          <w:color w:val="000000" w:themeColor="text1"/>
          <w:sz w:val="24"/>
          <w:szCs w:val="24"/>
        </w:rPr>
        <w:t>239-240</w:t>
      </w:r>
      <w:r w:rsidR="00006B04" w:rsidRPr="007017A0">
        <w:rPr>
          <w:rFonts w:ascii="Arial" w:hAnsi="Arial" w:cs="Arial"/>
          <w:color w:val="000000" w:themeColor="text1"/>
          <w:sz w:val="24"/>
          <w:szCs w:val="24"/>
        </w:rPr>
        <w:t>)</w:t>
      </w:r>
      <w:r w:rsidR="002A48A8" w:rsidRPr="007017A0">
        <w:rPr>
          <w:rFonts w:ascii="Arial" w:hAnsi="Arial" w:cs="Arial"/>
          <w:color w:val="000000" w:themeColor="text1"/>
          <w:sz w:val="24"/>
          <w:szCs w:val="24"/>
        </w:rPr>
        <w:t xml:space="preserve">. </w:t>
      </w:r>
      <w:r w:rsidR="008F4E3E">
        <w:rPr>
          <w:rFonts w:ascii="Arial" w:hAnsi="Arial" w:cs="Arial"/>
          <w:color w:val="000000" w:themeColor="text1"/>
          <w:sz w:val="24"/>
          <w:szCs w:val="24"/>
        </w:rPr>
        <w:t>Although, i</w:t>
      </w:r>
      <w:r w:rsidR="00D02C9C">
        <w:rPr>
          <w:rFonts w:ascii="Arial" w:hAnsi="Arial" w:cs="Arial"/>
          <w:color w:val="000000" w:themeColor="text1"/>
          <w:sz w:val="24"/>
          <w:szCs w:val="24"/>
        </w:rPr>
        <w:t xml:space="preserve">t could be </w:t>
      </w:r>
      <w:r w:rsidR="00D02C9C">
        <w:rPr>
          <w:rFonts w:ascii="Arial" w:hAnsi="Arial" w:cs="Arial"/>
          <w:color w:val="000000" w:themeColor="text1"/>
          <w:sz w:val="24"/>
          <w:szCs w:val="24"/>
        </w:rPr>
        <w:lastRenderedPageBreak/>
        <w:t xml:space="preserve">argued that the decision in </w:t>
      </w:r>
      <w:r w:rsidR="00D02C9C">
        <w:rPr>
          <w:rFonts w:ascii="Arial" w:hAnsi="Arial" w:cs="Arial"/>
          <w:i/>
          <w:iCs/>
          <w:color w:val="000000" w:themeColor="text1"/>
          <w:sz w:val="24"/>
          <w:szCs w:val="24"/>
        </w:rPr>
        <w:t>Hunter [</w:t>
      </w:r>
      <w:r w:rsidR="00D53780">
        <w:rPr>
          <w:rFonts w:ascii="Arial" w:hAnsi="Arial" w:cs="Arial"/>
          <w:i/>
          <w:iCs/>
          <w:color w:val="000000" w:themeColor="text1"/>
          <w:sz w:val="24"/>
          <w:szCs w:val="24"/>
        </w:rPr>
        <w:t xml:space="preserve">1997] </w:t>
      </w:r>
      <w:r w:rsidR="00D53780">
        <w:rPr>
          <w:rFonts w:ascii="Arial" w:hAnsi="Arial" w:cs="Arial"/>
          <w:color w:val="000000" w:themeColor="text1"/>
          <w:sz w:val="24"/>
          <w:szCs w:val="24"/>
        </w:rPr>
        <w:t xml:space="preserve">was </w:t>
      </w:r>
      <w:r w:rsidR="008F4E3E">
        <w:rPr>
          <w:rFonts w:ascii="Arial" w:hAnsi="Arial" w:cs="Arial"/>
          <w:color w:val="000000" w:themeColor="text1"/>
          <w:sz w:val="24"/>
          <w:szCs w:val="24"/>
        </w:rPr>
        <w:t xml:space="preserve">also </w:t>
      </w:r>
      <w:r w:rsidR="00D53780">
        <w:rPr>
          <w:rFonts w:ascii="Arial" w:hAnsi="Arial" w:cs="Arial"/>
          <w:color w:val="000000" w:themeColor="text1"/>
          <w:sz w:val="24"/>
          <w:szCs w:val="24"/>
        </w:rPr>
        <w:t>influenced by public policy</w:t>
      </w:r>
      <w:r w:rsidR="008F4E3E">
        <w:rPr>
          <w:rFonts w:ascii="Arial" w:hAnsi="Arial" w:cs="Arial"/>
          <w:color w:val="000000" w:themeColor="text1"/>
          <w:sz w:val="24"/>
          <w:szCs w:val="24"/>
        </w:rPr>
        <w:t xml:space="preserve"> (Sayles, 2020, pp.183)</w:t>
      </w:r>
      <w:r w:rsidR="00D53780">
        <w:rPr>
          <w:rFonts w:ascii="Arial" w:hAnsi="Arial" w:cs="Arial"/>
          <w:color w:val="000000" w:themeColor="text1"/>
          <w:sz w:val="24"/>
          <w:szCs w:val="24"/>
        </w:rPr>
        <w:t xml:space="preserve">. </w:t>
      </w:r>
    </w:p>
    <w:p w14:paraId="78C9F464" w14:textId="54CDC685" w:rsidR="00617E09" w:rsidRDefault="00D661C8" w:rsidP="004917E9">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law recognises </w:t>
      </w:r>
      <w:r w:rsidR="009959E8">
        <w:rPr>
          <w:rFonts w:ascii="Arial" w:hAnsi="Arial" w:cs="Arial"/>
          <w:color w:val="000000" w:themeColor="text1"/>
          <w:sz w:val="24"/>
          <w:szCs w:val="24"/>
        </w:rPr>
        <w:t xml:space="preserve">that the list </w:t>
      </w:r>
      <w:r w:rsidR="00EB3D95">
        <w:rPr>
          <w:rFonts w:ascii="Arial" w:hAnsi="Arial" w:cs="Arial"/>
          <w:color w:val="000000" w:themeColor="text1"/>
          <w:sz w:val="24"/>
          <w:szCs w:val="24"/>
        </w:rPr>
        <w:t xml:space="preserve">of categorised easements is not closed </w:t>
      </w:r>
      <w:r w:rsidR="007F177A">
        <w:rPr>
          <w:rFonts w:ascii="Arial" w:hAnsi="Arial" w:cs="Arial"/>
          <w:color w:val="000000" w:themeColor="text1"/>
          <w:sz w:val="24"/>
          <w:szCs w:val="24"/>
        </w:rPr>
        <w:t xml:space="preserve">and could therefore be expanded on and evolve into the changing needs of society seen in </w:t>
      </w:r>
      <w:r w:rsidR="007F177A">
        <w:rPr>
          <w:rFonts w:ascii="Arial" w:hAnsi="Arial" w:cs="Arial"/>
          <w:i/>
          <w:iCs/>
          <w:color w:val="000000" w:themeColor="text1"/>
          <w:sz w:val="24"/>
          <w:szCs w:val="24"/>
        </w:rPr>
        <w:t xml:space="preserve">Regency Villas [2018] </w:t>
      </w:r>
      <w:r w:rsidR="004E64DE">
        <w:rPr>
          <w:rFonts w:ascii="Arial" w:hAnsi="Arial" w:cs="Arial"/>
          <w:color w:val="000000" w:themeColor="text1"/>
          <w:sz w:val="24"/>
          <w:szCs w:val="24"/>
        </w:rPr>
        <w:t xml:space="preserve">nevertheless, courts are reluctant to </w:t>
      </w:r>
      <w:r w:rsidR="00F22E78">
        <w:rPr>
          <w:rFonts w:ascii="Arial" w:hAnsi="Arial" w:cs="Arial"/>
          <w:color w:val="000000" w:themeColor="text1"/>
          <w:sz w:val="24"/>
          <w:szCs w:val="24"/>
        </w:rPr>
        <w:t xml:space="preserve">admit new types of </w:t>
      </w:r>
      <w:r w:rsidR="00F86350">
        <w:rPr>
          <w:rFonts w:ascii="Arial" w:hAnsi="Arial" w:cs="Arial"/>
          <w:color w:val="000000" w:themeColor="text1"/>
          <w:sz w:val="24"/>
          <w:szCs w:val="24"/>
        </w:rPr>
        <w:t xml:space="preserve">negative </w:t>
      </w:r>
      <w:r w:rsidR="00F22E78">
        <w:rPr>
          <w:rFonts w:ascii="Arial" w:hAnsi="Arial" w:cs="Arial"/>
          <w:color w:val="000000" w:themeColor="text1"/>
          <w:sz w:val="24"/>
          <w:szCs w:val="24"/>
        </w:rPr>
        <w:t>easements</w:t>
      </w:r>
      <w:r w:rsidR="00F86350">
        <w:rPr>
          <w:rFonts w:ascii="Arial" w:hAnsi="Arial" w:cs="Arial"/>
          <w:color w:val="000000" w:themeColor="text1"/>
          <w:sz w:val="24"/>
          <w:szCs w:val="24"/>
        </w:rPr>
        <w:t xml:space="preserve">; </w:t>
      </w:r>
      <w:r w:rsidR="00B57BCD">
        <w:rPr>
          <w:rFonts w:ascii="Arial" w:hAnsi="Arial" w:cs="Arial"/>
          <w:i/>
          <w:iCs/>
          <w:color w:val="000000" w:themeColor="text1"/>
          <w:sz w:val="24"/>
          <w:szCs w:val="24"/>
        </w:rPr>
        <w:t>Phipps v Pears [</w:t>
      </w:r>
      <w:r w:rsidR="00BF1F2A">
        <w:rPr>
          <w:rFonts w:ascii="Arial" w:hAnsi="Arial" w:cs="Arial"/>
          <w:i/>
          <w:iCs/>
          <w:color w:val="000000" w:themeColor="text1"/>
          <w:sz w:val="24"/>
          <w:szCs w:val="24"/>
        </w:rPr>
        <w:t>1965]</w:t>
      </w:r>
      <w:r w:rsidR="00F22E78">
        <w:rPr>
          <w:rFonts w:ascii="Arial" w:hAnsi="Arial" w:cs="Arial"/>
          <w:color w:val="000000" w:themeColor="text1"/>
          <w:sz w:val="24"/>
          <w:szCs w:val="24"/>
        </w:rPr>
        <w:t>.</w:t>
      </w:r>
      <w:r w:rsidR="00F86350">
        <w:rPr>
          <w:rFonts w:ascii="Arial" w:hAnsi="Arial" w:cs="Arial"/>
          <w:color w:val="000000" w:themeColor="text1"/>
          <w:sz w:val="24"/>
          <w:szCs w:val="24"/>
        </w:rPr>
        <w:t xml:space="preserve"> This could arguably </w:t>
      </w:r>
      <w:r w:rsidR="0012761E">
        <w:rPr>
          <w:rFonts w:ascii="Arial" w:hAnsi="Arial" w:cs="Arial"/>
          <w:color w:val="000000" w:themeColor="text1"/>
          <w:sz w:val="24"/>
          <w:szCs w:val="24"/>
        </w:rPr>
        <w:t>be attributed t</w:t>
      </w:r>
      <w:r w:rsidR="0012761E" w:rsidRPr="00D37CB7">
        <w:rPr>
          <w:rFonts w:ascii="Arial" w:hAnsi="Arial" w:cs="Arial"/>
          <w:color w:val="000000" w:themeColor="text1"/>
          <w:sz w:val="24"/>
          <w:szCs w:val="24"/>
        </w:rPr>
        <w:t>o the development of the law of res</w:t>
      </w:r>
      <w:r w:rsidR="002C22E0" w:rsidRPr="00D37CB7">
        <w:rPr>
          <w:rFonts w:ascii="Arial" w:hAnsi="Arial" w:cs="Arial"/>
          <w:color w:val="000000" w:themeColor="text1"/>
          <w:sz w:val="24"/>
          <w:szCs w:val="24"/>
        </w:rPr>
        <w:t>trictive covenants</w:t>
      </w:r>
      <w:r w:rsidR="00777C57" w:rsidRPr="00D37CB7">
        <w:rPr>
          <w:rFonts w:ascii="Arial" w:hAnsi="Arial" w:cs="Arial"/>
          <w:color w:val="000000" w:themeColor="text1"/>
          <w:sz w:val="24"/>
          <w:szCs w:val="24"/>
        </w:rPr>
        <w:t xml:space="preserve"> (Sayles, 2020, pp.182-183)</w:t>
      </w:r>
      <w:r w:rsidR="002C22E0" w:rsidRPr="00D37CB7">
        <w:rPr>
          <w:rFonts w:ascii="Arial" w:hAnsi="Arial" w:cs="Arial"/>
          <w:color w:val="000000" w:themeColor="text1"/>
          <w:sz w:val="24"/>
          <w:szCs w:val="24"/>
        </w:rPr>
        <w:t xml:space="preserve">. </w:t>
      </w:r>
    </w:p>
    <w:p w14:paraId="6CEA7215" w14:textId="77777777" w:rsidR="00162986" w:rsidRDefault="00A34380" w:rsidP="0050675F">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It is important to note that even if a right satisfies the four characterist</w:t>
      </w:r>
      <w:r w:rsidR="00E0376E">
        <w:rPr>
          <w:rFonts w:ascii="Arial" w:hAnsi="Arial" w:cs="Arial"/>
          <w:color w:val="000000" w:themeColor="text1"/>
          <w:sz w:val="24"/>
          <w:szCs w:val="24"/>
        </w:rPr>
        <w:t>ic</w:t>
      </w:r>
      <w:r>
        <w:rPr>
          <w:rFonts w:ascii="Arial" w:hAnsi="Arial" w:cs="Arial"/>
          <w:color w:val="000000" w:themeColor="text1"/>
          <w:sz w:val="24"/>
          <w:szCs w:val="24"/>
        </w:rPr>
        <w:t xml:space="preserve">s in </w:t>
      </w:r>
      <w:r w:rsidR="00DE7042">
        <w:rPr>
          <w:rFonts w:ascii="Arial" w:hAnsi="Arial" w:cs="Arial"/>
          <w:i/>
          <w:iCs/>
          <w:color w:val="000000" w:themeColor="text1"/>
          <w:sz w:val="24"/>
          <w:szCs w:val="24"/>
        </w:rPr>
        <w:t xml:space="preserve">Re Ellenborough [1956] </w:t>
      </w:r>
      <w:r w:rsidR="00DE7042">
        <w:rPr>
          <w:rFonts w:ascii="Arial" w:hAnsi="Arial" w:cs="Arial"/>
          <w:color w:val="000000" w:themeColor="text1"/>
          <w:sz w:val="24"/>
          <w:szCs w:val="24"/>
        </w:rPr>
        <w:t>there is still a possibility of its rejection as an easement</w:t>
      </w:r>
      <w:r w:rsidR="00E0376E">
        <w:rPr>
          <w:rFonts w:ascii="Arial" w:hAnsi="Arial" w:cs="Arial"/>
          <w:color w:val="000000" w:themeColor="text1"/>
          <w:sz w:val="24"/>
          <w:szCs w:val="24"/>
        </w:rPr>
        <w:t xml:space="preserve">. </w:t>
      </w:r>
      <w:r w:rsidR="00DF5015">
        <w:rPr>
          <w:rFonts w:ascii="Arial" w:hAnsi="Arial" w:cs="Arial"/>
          <w:color w:val="000000" w:themeColor="text1"/>
          <w:sz w:val="24"/>
          <w:szCs w:val="24"/>
        </w:rPr>
        <w:t xml:space="preserve">Additional criteria that </w:t>
      </w:r>
      <w:r w:rsidR="00392F00">
        <w:rPr>
          <w:rFonts w:ascii="Arial" w:hAnsi="Arial" w:cs="Arial"/>
          <w:color w:val="000000" w:themeColor="text1"/>
          <w:sz w:val="24"/>
          <w:szCs w:val="24"/>
        </w:rPr>
        <w:t>need</w:t>
      </w:r>
      <w:r w:rsidR="00DF5015">
        <w:rPr>
          <w:rFonts w:ascii="Arial" w:hAnsi="Arial" w:cs="Arial"/>
          <w:color w:val="000000" w:themeColor="text1"/>
          <w:sz w:val="24"/>
          <w:szCs w:val="24"/>
        </w:rPr>
        <w:t xml:space="preserve"> to be satisfied </w:t>
      </w:r>
      <w:r w:rsidR="004751B8">
        <w:rPr>
          <w:rFonts w:ascii="Arial" w:hAnsi="Arial" w:cs="Arial"/>
          <w:color w:val="000000" w:themeColor="text1"/>
          <w:sz w:val="24"/>
          <w:szCs w:val="24"/>
        </w:rPr>
        <w:t xml:space="preserve">declares that </w:t>
      </w:r>
      <w:r w:rsidR="00806470">
        <w:rPr>
          <w:rFonts w:ascii="Arial" w:hAnsi="Arial" w:cs="Arial"/>
          <w:color w:val="000000" w:themeColor="text1"/>
          <w:sz w:val="24"/>
          <w:szCs w:val="24"/>
        </w:rPr>
        <w:t xml:space="preserve">the </w:t>
      </w:r>
      <w:r w:rsidR="009B312E">
        <w:rPr>
          <w:rFonts w:ascii="Arial" w:hAnsi="Arial" w:cs="Arial"/>
          <w:color w:val="000000" w:themeColor="text1"/>
          <w:sz w:val="24"/>
          <w:szCs w:val="24"/>
        </w:rPr>
        <w:t>servient</w:t>
      </w:r>
      <w:r w:rsidR="00806470">
        <w:rPr>
          <w:rFonts w:ascii="Arial" w:hAnsi="Arial" w:cs="Arial"/>
          <w:color w:val="000000" w:themeColor="text1"/>
          <w:sz w:val="24"/>
          <w:szCs w:val="24"/>
        </w:rPr>
        <w:t xml:space="preserve"> tenement owner should not incur expenses </w:t>
      </w:r>
      <w:r w:rsidR="00BC488B">
        <w:rPr>
          <w:rFonts w:ascii="Arial" w:hAnsi="Arial" w:cs="Arial"/>
          <w:color w:val="000000" w:themeColor="text1"/>
          <w:sz w:val="24"/>
          <w:szCs w:val="24"/>
        </w:rPr>
        <w:t xml:space="preserve">or </w:t>
      </w:r>
      <w:r w:rsidR="002439CF">
        <w:rPr>
          <w:rFonts w:ascii="Arial" w:hAnsi="Arial" w:cs="Arial"/>
          <w:color w:val="000000" w:themeColor="text1"/>
          <w:sz w:val="24"/>
          <w:szCs w:val="24"/>
        </w:rPr>
        <w:t>other</w:t>
      </w:r>
      <w:r w:rsidR="00BC488B">
        <w:rPr>
          <w:rFonts w:ascii="Arial" w:hAnsi="Arial" w:cs="Arial"/>
          <w:color w:val="000000" w:themeColor="text1"/>
          <w:sz w:val="24"/>
          <w:szCs w:val="24"/>
        </w:rPr>
        <w:t xml:space="preserve"> positive obligation</w:t>
      </w:r>
      <w:r w:rsidR="002439CF">
        <w:rPr>
          <w:rFonts w:ascii="Arial" w:hAnsi="Arial" w:cs="Arial"/>
          <w:color w:val="000000" w:themeColor="text1"/>
          <w:sz w:val="24"/>
          <w:szCs w:val="24"/>
        </w:rPr>
        <w:t xml:space="preserve">s which </w:t>
      </w:r>
      <w:r w:rsidR="0075337D">
        <w:rPr>
          <w:rFonts w:ascii="Arial" w:hAnsi="Arial" w:cs="Arial"/>
          <w:color w:val="000000" w:themeColor="text1"/>
          <w:sz w:val="24"/>
          <w:szCs w:val="24"/>
        </w:rPr>
        <w:t>allows</w:t>
      </w:r>
      <w:r w:rsidR="002439CF">
        <w:rPr>
          <w:rFonts w:ascii="Arial" w:hAnsi="Arial" w:cs="Arial"/>
          <w:color w:val="000000" w:themeColor="text1"/>
          <w:sz w:val="24"/>
          <w:szCs w:val="24"/>
        </w:rPr>
        <w:t xml:space="preserve"> the</w:t>
      </w:r>
      <w:r w:rsidR="0075337D">
        <w:rPr>
          <w:rFonts w:ascii="Arial" w:hAnsi="Arial" w:cs="Arial"/>
          <w:color w:val="000000" w:themeColor="text1"/>
          <w:sz w:val="24"/>
          <w:szCs w:val="24"/>
        </w:rPr>
        <w:t xml:space="preserve"> right to be enjoyed by the</w:t>
      </w:r>
      <w:r w:rsidR="002439CF">
        <w:rPr>
          <w:rFonts w:ascii="Arial" w:hAnsi="Arial" w:cs="Arial"/>
          <w:color w:val="000000" w:themeColor="text1"/>
          <w:sz w:val="24"/>
          <w:szCs w:val="24"/>
        </w:rPr>
        <w:t xml:space="preserve"> dominant </w:t>
      </w:r>
      <w:r w:rsidR="003D14DB">
        <w:rPr>
          <w:rFonts w:ascii="Arial" w:hAnsi="Arial" w:cs="Arial"/>
          <w:color w:val="000000" w:themeColor="text1"/>
          <w:sz w:val="24"/>
          <w:szCs w:val="24"/>
        </w:rPr>
        <w:t>tenement</w:t>
      </w:r>
      <w:r w:rsidR="00256655">
        <w:rPr>
          <w:rFonts w:ascii="Arial" w:hAnsi="Arial" w:cs="Arial"/>
          <w:color w:val="000000" w:themeColor="text1"/>
          <w:sz w:val="24"/>
          <w:szCs w:val="24"/>
        </w:rPr>
        <w:t xml:space="preserve">; </w:t>
      </w:r>
      <w:r w:rsidR="00F93A1D">
        <w:rPr>
          <w:rFonts w:ascii="Arial" w:hAnsi="Arial" w:cs="Arial"/>
          <w:i/>
          <w:iCs/>
          <w:color w:val="000000" w:themeColor="text1"/>
          <w:sz w:val="24"/>
          <w:szCs w:val="24"/>
        </w:rPr>
        <w:t>Regis Property v Redman [1956]</w:t>
      </w:r>
      <w:r w:rsidR="003D14DB">
        <w:rPr>
          <w:rFonts w:ascii="Arial" w:hAnsi="Arial" w:cs="Arial"/>
          <w:color w:val="000000" w:themeColor="text1"/>
          <w:sz w:val="24"/>
          <w:szCs w:val="24"/>
        </w:rPr>
        <w:t xml:space="preserve"> (Pattison, 2019).</w:t>
      </w:r>
      <w:r w:rsidR="001938DE">
        <w:rPr>
          <w:rFonts w:ascii="Arial" w:hAnsi="Arial" w:cs="Arial"/>
          <w:color w:val="000000" w:themeColor="text1"/>
          <w:sz w:val="24"/>
          <w:szCs w:val="24"/>
        </w:rPr>
        <w:t xml:space="preserve"> That said, in </w:t>
      </w:r>
      <w:r w:rsidR="002E02F3">
        <w:rPr>
          <w:rFonts w:ascii="Arial" w:hAnsi="Arial" w:cs="Arial"/>
          <w:i/>
          <w:iCs/>
          <w:color w:val="000000" w:themeColor="text1"/>
          <w:sz w:val="24"/>
          <w:szCs w:val="24"/>
        </w:rPr>
        <w:t xml:space="preserve">Crow v Wood [1971] </w:t>
      </w:r>
      <w:r w:rsidR="002E02F3">
        <w:rPr>
          <w:rFonts w:ascii="Arial" w:hAnsi="Arial" w:cs="Arial"/>
          <w:color w:val="000000" w:themeColor="text1"/>
          <w:sz w:val="24"/>
          <w:szCs w:val="24"/>
        </w:rPr>
        <w:t>an exception occur</w:t>
      </w:r>
      <w:r w:rsidR="00C155C5">
        <w:rPr>
          <w:rFonts w:ascii="Arial" w:hAnsi="Arial" w:cs="Arial"/>
          <w:color w:val="000000" w:themeColor="text1"/>
          <w:sz w:val="24"/>
          <w:szCs w:val="24"/>
        </w:rPr>
        <w:t>r</w:t>
      </w:r>
      <w:r w:rsidR="002E02F3">
        <w:rPr>
          <w:rFonts w:ascii="Arial" w:hAnsi="Arial" w:cs="Arial"/>
          <w:color w:val="000000" w:themeColor="text1"/>
          <w:sz w:val="24"/>
          <w:szCs w:val="24"/>
        </w:rPr>
        <w:t xml:space="preserve">ed </w:t>
      </w:r>
      <w:r w:rsidR="002716FC">
        <w:rPr>
          <w:rFonts w:ascii="Arial" w:hAnsi="Arial" w:cs="Arial"/>
          <w:color w:val="000000" w:themeColor="text1"/>
          <w:sz w:val="24"/>
          <w:szCs w:val="24"/>
        </w:rPr>
        <w:t>(Sayles, 2020, pp.</w:t>
      </w:r>
      <w:r w:rsidR="003A496B">
        <w:rPr>
          <w:rFonts w:ascii="Arial" w:hAnsi="Arial" w:cs="Arial"/>
          <w:color w:val="000000" w:themeColor="text1"/>
          <w:sz w:val="24"/>
          <w:szCs w:val="24"/>
        </w:rPr>
        <w:t>183</w:t>
      </w:r>
      <w:r w:rsidR="002716FC">
        <w:rPr>
          <w:rFonts w:ascii="Arial" w:hAnsi="Arial" w:cs="Arial"/>
          <w:color w:val="000000" w:themeColor="text1"/>
          <w:sz w:val="24"/>
          <w:szCs w:val="24"/>
        </w:rPr>
        <w:t>).</w:t>
      </w:r>
      <w:r w:rsidR="003A496B">
        <w:rPr>
          <w:rFonts w:ascii="Arial" w:hAnsi="Arial" w:cs="Arial"/>
          <w:color w:val="000000" w:themeColor="text1"/>
          <w:sz w:val="24"/>
          <w:szCs w:val="24"/>
        </w:rPr>
        <w:t xml:space="preserve"> </w:t>
      </w:r>
      <w:r w:rsidR="003B2747">
        <w:rPr>
          <w:rFonts w:ascii="Arial" w:hAnsi="Arial" w:cs="Arial"/>
          <w:color w:val="000000" w:themeColor="text1"/>
          <w:sz w:val="24"/>
          <w:szCs w:val="24"/>
        </w:rPr>
        <w:t xml:space="preserve">Further, </w:t>
      </w:r>
      <w:r w:rsidR="00D00000">
        <w:rPr>
          <w:rFonts w:ascii="Arial" w:hAnsi="Arial" w:cs="Arial"/>
          <w:color w:val="000000" w:themeColor="text1"/>
          <w:sz w:val="24"/>
          <w:szCs w:val="24"/>
        </w:rPr>
        <w:t xml:space="preserve">the rights must be exercisable </w:t>
      </w:r>
      <w:r w:rsidR="002E58AA">
        <w:rPr>
          <w:rFonts w:ascii="Arial" w:hAnsi="Arial" w:cs="Arial"/>
          <w:color w:val="000000" w:themeColor="text1"/>
          <w:sz w:val="24"/>
          <w:szCs w:val="24"/>
        </w:rPr>
        <w:t>as of right</w:t>
      </w:r>
      <w:r w:rsidR="004E5CDE">
        <w:rPr>
          <w:rFonts w:ascii="Arial" w:hAnsi="Arial" w:cs="Arial"/>
          <w:color w:val="000000" w:themeColor="text1"/>
          <w:sz w:val="24"/>
          <w:szCs w:val="24"/>
        </w:rPr>
        <w:t>,</w:t>
      </w:r>
      <w:r w:rsidR="002E58AA">
        <w:rPr>
          <w:rFonts w:ascii="Arial" w:hAnsi="Arial" w:cs="Arial"/>
          <w:color w:val="000000" w:themeColor="text1"/>
          <w:sz w:val="24"/>
          <w:szCs w:val="24"/>
        </w:rPr>
        <w:t xml:space="preserve"> </w:t>
      </w:r>
      <w:r w:rsidR="00C82EB7">
        <w:rPr>
          <w:rFonts w:ascii="Arial" w:hAnsi="Arial" w:cs="Arial"/>
          <w:color w:val="000000" w:themeColor="text1"/>
          <w:sz w:val="24"/>
          <w:szCs w:val="24"/>
        </w:rPr>
        <w:t>ef</w:t>
      </w:r>
      <w:r w:rsidR="00EF4AA7">
        <w:rPr>
          <w:rFonts w:ascii="Arial" w:hAnsi="Arial" w:cs="Arial"/>
          <w:color w:val="000000" w:themeColor="text1"/>
          <w:sz w:val="24"/>
          <w:szCs w:val="24"/>
        </w:rPr>
        <w:t xml:space="preserve">fectively the </w:t>
      </w:r>
      <w:r w:rsidR="00ED395F">
        <w:rPr>
          <w:rFonts w:ascii="Arial" w:hAnsi="Arial" w:cs="Arial"/>
          <w:color w:val="000000" w:themeColor="text1"/>
          <w:sz w:val="24"/>
          <w:szCs w:val="24"/>
        </w:rPr>
        <w:t>servient tenement</w:t>
      </w:r>
      <w:r w:rsidR="00ED395F" w:rsidRPr="00CB000F">
        <w:rPr>
          <w:rFonts w:ascii="Arial" w:hAnsi="Arial" w:cs="Arial"/>
          <w:color w:val="000000" w:themeColor="text1"/>
          <w:sz w:val="24"/>
          <w:szCs w:val="24"/>
        </w:rPr>
        <w:t xml:space="preserve"> owner does not need to give permission to exercise the right</w:t>
      </w:r>
      <w:r w:rsidR="00046C41" w:rsidRPr="00CB000F">
        <w:rPr>
          <w:rFonts w:ascii="Arial" w:hAnsi="Arial" w:cs="Arial"/>
          <w:color w:val="000000" w:themeColor="text1"/>
          <w:sz w:val="24"/>
          <w:szCs w:val="24"/>
        </w:rPr>
        <w:t xml:space="preserve">; </w:t>
      </w:r>
      <w:r w:rsidR="001405D5" w:rsidRPr="00CB000F">
        <w:rPr>
          <w:rFonts w:ascii="Arial" w:hAnsi="Arial" w:cs="Arial"/>
          <w:i/>
          <w:iCs/>
          <w:color w:val="000000" w:themeColor="text1"/>
          <w:sz w:val="24"/>
          <w:szCs w:val="24"/>
        </w:rPr>
        <w:t xml:space="preserve">Green v Ashco Horticulturalist [1966] </w:t>
      </w:r>
      <w:r w:rsidR="00A861A9" w:rsidRPr="00CB000F">
        <w:rPr>
          <w:rFonts w:ascii="Arial" w:hAnsi="Arial" w:cs="Arial"/>
          <w:color w:val="000000" w:themeColor="text1"/>
          <w:sz w:val="24"/>
          <w:szCs w:val="24"/>
        </w:rPr>
        <w:t>(Pattison, 2019)</w:t>
      </w:r>
      <w:r w:rsidR="001405D5" w:rsidRPr="00CB000F">
        <w:rPr>
          <w:rFonts w:ascii="Arial" w:hAnsi="Arial" w:cs="Arial"/>
          <w:i/>
          <w:iCs/>
          <w:color w:val="000000" w:themeColor="text1"/>
          <w:sz w:val="24"/>
          <w:szCs w:val="24"/>
        </w:rPr>
        <w:t>.</w:t>
      </w:r>
      <w:r w:rsidR="0099169B" w:rsidRPr="00CB000F">
        <w:rPr>
          <w:rFonts w:ascii="Arial" w:hAnsi="Arial" w:cs="Arial"/>
          <w:i/>
          <w:iCs/>
          <w:color w:val="000000" w:themeColor="text1"/>
          <w:sz w:val="24"/>
          <w:szCs w:val="24"/>
        </w:rPr>
        <w:t xml:space="preserve"> </w:t>
      </w:r>
      <w:r w:rsidR="0099169B" w:rsidRPr="00CB000F">
        <w:rPr>
          <w:rFonts w:ascii="Arial" w:hAnsi="Arial" w:cs="Arial"/>
          <w:color w:val="000000" w:themeColor="text1"/>
          <w:sz w:val="24"/>
          <w:szCs w:val="24"/>
        </w:rPr>
        <w:t xml:space="preserve">Finally, </w:t>
      </w:r>
      <w:r w:rsidR="00860D0A" w:rsidRPr="00CB000F">
        <w:rPr>
          <w:rFonts w:ascii="Arial" w:hAnsi="Arial" w:cs="Arial"/>
          <w:color w:val="000000" w:themeColor="text1"/>
          <w:sz w:val="24"/>
          <w:szCs w:val="24"/>
        </w:rPr>
        <w:t>easements must remain mutually exclusiv</w:t>
      </w:r>
      <w:r w:rsidR="00B1261B" w:rsidRPr="00CB000F">
        <w:rPr>
          <w:rFonts w:ascii="Arial" w:hAnsi="Arial" w:cs="Arial"/>
          <w:color w:val="000000" w:themeColor="text1"/>
          <w:sz w:val="24"/>
          <w:szCs w:val="24"/>
        </w:rPr>
        <w:t>e o</w:t>
      </w:r>
      <w:r w:rsidR="00B1261B">
        <w:rPr>
          <w:rFonts w:ascii="Arial" w:hAnsi="Arial" w:cs="Arial"/>
          <w:color w:val="000000" w:themeColor="text1"/>
          <w:sz w:val="24"/>
          <w:szCs w:val="24"/>
        </w:rPr>
        <w:t xml:space="preserve">f possessory rights. </w:t>
      </w:r>
      <w:r w:rsidR="00253555">
        <w:rPr>
          <w:rFonts w:ascii="Arial" w:hAnsi="Arial" w:cs="Arial"/>
          <w:color w:val="000000" w:themeColor="text1"/>
          <w:sz w:val="24"/>
          <w:szCs w:val="24"/>
        </w:rPr>
        <w:t>For example, the servient tenement owner cannot b</w:t>
      </w:r>
      <w:r w:rsidR="00253555" w:rsidRPr="00534539">
        <w:rPr>
          <w:rFonts w:ascii="Arial" w:hAnsi="Arial" w:cs="Arial"/>
          <w:color w:val="000000" w:themeColor="text1"/>
          <w:sz w:val="24"/>
          <w:szCs w:val="24"/>
        </w:rPr>
        <w:t xml:space="preserve">e </w:t>
      </w:r>
      <w:r w:rsidR="00507323" w:rsidRPr="00534539">
        <w:rPr>
          <w:rFonts w:ascii="Arial" w:hAnsi="Arial" w:cs="Arial"/>
          <w:color w:val="000000" w:themeColor="text1"/>
          <w:sz w:val="24"/>
          <w:szCs w:val="24"/>
        </w:rPr>
        <w:t>excluded fro</w:t>
      </w:r>
      <w:r w:rsidR="00071CDA" w:rsidRPr="00534539">
        <w:rPr>
          <w:rFonts w:ascii="Arial" w:hAnsi="Arial" w:cs="Arial"/>
          <w:color w:val="000000" w:themeColor="text1"/>
          <w:sz w:val="24"/>
          <w:szCs w:val="24"/>
        </w:rPr>
        <w:t xml:space="preserve">m the reasonable use of his own land; </w:t>
      </w:r>
      <w:r w:rsidR="00246C8F" w:rsidRPr="00534539">
        <w:rPr>
          <w:rFonts w:ascii="Arial" w:hAnsi="Arial" w:cs="Arial"/>
          <w:color w:val="000000" w:themeColor="text1"/>
          <w:sz w:val="24"/>
          <w:szCs w:val="24"/>
        </w:rPr>
        <w:t xml:space="preserve">the ‘ouster principle’ illustrated in </w:t>
      </w:r>
      <w:r w:rsidR="00EA5256" w:rsidRPr="00534539">
        <w:rPr>
          <w:rFonts w:ascii="Arial" w:hAnsi="Arial" w:cs="Arial"/>
          <w:i/>
          <w:iCs/>
          <w:color w:val="000000" w:themeColor="text1"/>
          <w:sz w:val="24"/>
          <w:szCs w:val="24"/>
        </w:rPr>
        <w:t>Copeland v Greenhalf [1952]</w:t>
      </w:r>
      <w:r w:rsidR="00974BD2" w:rsidRPr="00534539">
        <w:rPr>
          <w:rFonts w:ascii="Arial" w:hAnsi="Arial" w:cs="Arial"/>
          <w:i/>
          <w:iCs/>
          <w:color w:val="000000" w:themeColor="text1"/>
          <w:sz w:val="24"/>
          <w:szCs w:val="24"/>
        </w:rPr>
        <w:t xml:space="preserve">. </w:t>
      </w:r>
      <w:r w:rsidR="00974BD2" w:rsidRPr="00534539">
        <w:rPr>
          <w:rFonts w:ascii="Arial" w:hAnsi="Arial" w:cs="Arial"/>
          <w:color w:val="000000" w:themeColor="text1"/>
          <w:sz w:val="24"/>
          <w:szCs w:val="24"/>
        </w:rPr>
        <w:t xml:space="preserve">However, this lacks clarity as at what stage does the dominant owner’s use </w:t>
      </w:r>
      <w:r w:rsidR="00DD3ECE" w:rsidRPr="00534539">
        <w:rPr>
          <w:rFonts w:ascii="Arial" w:hAnsi="Arial" w:cs="Arial"/>
          <w:color w:val="000000" w:themeColor="text1"/>
          <w:sz w:val="24"/>
          <w:szCs w:val="24"/>
        </w:rPr>
        <w:t xml:space="preserve">preclude the servient owner </w:t>
      </w:r>
      <w:r w:rsidR="00906C90" w:rsidRPr="00534539">
        <w:rPr>
          <w:rFonts w:ascii="Arial" w:hAnsi="Arial" w:cs="Arial"/>
          <w:color w:val="000000" w:themeColor="text1"/>
          <w:sz w:val="24"/>
          <w:szCs w:val="24"/>
        </w:rPr>
        <w:t>from reasonable use</w:t>
      </w:r>
      <w:r w:rsidR="000B468F">
        <w:rPr>
          <w:rFonts w:ascii="Arial" w:hAnsi="Arial" w:cs="Arial"/>
          <w:color w:val="000000" w:themeColor="text1"/>
          <w:sz w:val="24"/>
          <w:szCs w:val="24"/>
        </w:rPr>
        <w:t xml:space="preserve"> </w:t>
      </w:r>
      <w:r w:rsidR="000B468F" w:rsidRPr="000B468F">
        <w:rPr>
          <w:rFonts w:ascii="Arial" w:hAnsi="Arial" w:cs="Arial"/>
          <w:color w:val="000000" w:themeColor="text1"/>
          <w:sz w:val="24"/>
          <w:szCs w:val="24"/>
        </w:rPr>
        <w:t>(Sayles, 2020, pp.184).</w:t>
      </w:r>
    </w:p>
    <w:p w14:paraId="49A5064C" w14:textId="1604ED8A" w:rsidR="00C054B7" w:rsidRPr="00971EF3" w:rsidRDefault="00906C90" w:rsidP="0050675F">
      <w:pPr>
        <w:spacing w:line="480" w:lineRule="auto"/>
        <w:jc w:val="both"/>
        <w:rPr>
          <w:rFonts w:ascii="Arial" w:hAnsi="Arial" w:cs="Arial"/>
          <w:color w:val="000000" w:themeColor="text1"/>
          <w:sz w:val="24"/>
          <w:szCs w:val="24"/>
        </w:rPr>
      </w:pPr>
      <w:r w:rsidRPr="00534539">
        <w:rPr>
          <w:rFonts w:ascii="Arial" w:hAnsi="Arial" w:cs="Arial"/>
          <w:color w:val="000000" w:themeColor="text1"/>
          <w:sz w:val="24"/>
          <w:szCs w:val="24"/>
        </w:rPr>
        <w:t>Specific types of easement</w:t>
      </w:r>
      <w:r w:rsidR="00D573FC" w:rsidRPr="00534539">
        <w:rPr>
          <w:rFonts w:ascii="Arial" w:hAnsi="Arial" w:cs="Arial"/>
          <w:color w:val="000000" w:themeColor="text1"/>
          <w:sz w:val="24"/>
          <w:szCs w:val="24"/>
        </w:rPr>
        <w:t>s</w:t>
      </w:r>
      <w:r w:rsidRPr="00534539">
        <w:rPr>
          <w:rFonts w:ascii="Arial" w:hAnsi="Arial" w:cs="Arial"/>
          <w:color w:val="000000" w:themeColor="text1"/>
          <w:sz w:val="24"/>
          <w:szCs w:val="24"/>
        </w:rPr>
        <w:t xml:space="preserve"> have </w:t>
      </w:r>
      <w:r w:rsidR="00097F81" w:rsidRPr="00534539">
        <w:rPr>
          <w:rFonts w:ascii="Arial" w:hAnsi="Arial" w:cs="Arial"/>
          <w:color w:val="000000" w:themeColor="text1"/>
          <w:sz w:val="24"/>
          <w:szCs w:val="24"/>
        </w:rPr>
        <w:t xml:space="preserve">adopted the ‘ouster principle’ including </w:t>
      </w:r>
      <w:r w:rsidR="00D573FC" w:rsidRPr="00534539">
        <w:rPr>
          <w:rFonts w:ascii="Arial" w:hAnsi="Arial" w:cs="Arial"/>
          <w:color w:val="000000" w:themeColor="text1"/>
          <w:sz w:val="24"/>
          <w:szCs w:val="24"/>
        </w:rPr>
        <w:t>but in n</w:t>
      </w:r>
      <w:r w:rsidR="00D573FC">
        <w:rPr>
          <w:rFonts w:ascii="Arial" w:hAnsi="Arial" w:cs="Arial"/>
          <w:color w:val="000000" w:themeColor="text1"/>
          <w:sz w:val="24"/>
          <w:szCs w:val="24"/>
        </w:rPr>
        <w:t xml:space="preserve">o way limited to </w:t>
      </w:r>
      <w:r w:rsidR="007672B1">
        <w:rPr>
          <w:rFonts w:ascii="Arial" w:hAnsi="Arial" w:cs="Arial"/>
          <w:color w:val="000000" w:themeColor="text1"/>
          <w:sz w:val="24"/>
          <w:szCs w:val="24"/>
        </w:rPr>
        <w:t>the</w:t>
      </w:r>
      <w:r w:rsidR="00D573FC">
        <w:rPr>
          <w:rFonts w:ascii="Arial" w:hAnsi="Arial" w:cs="Arial"/>
          <w:color w:val="000000" w:themeColor="text1"/>
          <w:sz w:val="24"/>
          <w:szCs w:val="24"/>
        </w:rPr>
        <w:t xml:space="preserve"> right of storage</w:t>
      </w:r>
      <w:r w:rsidR="004F22DB">
        <w:rPr>
          <w:rFonts w:ascii="Arial" w:hAnsi="Arial" w:cs="Arial"/>
          <w:color w:val="000000" w:themeColor="text1"/>
          <w:sz w:val="24"/>
          <w:szCs w:val="24"/>
        </w:rPr>
        <w:t>. I</w:t>
      </w:r>
      <w:r w:rsidR="000221C2">
        <w:rPr>
          <w:rFonts w:ascii="Arial" w:hAnsi="Arial" w:cs="Arial"/>
          <w:color w:val="000000" w:themeColor="text1"/>
          <w:sz w:val="24"/>
          <w:szCs w:val="24"/>
        </w:rPr>
        <w:t xml:space="preserve">n </w:t>
      </w:r>
      <w:r w:rsidR="00D573FC">
        <w:rPr>
          <w:rFonts w:ascii="Arial" w:hAnsi="Arial" w:cs="Arial"/>
          <w:i/>
          <w:iCs/>
          <w:color w:val="000000" w:themeColor="text1"/>
          <w:sz w:val="24"/>
          <w:szCs w:val="24"/>
        </w:rPr>
        <w:t>Wright v Macadam [1949]</w:t>
      </w:r>
      <w:r w:rsidR="002E3A95">
        <w:rPr>
          <w:rFonts w:ascii="Arial" w:hAnsi="Arial" w:cs="Arial"/>
          <w:i/>
          <w:iCs/>
          <w:color w:val="000000" w:themeColor="text1"/>
          <w:sz w:val="24"/>
          <w:szCs w:val="24"/>
        </w:rPr>
        <w:t xml:space="preserve"> </w:t>
      </w:r>
      <w:r w:rsidR="004F22DB">
        <w:rPr>
          <w:rFonts w:ascii="Arial" w:hAnsi="Arial" w:cs="Arial"/>
          <w:color w:val="000000" w:themeColor="text1"/>
          <w:sz w:val="24"/>
          <w:szCs w:val="24"/>
        </w:rPr>
        <w:t xml:space="preserve">an easement was upheld despite </w:t>
      </w:r>
      <w:r w:rsidR="0047271F">
        <w:rPr>
          <w:rFonts w:ascii="Arial" w:hAnsi="Arial" w:cs="Arial"/>
          <w:color w:val="000000" w:themeColor="text1"/>
          <w:sz w:val="24"/>
          <w:szCs w:val="24"/>
        </w:rPr>
        <w:t>the lack in detail</w:t>
      </w:r>
      <w:r w:rsidR="00CD332D">
        <w:rPr>
          <w:rFonts w:ascii="Arial" w:hAnsi="Arial" w:cs="Arial"/>
          <w:color w:val="000000" w:themeColor="text1"/>
          <w:sz w:val="24"/>
          <w:szCs w:val="24"/>
        </w:rPr>
        <w:t xml:space="preserve"> and clarity on the facts</w:t>
      </w:r>
      <w:r w:rsidR="0047271F">
        <w:rPr>
          <w:rFonts w:ascii="Arial" w:hAnsi="Arial" w:cs="Arial"/>
          <w:color w:val="000000" w:themeColor="text1"/>
          <w:sz w:val="24"/>
          <w:szCs w:val="24"/>
        </w:rPr>
        <w:t xml:space="preserve"> </w:t>
      </w:r>
      <w:r w:rsidR="004F2E2B">
        <w:rPr>
          <w:rFonts w:ascii="Arial" w:hAnsi="Arial" w:cs="Arial"/>
          <w:color w:val="000000" w:themeColor="text1"/>
          <w:sz w:val="24"/>
          <w:szCs w:val="24"/>
        </w:rPr>
        <w:t xml:space="preserve">and the added </w:t>
      </w:r>
      <w:r w:rsidR="00293CDF">
        <w:rPr>
          <w:rFonts w:ascii="Arial" w:hAnsi="Arial" w:cs="Arial"/>
          <w:color w:val="000000" w:themeColor="text1"/>
          <w:sz w:val="24"/>
          <w:szCs w:val="24"/>
        </w:rPr>
        <w:t xml:space="preserve">anomaly that </w:t>
      </w:r>
      <w:r w:rsidR="009725D0">
        <w:rPr>
          <w:rFonts w:ascii="Arial" w:hAnsi="Arial" w:cs="Arial"/>
          <w:color w:val="000000" w:themeColor="text1"/>
          <w:sz w:val="24"/>
          <w:szCs w:val="24"/>
        </w:rPr>
        <w:t xml:space="preserve">it amounted to exclusive possession </w:t>
      </w:r>
      <w:r w:rsidR="00542D45">
        <w:rPr>
          <w:rFonts w:ascii="Arial" w:hAnsi="Arial" w:cs="Arial"/>
          <w:color w:val="000000" w:themeColor="text1"/>
          <w:sz w:val="24"/>
          <w:szCs w:val="24"/>
        </w:rPr>
        <w:t>(Bray, 2016, pp.</w:t>
      </w:r>
      <w:r w:rsidR="004941D5">
        <w:rPr>
          <w:rFonts w:ascii="Arial" w:hAnsi="Arial" w:cs="Arial"/>
          <w:color w:val="000000" w:themeColor="text1"/>
          <w:sz w:val="24"/>
          <w:szCs w:val="24"/>
        </w:rPr>
        <w:t>299-300</w:t>
      </w:r>
      <w:r w:rsidR="00542D45">
        <w:rPr>
          <w:rFonts w:ascii="Arial" w:hAnsi="Arial" w:cs="Arial"/>
          <w:color w:val="000000" w:themeColor="text1"/>
          <w:sz w:val="24"/>
          <w:szCs w:val="24"/>
        </w:rPr>
        <w:t xml:space="preserve">). </w:t>
      </w:r>
      <w:r w:rsidR="00F07377">
        <w:rPr>
          <w:rFonts w:ascii="Arial" w:hAnsi="Arial" w:cs="Arial"/>
          <w:color w:val="000000" w:themeColor="text1"/>
          <w:sz w:val="24"/>
          <w:szCs w:val="24"/>
        </w:rPr>
        <w:t>In co</w:t>
      </w:r>
      <w:r w:rsidR="0099423B">
        <w:rPr>
          <w:rFonts w:ascii="Arial" w:hAnsi="Arial" w:cs="Arial"/>
          <w:color w:val="000000" w:themeColor="text1"/>
          <w:sz w:val="24"/>
          <w:szCs w:val="24"/>
        </w:rPr>
        <w:t>n</w:t>
      </w:r>
      <w:r w:rsidR="0062520F">
        <w:rPr>
          <w:rFonts w:ascii="Arial" w:hAnsi="Arial" w:cs="Arial"/>
          <w:color w:val="000000" w:themeColor="text1"/>
          <w:sz w:val="24"/>
          <w:szCs w:val="24"/>
        </w:rPr>
        <w:t xml:space="preserve">trast in </w:t>
      </w:r>
      <w:r w:rsidR="0062520F">
        <w:rPr>
          <w:rFonts w:ascii="Arial" w:hAnsi="Arial" w:cs="Arial"/>
          <w:i/>
          <w:iCs/>
          <w:color w:val="000000" w:themeColor="text1"/>
          <w:sz w:val="24"/>
          <w:szCs w:val="24"/>
        </w:rPr>
        <w:t xml:space="preserve">Copeland </w:t>
      </w:r>
      <w:r w:rsidR="0062520F">
        <w:rPr>
          <w:rFonts w:ascii="Arial" w:hAnsi="Arial" w:cs="Arial"/>
          <w:i/>
          <w:iCs/>
          <w:color w:val="000000" w:themeColor="text1"/>
          <w:sz w:val="24"/>
          <w:szCs w:val="24"/>
        </w:rPr>
        <w:lastRenderedPageBreak/>
        <w:t>v Greenhalf [1952]</w:t>
      </w:r>
      <w:r w:rsidR="00971EF3">
        <w:rPr>
          <w:rFonts w:ascii="Arial" w:hAnsi="Arial" w:cs="Arial"/>
          <w:i/>
          <w:iCs/>
          <w:color w:val="000000" w:themeColor="text1"/>
          <w:sz w:val="24"/>
          <w:szCs w:val="24"/>
        </w:rPr>
        <w:t xml:space="preserve"> </w:t>
      </w:r>
      <w:r w:rsidR="00971EF3">
        <w:rPr>
          <w:rFonts w:ascii="Arial" w:hAnsi="Arial" w:cs="Arial"/>
          <w:color w:val="000000" w:themeColor="text1"/>
          <w:sz w:val="24"/>
          <w:szCs w:val="24"/>
        </w:rPr>
        <w:t>the easement was rejected</w:t>
      </w:r>
      <w:r w:rsidR="006C67D1">
        <w:rPr>
          <w:rFonts w:ascii="Arial" w:hAnsi="Arial" w:cs="Arial"/>
          <w:color w:val="000000" w:themeColor="text1"/>
          <w:sz w:val="24"/>
          <w:szCs w:val="24"/>
        </w:rPr>
        <w:t xml:space="preserve"> as being too extensive</w:t>
      </w:r>
      <w:r w:rsidR="00971EF3">
        <w:rPr>
          <w:rFonts w:ascii="Arial" w:hAnsi="Arial" w:cs="Arial"/>
          <w:color w:val="000000" w:themeColor="text1"/>
          <w:sz w:val="24"/>
          <w:szCs w:val="24"/>
        </w:rPr>
        <w:t xml:space="preserve"> due to the </w:t>
      </w:r>
      <w:r w:rsidR="00326819">
        <w:rPr>
          <w:rFonts w:ascii="Arial" w:hAnsi="Arial" w:cs="Arial"/>
          <w:color w:val="000000" w:themeColor="text1"/>
          <w:sz w:val="24"/>
          <w:szCs w:val="24"/>
        </w:rPr>
        <w:t xml:space="preserve">almost </w:t>
      </w:r>
      <w:r w:rsidR="00971EF3">
        <w:rPr>
          <w:rFonts w:ascii="Arial" w:hAnsi="Arial" w:cs="Arial"/>
          <w:color w:val="000000" w:themeColor="text1"/>
          <w:sz w:val="24"/>
          <w:szCs w:val="24"/>
        </w:rPr>
        <w:t xml:space="preserve">permanent storage of vehicles on the </w:t>
      </w:r>
      <w:r w:rsidR="006B3E41">
        <w:rPr>
          <w:rFonts w:ascii="Arial" w:hAnsi="Arial" w:cs="Arial"/>
          <w:color w:val="000000" w:themeColor="text1"/>
          <w:sz w:val="24"/>
          <w:szCs w:val="24"/>
        </w:rPr>
        <w:t>claimant</w:t>
      </w:r>
      <w:r w:rsidR="00C53735">
        <w:rPr>
          <w:rFonts w:ascii="Arial" w:hAnsi="Arial" w:cs="Arial"/>
          <w:color w:val="000000" w:themeColor="text1"/>
          <w:sz w:val="24"/>
          <w:szCs w:val="24"/>
        </w:rPr>
        <w:t xml:space="preserve">’s land. </w:t>
      </w:r>
      <w:r w:rsidR="00A45F04">
        <w:rPr>
          <w:rFonts w:ascii="Arial" w:hAnsi="Arial" w:cs="Arial"/>
          <w:color w:val="000000" w:themeColor="text1"/>
          <w:sz w:val="24"/>
          <w:szCs w:val="24"/>
        </w:rPr>
        <w:t xml:space="preserve">Additionally, in </w:t>
      </w:r>
      <w:r w:rsidR="004F572E">
        <w:rPr>
          <w:rFonts w:ascii="Arial" w:hAnsi="Arial" w:cs="Arial"/>
          <w:i/>
          <w:iCs/>
          <w:color w:val="000000" w:themeColor="text1"/>
          <w:sz w:val="24"/>
          <w:szCs w:val="24"/>
        </w:rPr>
        <w:t>Grigsby v Melville [</w:t>
      </w:r>
      <w:r w:rsidR="006660C8">
        <w:rPr>
          <w:rFonts w:ascii="Arial" w:hAnsi="Arial" w:cs="Arial"/>
          <w:i/>
          <w:iCs/>
          <w:color w:val="000000" w:themeColor="text1"/>
          <w:sz w:val="24"/>
          <w:szCs w:val="24"/>
        </w:rPr>
        <w:t>1973</w:t>
      </w:r>
      <w:r w:rsidR="004F572E">
        <w:rPr>
          <w:rFonts w:ascii="Arial" w:hAnsi="Arial" w:cs="Arial"/>
          <w:i/>
          <w:iCs/>
          <w:color w:val="000000" w:themeColor="text1"/>
          <w:sz w:val="24"/>
          <w:szCs w:val="24"/>
        </w:rPr>
        <w:t xml:space="preserve">] </w:t>
      </w:r>
      <w:r w:rsidR="004F572E">
        <w:rPr>
          <w:rFonts w:ascii="Arial" w:hAnsi="Arial" w:cs="Arial"/>
          <w:color w:val="000000" w:themeColor="text1"/>
          <w:sz w:val="24"/>
          <w:szCs w:val="24"/>
        </w:rPr>
        <w:t xml:space="preserve">the claim could not be held as an easement </w:t>
      </w:r>
      <w:r w:rsidR="006660C8">
        <w:rPr>
          <w:rFonts w:ascii="Arial" w:hAnsi="Arial" w:cs="Arial"/>
          <w:color w:val="000000" w:themeColor="text1"/>
          <w:sz w:val="24"/>
          <w:szCs w:val="24"/>
        </w:rPr>
        <w:t>because it was a claim to beneficial ownership</w:t>
      </w:r>
      <w:r w:rsidR="00BE6F26">
        <w:rPr>
          <w:rFonts w:ascii="Arial" w:hAnsi="Arial" w:cs="Arial"/>
          <w:color w:val="000000" w:themeColor="text1"/>
          <w:sz w:val="24"/>
          <w:szCs w:val="24"/>
        </w:rPr>
        <w:t xml:space="preserve"> </w:t>
      </w:r>
      <w:r w:rsidR="00C53735">
        <w:rPr>
          <w:rFonts w:ascii="Arial" w:hAnsi="Arial" w:cs="Arial"/>
          <w:color w:val="000000" w:themeColor="text1"/>
          <w:sz w:val="24"/>
          <w:szCs w:val="24"/>
        </w:rPr>
        <w:t>(</w:t>
      </w:r>
      <w:r w:rsidR="007114F2">
        <w:rPr>
          <w:rFonts w:ascii="Arial" w:hAnsi="Arial" w:cs="Arial"/>
          <w:color w:val="000000" w:themeColor="text1"/>
          <w:sz w:val="24"/>
          <w:szCs w:val="24"/>
        </w:rPr>
        <w:t xml:space="preserve">Stroud, </w:t>
      </w:r>
      <w:r w:rsidR="00DF105E">
        <w:rPr>
          <w:rFonts w:ascii="Arial" w:hAnsi="Arial" w:cs="Arial"/>
          <w:color w:val="000000" w:themeColor="text1"/>
          <w:sz w:val="24"/>
          <w:szCs w:val="24"/>
        </w:rPr>
        <w:t>2013, pp.500</w:t>
      </w:r>
      <w:r w:rsidR="00C53735">
        <w:rPr>
          <w:rFonts w:ascii="Arial" w:hAnsi="Arial" w:cs="Arial"/>
          <w:color w:val="000000" w:themeColor="text1"/>
          <w:sz w:val="24"/>
          <w:szCs w:val="24"/>
        </w:rPr>
        <w:t>).</w:t>
      </w:r>
      <w:r w:rsidR="00D07263">
        <w:rPr>
          <w:rFonts w:ascii="Arial" w:hAnsi="Arial" w:cs="Arial"/>
          <w:color w:val="000000" w:themeColor="text1"/>
          <w:sz w:val="24"/>
          <w:szCs w:val="24"/>
        </w:rPr>
        <w:t xml:space="preserve"> </w:t>
      </w:r>
    </w:p>
    <w:p w14:paraId="2BF483BB" w14:textId="77777777" w:rsidR="00C054B7" w:rsidRDefault="00C054B7" w:rsidP="0050675F">
      <w:pPr>
        <w:spacing w:line="480" w:lineRule="auto"/>
        <w:jc w:val="both"/>
        <w:rPr>
          <w:rFonts w:ascii="Arial" w:hAnsi="Arial" w:cs="Arial"/>
          <w:color w:val="000000" w:themeColor="text1"/>
          <w:sz w:val="24"/>
          <w:szCs w:val="24"/>
        </w:rPr>
      </w:pPr>
    </w:p>
    <w:p w14:paraId="1478ADE4" w14:textId="5A3C9785" w:rsidR="00901468" w:rsidRPr="007A7CF2" w:rsidRDefault="00453AAD" w:rsidP="00605331">
      <w:pPr>
        <w:spacing w:line="480" w:lineRule="auto"/>
        <w:jc w:val="both"/>
        <w:rPr>
          <w:rFonts w:ascii="Arial" w:hAnsi="Arial" w:cs="Arial"/>
          <w:color w:val="000000" w:themeColor="text1"/>
          <w:sz w:val="24"/>
          <w:szCs w:val="24"/>
        </w:rPr>
      </w:pPr>
      <w:r w:rsidRPr="007A7CF2">
        <w:rPr>
          <w:rFonts w:ascii="Arial" w:hAnsi="Arial" w:cs="Arial"/>
          <w:color w:val="000000" w:themeColor="text1"/>
          <w:sz w:val="24"/>
          <w:szCs w:val="24"/>
        </w:rPr>
        <w:t>T</w:t>
      </w:r>
      <w:r w:rsidR="00D573FC" w:rsidRPr="007A7CF2">
        <w:rPr>
          <w:rFonts w:ascii="Arial" w:hAnsi="Arial" w:cs="Arial"/>
          <w:color w:val="000000" w:themeColor="text1"/>
          <w:sz w:val="24"/>
          <w:szCs w:val="24"/>
        </w:rPr>
        <w:t>he contentious right to park</w:t>
      </w:r>
      <w:r w:rsidR="009D5EA8" w:rsidRPr="007A7CF2">
        <w:rPr>
          <w:rFonts w:ascii="Arial" w:hAnsi="Arial" w:cs="Arial"/>
          <w:color w:val="000000" w:themeColor="text1"/>
          <w:sz w:val="24"/>
          <w:szCs w:val="24"/>
        </w:rPr>
        <w:t xml:space="preserve"> has brought easements to the fore</w:t>
      </w:r>
      <w:r w:rsidR="00C04BAC" w:rsidRPr="007A7CF2">
        <w:rPr>
          <w:rFonts w:ascii="Arial" w:hAnsi="Arial" w:cs="Arial"/>
          <w:color w:val="000000" w:themeColor="text1"/>
          <w:sz w:val="24"/>
          <w:szCs w:val="24"/>
        </w:rPr>
        <w:t xml:space="preserve"> and has been suggested </w:t>
      </w:r>
      <w:r w:rsidR="009B1B69" w:rsidRPr="007A7CF2">
        <w:rPr>
          <w:rFonts w:ascii="Arial" w:hAnsi="Arial" w:cs="Arial"/>
          <w:color w:val="000000" w:themeColor="text1"/>
          <w:sz w:val="24"/>
          <w:szCs w:val="24"/>
        </w:rPr>
        <w:t xml:space="preserve">as </w:t>
      </w:r>
      <w:r w:rsidR="00652266" w:rsidRPr="007A7CF2">
        <w:rPr>
          <w:rFonts w:ascii="Arial" w:hAnsi="Arial" w:cs="Arial"/>
          <w:color w:val="000000" w:themeColor="text1"/>
          <w:sz w:val="24"/>
          <w:szCs w:val="24"/>
        </w:rPr>
        <w:t xml:space="preserve">a right </w:t>
      </w:r>
      <w:r w:rsidR="00FE2610" w:rsidRPr="007A7CF2">
        <w:rPr>
          <w:rFonts w:ascii="Arial" w:hAnsi="Arial" w:cs="Arial"/>
          <w:color w:val="000000" w:themeColor="text1"/>
          <w:sz w:val="24"/>
          <w:szCs w:val="24"/>
        </w:rPr>
        <w:t>creat</w:t>
      </w:r>
      <w:r w:rsidR="009B1B69" w:rsidRPr="007A7CF2">
        <w:rPr>
          <w:rFonts w:ascii="Arial" w:hAnsi="Arial" w:cs="Arial"/>
          <w:color w:val="000000" w:themeColor="text1"/>
          <w:sz w:val="24"/>
          <w:szCs w:val="24"/>
        </w:rPr>
        <w:t>ing</w:t>
      </w:r>
      <w:r w:rsidR="00FE2610" w:rsidRPr="007A7CF2">
        <w:rPr>
          <w:rFonts w:ascii="Arial" w:hAnsi="Arial" w:cs="Arial"/>
          <w:color w:val="000000" w:themeColor="text1"/>
          <w:sz w:val="24"/>
          <w:szCs w:val="24"/>
        </w:rPr>
        <w:t xml:space="preserve"> an exclusive </w:t>
      </w:r>
      <w:r w:rsidR="00137F9C" w:rsidRPr="007A7CF2">
        <w:rPr>
          <w:rFonts w:ascii="Arial" w:hAnsi="Arial" w:cs="Arial"/>
          <w:color w:val="000000" w:themeColor="text1"/>
          <w:sz w:val="24"/>
          <w:szCs w:val="24"/>
        </w:rPr>
        <w:t xml:space="preserve">use </w:t>
      </w:r>
      <w:r w:rsidR="00FE2610" w:rsidRPr="007A7CF2">
        <w:rPr>
          <w:rFonts w:ascii="Arial" w:hAnsi="Arial" w:cs="Arial"/>
          <w:color w:val="000000" w:themeColor="text1"/>
          <w:sz w:val="24"/>
          <w:szCs w:val="24"/>
        </w:rPr>
        <w:t>of land</w:t>
      </w:r>
      <w:r w:rsidR="0058211C" w:rsidRPr="007A7CF2">
        <w:rPr>
          <w:rFonts w:ascii="Arial" w:hAnsi="Arial" w:cs="Arial"/>
          <w:color w:val="000000" w:themeColor="text1"/>
          <w:sz w:val="24"/>
          <w:szCs w:val="24"/>
        </w:rPr>
        <w:t>,</w:t>
      </w:r>
      <w:r w:rsidR="00FE2610" w:rsidRPr="007A7CF2">
        <w:rPr>
          <w:rFonts w:ascii="Arial" w:hAnsi="Arial" w:cs="Arial"/>
          <w:color w:val="000000" w:themeColor="text1"/>
          <w:sz w:val="24"/>
          <w:szCs w:val="24"/>
        </w:rPr>
        <w:t xml:space="preserve"> </w:t>
      </w:r>
      <w:r w:rsidR="005F57FA" w:rsidRPr="007A7CF2">
        <w:rPr>
          <w:rFonts w:ascii="Arial" w:hAnsi="Arial" w:cs="Arial"/>
          <w:color w:val="000000" w:themeColor="text1"/>
          <w:sz w:val="24"/>
          <w:szCs w:val="24"/>
        </w:rPr>
        <w:t xml:space="preserve">argued as being </w:t>
      </w:r>
      <w:r w:rsidR="00652266" w:rsidRPr="007A7CF2">
        <w:rPr>
          <w:rFonts w:ascii="Arial" w:hAnsi="Arial" w:cs="Arial"/>
          <w:color w:val="000000" w:themeColor="text1"/>
          <w:sz w:val="24"/>
          <w:szCs w:val="24"/>
        </w:rPr>
        <w:t xml:space="preserve">favourable to </w:t>
      </w:r>
      <w:r w:rsidR="00FE2610" w:rsidRPr="007A7CF2">
        <w:rPr>
          <w:rFonts w:ascii="Arial" w:hAnsi="Arial" w:cs="Arial"/>
          <w:color w:val="000000" w:themeColor="text1"/>
          <w:sz w:val="24"/>
          <w:szCs w:val="24"/>
        </w:rPr>
        <w:t xml:space="preserve">the dominant </w:t>
      </w:r>
      <w:r w:rsidR="00D206DC" w:rsidRPr="007A7CF2">
        <w:rPr>
          <w:rFonts w:ascii="Arial" w:hAnsi="Arial" w:cs="Arial"/>
          <w:color w:val="000000" w:themeColor="text1"/>
          <w:sz w:val="24"/>
          <w:szCs w:val="24"/>
        </w:rPr>
        <w:t>owner</w:t>
      </w:r>
      <w:r w:rsidR="00AE06A0" w:rsidRPr="007A7CF2">
        <w:rPr>
          <w:rFonts w:ascii="Arial" w:hAnsi="Arial" w:cs="Arial"/>
          <w:color w:val="000000" w:themeColor="text1"/>
          <w:sz w:val="24"/>
          <w:szCs w:val="24"/>
        </w:rPr>
        <w:t xml:space="preserve"> (Robinson, 2019)</w:t>
      </w:r>
      <w:r w:rsidR="00322127">
        <w:rPr>
          <w:rFonts w:ascii="Arial" w:hAnsi="Arial" w:cs="Arial"/>
          <w:color w:val="000000" w:themeColor="text1"/>
          <w:sz w:val="24"/>
          <w:szCs w:val="24"/>
        </w:rPr>
        <w:t>, (Thomson Reuters, 2001)</w:t>
      </w:r>
      <w:r w:rsidR="00AE06A0" w:rsidRPr="007A7CF2">
        <w:rPr>
          <w:rFonts w:ascii="Arial" w:hAnsi="Arial" w:cs="Arial"/>
          <w:color w:val="000000" w:themeColor="text1"/>
          <w:sz w:val="24"/>
          <w:szCs w:val="24"/>
        </w:rPr>
        <w:t>.</w:t>
      </w:r>
      <w:r w:rsidR="00616B3A">
        <w:rPr>
          <w:rFonts w:ascii="Arial" w:hAnsi="Arial" w:cs="Arial"/>
          <w:color w:val="000000" w:themeColor="text1"/>
          <w:sz w:val="24"/>
          <w:szCs w:val="24"/>
        </w:rPr>
        <w:t xml:space="preserve"> In</w:t>
      </w:r>
      <w:r w:rsidR="008E5DEF" w:rsidRPr="007A7CF2">
        <w:rPr>
          <w:rFonts w:ascii="Arial" w:hAnsi="Arial" w:cs="Arial"/>
          <w:color w:val="000000" w:themeColor="text1"/>
          <w:sz w:val="24"/>
          <w:szCs w:val="24"/>
        </w:rPr>
        <w:t xml:space="preserve"> </w:t>
      </w:r>
      <w:r w:rsidR="00404632" w:rsidRPr="007A7CF2">
        <w:rPr>
          <w:rFonts w:ascii="Arial" w:hAnsi="Arial" w:cs="Arial"/>
          <w:i/>
          <w:iCs/>
          <w:color w:val="000000" w:themeColor="text1"/>
          <w:sz w:val="24"/>
          <w:szCs w:val="24"/>
        </w:rPr>
        <w:t xml:space="preserve">London &amp; Blenheim [1992] </w:t>
      </w:r>
      <w:r w:rsidR="003A0E40" w:rsidRPr="007A7CF2">
        <w:rPr>
          <w:rFonts w:ascii="Arial" w:hAnsi="Arial" w:cs="Arial"/>
          <w:color w:val="000000" w:themeColor="text1"/>
          <w:sz w:val="24"/>
          <w:szCs w:val="24"/>
        </w:rPr>
        <w:t xml:space="preserve">the judge accepted an easement </w:t>
      </w:r>
      <w:r w:rsidR="0004770B" w:rsidRPr="007A7CF2">
        <w:rPr>
          <w:rFonts w:ascii="Arial" w:hAnsi="Arial" w:cs="Arial"/>
          <w:color w:val="000000" w:themeColor="text1"/>
          <w:sz w:val="24"/>
          <w:szCs w:val="24"/>
        </w:rPr>
        <w:t xml:space="preserve">could exist </w:t>
      </w:r>
      <w:r w:rsidR="003A0E40" w:rsidRPr="007A7CF2">
        <w:rPr>
          <w:rFonts w:ascii="Arial" w:hAnsi="Arial" w:cs="Arial"/>
          <w:color w:val="000000" w:themeColor="text1"/>
          <w:sz w:val="24"/>
          <w:szCs w:val="24"/>
        </w:rPr>
        <w:t xml:space="preserve">on servient land </w:t>
      </w:r>
      <w:r w:rsidR="009F0B83" w:rsidRPr="007A7CF2">
        <w:rPr>
          <w:rFonts w:ascii="Arial" w:hAnsi="Arial" w:cs="Arial"/>
          <w:color w:val="000000" w:themeColor="text1"/>
          <w:sz w:val="24"/>
          <w:szCs w:val="24"/>
        </w:rPr>
        <w:t>so long as there remained sufficient space which would not leave the servient owner without ‘reasonable use’ of the land (</w:t>
      </w:r>
      <w:r w:rsidR="00505263" w:rsidRPr="007A7CF2">
        <w:rPr>
          <w:rFonts w:ascii="Arial" w:hAnsi="Arial" w:cs="Arial"/>
          <w:color w:val="000000" w:themeColor="text1"/>
          <w:sz w:val="24"/>
          <w:szCs w:val="24"/>
        </w:rPr>
        <w:t>Richards, 2014, pp.</w:t>
      </w:r>
      <w:r w:rsidR="007917D8" w:rsidRPr="007A7CF2">
        <w:rPr>
          <w:rFonts w:ascii="Arial" w:hAnsi="Arial" w:cs="Arial"/>
          <w:color w:val="000000" w:themeColor="text1"/>
          <w:sz w:val="24"/>
          <w:szCs w:val="24"/>
        </w:rPr>
        <w:t>439</w:t>
      </w:r>
      <w:r w:rsidR="009F0B83" w:rsidRPr="007A7CF2">
        <w:rPr>
          <w:rFonts w:ascii="Arial" w:hAnsi="Arial" w:cs="Arial"/>
          <w:color w:val="000000" w:themeColor="text1"/>
          <w:sz w:val="24"/>
          <w:szCs w:val="24"/>
        </w:rPr>
        <w:t xml:space="preserve">). </w:t>
      </w:r>
      <w:r w:rsidR="007917D8" w:rsidRPr="007A7CF2">
        <w:rPr>
          <w:rFonts w:ascii="Arial" w:hAnsi="Arial" w:cs="Arial"/>
          <w:color w:val="000000" w:themeColor="text1"/>
          <w:sz w:val="24"/>
          <w:szCs w:val="24"/>
        </w:rPr>
        <w:t>As a result, i</w:t>
      </w:r>
      <w:r w:rsidR="008E5DEF" w:rsidRPr="007A7CF2">
        <w:rPr>
          <w:rFonts w:ascii="Arial" w:hAnsi="Arial" w:cs="Arial"/>
          <w:color w:val="000000" w:themeColor="text1"/>
          <w:sz w:val="24"/>
          <w:szCs w:val="24"/>
        </w:rPr>
        <w:t xml:space="preserve">n </w:t>
      </w:r>
      <w:r w:rsidR="008E5DEF" w:rsidRPr="007A7CF2">
        <w:rPr>
          <w:rFonts w:ascii="Arial" w:hAnsi="Arial" w:cs="Arial"/>
          <w:i/>
          <w:iCs/>
          <w:color w:val="000000" w:themeColor="text1"/>
          <w:sz w:val="24"/>
          <w:szCs w:val="24"/>
        </w:rPr>
        <w:t xml:space="preserve">Batchelor v Marlow [2003] </w:t>
      </w:r>
      <w:r w:rsidR="00A36123" w:rsidRPr="007A7CF2">
        <w:rPr>
          <w:rFonts w:ascii="Arial" w:hAnsi="Arial" w:cs="Arial"/>
          <w:color w:val="000000" w:themeColor="text1"/>
          <w:sz w:val="24"/>
          <w:szCs w:val="24"/>
        </w:rPr>
        <w:t xml:space="preserve">the right to park up to six cars </w:t>
      </w:r>
      <w:r w:rsidR="00ED28DB" w:rsidRPr="007A7CF2">
        <w:rPr>
          <w:rFonts w:ascii="Arial" w:hAnsi="Arial" w:cs="Arial"/>
          <w:color w:val="000000" w:themeColor="text1"/>
          <w:sz w:val="24"/>
          <w:szCs w:val="24"/>
        </w:rPr>
        <w:t xml:space="preserve">between 8.30am to 6pm Monday to Friday </w:t>
      </w:r>
      <w:r w:rsidR="003D55FC" w:rsidRPr="007A7CF2">
        <w:rPr>
          <w:rFonts w:ascii="Arial" w:hAnsi="Arial" w:cs="Arial"/>
          <w:color w:val="000000" w:themeColor="text1"/>
          <w:sz w:val="24"/>
          <w:szCs w:val="24"/>
        </w:rPr>
        <w:t>was held to be too extensive</w:t>
      </w:r>
      <w:r w:rsidR="0016232F" w:rsidRPr="007A7CF2">
        <w:rPr>
          <w:rFonts w:ascii="Arial" w:hAnsi="Arial" w:cs="Arial"/>
          <w:color w:val="000000" w:themeColor="text1"/>
          <w:sz w:val="24"/>
          <w:szCs w:val="24"/>
        </w:rPr>
        <w:t>,</w:t>
      </w:r>
      <w:r w:rsidR="003D55FC" w:rsidRPr="007A7CF2">
        <w:rPr>
          <w:rFonts w:ascii="Arial" w:hAnsi="Arial" w:cs="Arial"/>
          <w:color w:val="000000" w:themeColor="text1"/>
          <w:sz w:val="24"/>
          <w:szCs w:val="24"/>
        </w:rPr>
        <w:t xml:space="preserve"> </w:t>
      </w:r>
      <w:r w:rsidR="006572D5" w:rsidRPr="007A7CF2">
        <w:rPr>
          <w:rFonts w:ascii="Arial" w:hAnsi="Arial" w:cs="Arial"/>
          <w:color w:val="000000" w:themeColor="text1"/>
          <w:sz w:val="24"/>
          <w:szCs w:val="24"/>
        </w:rPr>
        <w:t xml:space="preserve">in correlation with </w:t>
      </w:r>
      <w:r w:rsidR="00377093" w:rsidRPr="007A7CF2">
        <w:rPr>
          <w:rFonts w:ascii="Arial" w:hAnsi="Arial" w:cs="Arial"/>
          <w:i/>
          <w:iCs/>
          <w:color w:val="000000" w:themeColor="text1"/>
          <w:sz w:val="24"/>
          <w:szCs w:val="24"/>
        </w:rPr>
        <w:t xml:space="preserve">Copeland [1952] </w:t>
      </w:r>
      <w:r w:rsidR="003D55FC" w:rsidRPr="007A7CF2">
        <w:rPr>
          <w:rFonts w:ascii="Arial" w:hAnsi="Arial" w:cs="Arial"/>
          <w:color w:val="000000" w:themeColor="text1"/>
          <w:sz w:val="24"/>
          <w:szCs w:val="24"/>
        </w:rPr>
        <w:t xml:space="preserve">to be an easement as it would deprive </w:t>
      </w:r>
      <w:r w:rsidR="00353D29" w:rsidRPr="007A7CF2">
        <w:rPr>
          <w:rFonts w:ascii="Arial" w:hAnsi="Arial" w:cs="Arial"/>
          <w:color w:val="000000" w:themeColor="text1"/>
          <w:sz w:val="24"/>
          <w:szCs w:val="24"/>
        </w:rPr>
        <w:t xml:space="preserve">the </w:t>
      </w:r>
      <w:r w:rsidR="003D2F65" w:rsidRPr="007A7CF2">
        <w:rPr>
          <w:rFonts w:ascii="Arial" w:hAnsi="Arial" w:cs="Arial"/>
          <w:color w:val="000000" w:themeColor="text1"/>
          <w:sz w:val="24"/>
          <w:szCs w:val="24"/>
        </w:rPr>
        <w:t>servient owner</w:t>
      </w:r>
      <w:r w:rsidR="00505263" w:rsidRPr="007A7CF2">
        <w:rPr>
          <w:rFonts w:ascii="Arial" w:hAnsi="Arial" w:cs="Arial"/>
          <w:color w:val="000000" w:themeColor="text1"/>
          <w:sz w:val="24"/>
          <w:szCs w:val="24"/>
        </w:rPr>
        <w:t xml:space="preserve"> of</w:t>
      </w:r>
      <w:r w:rsidR="003D2F65" w:rsidRPr="007A7CF2">
        <w:rPr>
          <w:rFonts w:ascii="Arial" w:hAnsi="Arial" w:cs="Arial"/>
          <w:color w:val="000000" w:themeColor="text1"/>
          <w:sz w:val="24"/>
          <w:szCs w:val="24"/>
        </w:rPr>
        <w:t xml:space="preserve"> </w:t>
      </w:r>
      <w:r w:rsidR="00505263" w:rsidRPr="007A7CF2">
        <w:rPr>
          <w:rFonts w:ascii="Arial" w:hAnsi="Arial" w:cs="Arial"/>
          <w:color w:val="000000" w:themeColor="text1"/>
          <w:sz w:val="24"/>
          <w:szCs w:val="24"/>
        </w:rPr>
        <w:t>‘</w:t>
      </w:r>
      <w:r w:rsidR="003D2F65" w:rsidRPr="007A7CF2">
        <w:rPr>
          <w:rFonts w:ascii="Arial" w:hAnsi="Arial" w:cs="Arial"/>
          <w:color w:val="000000" w:themeColor="text1"/>
          <w:sz w:val="24"/>
          <w:szCs w:val="24"/>
        </w:rPr>
        <w:t>reasonable use</w:t>
      </w:r>
      <w:r w:rsidR="00505263" w:rsidRPr="007A7CF2">
        <w:rPr>
          <w:rFonts w:ascii="Arial" w:hAnsi="Arial" w:cs="Arial"/>
          <w:color w:val="000000" w:themeColor="text1"/>
          <w:sz w:val="24"/>
          <w:szCs w:val="24"/>
        </w:rPr>
        <w:t>’</w:t>
      </w:r>
      <w:r w:rsidR="003D2F65" w:rsidRPr="007A7CF2">
        <w:rPr>
          <w:rFonts w:ascii="Arial" w:hAnsi="Arial" w:cs="Arial"/>
          <w:color w:val="000000" w:themeColor="text1"/>
          <w:sz w:val="24"/>
          <w:szCs w:val="24"/>
        </w:rPr>
        <w:t xml:space="preserve"> of the land rendering the ownership of the land ‘illusory’</w:t>
      </w:r>
      <w:r w:rsidR="00174737" w:rsidRPr="007A7CF2">
        <w:rPr>
          <w:rFonts w:ascii="Arial" w:hAnsi="Arial" w:cs="Arial"/>
          <w:color w:val="000000" w:themeColor="text1"/>
          <w:sz w:val="24"/>
          <w:szCs w:val="24"/>
        </w:rPr>
        <w:t>, contrary to the principles regarding easements</w:t>
      </w:r>
      <w:r w:rsidR="00EF2BDC">
        <w:rPr>
          <w:rFonts w:ascii="Arial" w:hAnsi="Arial" w:cs="Arial"/>
          <w:color w:val="000000" w:themeColor="text1"/>
          <w:sz w:val="24"/>
          <w:szCs w:val="24"/>
        </w:rPr>
        <w:t xml:space="preserve"> (Tanfield, 2016)</w:t>
      </w:r>
      <w:r w:rsidR="00FC286C" w:rsidRPr="007A7CF2">
        <w:rPr>
          <w:rFonts w:ascii="Arial" w:hAnsi="Arial" w:cs="Arial"/>
          <w:color w:val="000000" w:themeColor="text1"/>
          <w:sz w:val="24"/>
          <w:szCs w:val="24"/>
        </w:rPr>
        <w:t xml:space="preserve">. </w:t>
      </w:r>
      <w:r w:rsidR="002F53AD" w:rsidRPr="007A7CF2">
        <w:rPr>
          <w:rFonts w:ascii="Arial" w:hAnsi="Arial" w:cs="Arial"/>
          <w:color w:val="000000" w:themeColor="text1"/>
          <w:sz w:val="24"/>
          <w:szCs w:val="24"/>
        </w:rPr>
        <w:t xml:space="preserve">Conversely, </w:t>
      </w:r>
      <w:r w:rsidR="00A01DCE" w:rsidRPr="007A7CF2">
        <w:rPr>
          <w:rFonts w:ascii="Arial" w:hAnsi="Arial" w:cs="Arial"/>
          <w:color w:val="000000" w:themeColor="text1"/>
          <w:sz w:val="24"/>
          <w:szCs w:val="24"/>
        </w:rPr>
        <w:t xml:space="preserve">the Court of Appeal upheld the right </w:t>
      </w:r>
      <w:r w:rsidR="00C83326" w:rsidRPr="007A7CF2">
        <w:rPr>
          <w:rFonts w:ascii="Arial" w:hAnsi="Arial" w:cs="Arial"/>
          <w:color w:val="000000" w:themeColor="text1"/>
          <w:sz w:val="24"/>
          <w:szCs w:val="24"/>
        </w:rPr>
        <w:t xml:space="preserve">to park </w:t>
      </w:r>
      <w:r w:rsidR="002F53AD" w:rsidRPr="007A7CF2">
        <w:rPr>
          <w:rFonts w:ascii="Arial" w:hAnsi="Arial" w:cs="Arial"/>
          <w:color w:val="000000" w:themeColor="text1"/>
          <w:sz w:val="24"/>
          <w:szCs w:val="24"/>
        </w:rPr>
        <w:t xml:space="preserve">in </w:t>
      </w:r>
      <w:r w:rsidR="001B30E0" w:rsidRPr="007A7CF2">
        <w:rPr>
          <w:rFonts w:ascii="Arial" w:hAnsi="Arial" w:cs="Arial"/>
          <w:i/>
          <w:iCs/>
          <w:color w:val="000000" w:themeColor="text1"/>
          <w:sz w:val="24"/>
          <w:szCs w:val="24"/>
        </w:rPr>
        <w:t xml:space="preserve">Hair v Gillman [2000] </w:t>
      </w:r>
      <w:r w:rsidR="000047C3" w:rsidRPr="007A7CF2">
        <w:rPr>
          <w:rFonts w:ascii="Arial" w:hAnsi="Arial" w:cs="Arial"/>
          <w:color w:val="000000" w:themeColor="text1"/>
          <w:sz w:val="24"/>
          <w:szCs w:val="24"/>
        </w:rPr>
        <w:t xml:space="preserve">where parking </w:t>
      </w:r>
      <w:r w:rsidR="00E54197" w:rsidRPr="007A7CF2">
        <w:rPr>
          <w:rFonts w:ascii="Arial" w:hAnsi="Arial" w:cs="Arial"/>
          <w:color w:val="000000" w:themeColor="text1"/>
          <w:sz w:val="24"/>
          <w:szCs w:val="24"/>
        </w:rPr>
        <w:t xml:space="preserve">a single car </w:t>
      </w:r>
      <w:r w:rsidR="000047C3" w:rsidRPr="007A7CF2">
        <w:rPr>
          <w:rFonts w:ascii="Arial" w:hAnsi="Arial" w:cs="Arial"/>
          <w:color w:val="000000" w:themeColor="text1"/>
          <w:sz w:val="24"/>
          <w:szCs w:val="24"/>
        </w:rPr>
        <w:t xml:space="preserve">would </w:t>
      </w:r>
      <w:r w:rsidR="00A22C8E" w:rsidRPr="007A7CF2">
        <w:rPr>
          <w:rFonts w:ascii="Arial" w:hAnsi="Arial" w:cs="Arial"/>
          <w:color w:val="000000" w:themeColor="text1"/>
          <w:sz w:val="24"/>
          <w:szCs w:val="24"/>
        </w:rPr>
        <w:t>have</w:t>
      </w:r>
      <w:r w:rsidR="000047C3" w:rsidRPr="007A7CF2">
        <w:rPr>
          <w:rFonts w:ascii="Arial" w:hAnsi="Arial" w:cs="Arial"/>
          <w:color w:val="000000" w:themeColor="text1"/>
          <w:sz w:val="24"/>
          <w:szCs w:val="24"/>
        </w:rPr>
        <w:t xml:space="preserve"> no interference with the </w:t>
      </w:r>
      <w:r w:rsidR="00D72D47" w:rsidRPr="007A7CF2">
        <w:rPr>
          <w:rFonts w:ascii="Arial" w:hAnsi="Arial" w:cs="Arial"/>
          <w:color w:val="000000" w:themeColor="text1"/>
          <w:sz w:val="24"/>
          <w:szCs w:val="24"/>
        </w:rPr>
        <w:t>owner’s right to park at any time</w:t>
      </w:r>
      <w:r w:rsidR="00174737" w:rsidRPr="007A7CF2">
        <w:rPr>
          <w:rFonts w:ascii="Arial" w:hAnsi="Arial" w:cs="Arial"/>
          <w:i/>
          <w:iCs/>
          <w:color w:val="000000" w:themeColor="text1"/>
          <w:sz w:val="24"/>
          <w:szCs w:val="24"/>
        </w:rPr>
        <w:t xml:space="preserve"> </w:t>
      </w:r>
      <w:r w:rsidR="00174737" w:rsidRPr="007A7CF2">
        <w:rPr>
          <w:rFonts w:ascii="Arial" w:hAnsi="Arial" w:cs="Arial"/>
          <w:color w:val="000000" w:themeColor="text1"/>
          <w:sz w:val="24"/>
          <w:szCs w:val="24"/>
        </w:rPr>
        <w:t>(</w:t>
      </w:r>
      <w:r w:rsidR="007E715D" w:rsidRPr="007A7CF2">
        <w:rPr>
          <w:rFonts w:ascii="Arial" w:hAnsi="Arial" w:cs="Arial"/>
          <w:color w:val="000000" w:themeColor="text1"/>
          <w:sz w:val="24"/>
          <w:szCs w:val="24"/>
        </w:rPr>
        <w:t>Dickinson, 2013</w:t>
      </w:r>
      <w:r w:rsidR="00174737" w:rsidRPr="007A7CF2">
        <w:rPr>
          <w:rFonts w:ascii="Arial" w:hAnsi="Arial" w:cs="Arial"/>
          <w:color w:val="000000" w:themeColor="text1"/>
          <w:sz w:val="24"/>
          <w:szCs w:val="24"/>
        </w:rPr>
        <w:t>).</w:t>
      </w:r>
      <w:r w:rsidR="00B2077A" w:rsidRPr="007A7CF2">
        <w:rPr>
          <w:rFonts w:ascii="Arial" w:hAnsi="Arial" w:cs="Arial"/>
          <w:color w:val="000000" w:themeColor="text1"/>
          <w:sz w:val="24"/>
          <w:szCs w:val="24"/>
        </w:rPr>
        <w:t xml:space="preserve"> </w:t>
      </w:r>
      <w:r w:rsidR="002D24C1" w:rsidRPr="007A7CF2">
        <w:rPr>
          <w:rFonts w:ascii="Arial" w:hAnsi="Arial" w:cs="Arial"/>
          <w:color w:val="000000" w:themeColor="text1"/>
          <w:sz w:val="24"/>
          <w:szCs w:val="24"/>
        </w:rPr>
        <w:t xml:space="preserve">The </w:t>
      </w:r>
      <w:r w:rsidR="00EF4898" w:rsidRPr="007A7CF2">
        <w:rPr>
          <w:rFonts w:ascii="Arial" w:hAnsi="Arial" w:cs="Arial"/>
          <w:color w:val="000000" w:themeColor="text1"/>
          <w:sz w:val="24"/>
          <w:szCs w:val="24"/>
        </w:rPr>
        <w:t xml:space="preserve">‘reasonable use’ </w:t>
      </w:r>
      <w:r w:rsidR="002D24C1" w:rsidRPr="007A7CF2">
        <w:rPr>
          <w:rFonts w:ascii="Arial" w:hAnsi="Arial" w:cs="Arial"/>
          <w:color w:val="000000" w:themeColor="text1"/>
          <w:sz w:val="24"/>
          <w:szCs w:val="24"/>
        </w:rPr>
        <w:t xml:space="preserve">test established in </w:t>
      </w:r>
      <w:r w:rsidR="00FE42A9" w:rsidRPr="007A7CF2">
        <w:rPr>
          <w:rFonts w:ascii="Arial" w:hAnsi="Arial" w:cs="Arial"/>
          <w:i/>
          <w:iCs/>
          <w:color w:val="000000" w:themeColor="text1"/>
          <w:sz w:val="24"/>
          <w:szCs w:val="24"/>
        </w:rPr>
        <w:t xml:space="preserve">London [1992] </w:t>
      </w:r>
      <w:r w:rsidR="007C30BE" w:rsidRPr="007A7CF2">
        <w:rPr>
          <w:rFonts w:ascii="Arial" w:hAnsi="Arial" w:cs="Arial"/>
          <w:color w:val="000000" w:themeColor="text1"/>
          <w:sz w:val="24"/>
          <w:szCs w:val="24"/>
        </w:rPr>
        <w:t xml:space="preserve">and applied in </w:t>
      </w:r>
      <w:r w:rsidR="007C30BE" w:rsidRPr="007A7CF2">
        <w:rPr>
          <w:rFonts w:ascii="Arial" w:hAnsi="Arial" w:cs="Arial"/>
          <w:i/>
          <w:iCs/>
          <w:color w:val="000000" w:themeColor="text1"/>
          <w:sz w:val="24"/>
          <w:szCs w:val="24"/>
        </w:rPr>
        <w:t>B</w:t>
      </w:r>
      <w:r w:rsidR="002D24C1" w:rsidRPr="007A7CF2">
        <w:rPr>
          <w:rFonts w:ascii="Arial" w:hAnsi="Arial" w:cs="Arial"/>
          <w:i/>
          <w:iCs/>
          <w:color w:val="000000" w:themeColor="text1"/>
          <w:sz w:val="24"/>
          <w:szCs w:val="24"/>
        </w:rPr>
        <w:t xml:space="preserve">atchelor [2003] </w:t>
      </w:r>
      <w:r w:rsidR="002D24C1" w:rsidRPr="007A7CF2">
        <w:rPr>
          <w:rFonts w:ascii="Arial" w:hAnsi="Arial" w:cs="Arial"/>
          <w:color w:val="000000" w:themeColor="text1"/>
          <w:sz w:val="24"/>
          <w:szCs w:val="24"/>
        </w:rPr>
        <w:t xml:space="preserve">was </w:t>
      </w:r>
      <w:r w:rsidR="00FB75F1" w:rsidRPr="007A7CF2">
        <w:rPr>
          <w:rFonts w:ascii="Arial" w:hAnsi="Arial" w:cs="Arial"/>
          <w:color w:val="000000" w:themeColor="text1"/>
          <w:sz w:val="24"/>
          <w:szCs w:val="24"/>
        </w:rPr>
        <w:t>rejected by Lo</w:t>
      </w:r>
      <w:r w:rsidR="00762E82" w:rsidRPr="007A7CF2">
        <w:rPr>
          <w:rFonts w:ascii="Arial" w:hAnsi="Arial" w:cs="Arial"/>
          <w:color w:val="000000" w:themeColor="text1"/>
          <w:sz w:val="24"/>
          <w:szCs w:val="24"/>
        </w:rPr>
        <w:t xml:space="preserve">rd Scott in </w:t>
      </w:r>
      <w:r w:rsidR="00F40610" w:rsidRPr="007A7CF2">
        <w:rPr>
          <w:rFonts w:ascii="Arial" w:hAnsi="Arial" w:cs="Arial"/>
          <w:i/>
          <w:iCs/>
          <w:color w:val="000000" w:themeColor="text1"/>
          <w:sz w:val="24"/>
          <w:szCs w:val="24"/>
        </w:rPr>
        <w:t xml:space="preserve">Moncrieff v Jamieson [2007] </w:t>
      </w:r>
      <w:r w:rsidR="00DF228D" w:rsidRPr="007A7CF2">
        <w:rPr>
          <w:rFonts w:ascii="Arial" w:hAnsi="Arial" w:cs="Arial"/>
          <w:color w:val="000000" w:themeColor="text1"/>
          <w:sz w:val="24"/>
          <w:szCs w:val="24"/>
        </w:rPr>
        <w:t xml:space="preserve">for a </w:t>
      </w:r>
      <w:r w:rsidR="002D4A47" w:rsidRPr="007A7CF2">
        <w:rPr>
          <w:rFonts w:ascii="Arial" w:hAnsi="Arial" w:cs="Arial"/>
          <w:color w:val="000000" w:themeColor="text1"/>
          <w:sz w:val="24"/>
          <w:szCs w:val="24"/>
        </w:rPr>
        <w:t xml:space="preserve">substitute </w:t>
      </w:r>
      <w:r w:rsidR="00DF228D" w:rsidRPr="007A7CF2">
        <w:rPr>
          <w:rFonts w:ascii="Arial" w:hAnsi="Arial" w:cs="Arial"/>
          <w:color w:val="000000" w:themeColor="text1"/>
          <w:sz w:val="24"/>
          <w:szCs w:val="24"/>
        </w:rPr>
        <w:t xml:space="preserve">test </w:t>
      </w:r>
      <w:r w:rsidR="00C30BF3" w:rsidRPr="007A7CF2">
        <w:rPr>
          <w:rFonts w:ascii="Arial" w:hAnsi="Arial" w:cs="Arial"/>
          <w:color w:val="000000" w:themeColor="text1"/>
          <w:sz w:val="24"/>
          <w:szCs w:val="24"/>
        </w:rPr>
        <w:t>which</w:t>
      </w:r>
      <w:r w:rsidR="00324C4E" w:rsidRPr="007A7CF2">
        <w:rPr>
          <w:rFonts w:ascii="Arial" w:hAnsi="Arial" w:cs="Arial"/>
          <w:color w:val="000000" w:themeColor="text1"/>
          <w:sz w:val="24"/>
          <w:szCs w:val="24"/>
        </w:rPr>
        <w:t xml:space="preserve"> asks whether the servient owner retains </w:t>
      </w:r>
      <w:r w:rsidR="00963662" w:rsidRPr="007A7CF2">
        <w:rPr>
          <w:rFonts w:ascii="Arial" w:hAnsi="Arial" w:cs="Arial"/>
          <w:color w:val="000000" w:themeColor="text1"/>
          <w:sz w:val="24"/>
          <w:szCs w:val="24"/>
        </w:rPr>
        <w:t>‘</w:t>
      </w:r>
      <w:r w:rsidR="00324C4E" w:rsidRPr="007A7CF2">
        <w:rPr>
          <w:rFonts w:ascii="Arial" w:hAnsi="Arial" w:cs="Arial"/>
          <w:color w:val="000000" w:themeColor="text1"/>
          <w:sz w:val="24"/>
          <w:szCs w:val="24"/>
        </w:rPr>
        <w:t xml:space="preserve">possession </w:t>
      </w:r>
      <w:r w:rsidR="009E370E" w:rsidRPr="007A7CF2">
        <w:rPr>
          <w:rFonts w:ascii="Arial" w:hAnsi="Arial" w:cs="Arial"/>
          <w:color w:val="000000" w:themeColor="text1"/>
          <w:sz w:val="24"/>
          <w:szCs w:val="24"/>
        </w:rPr>
        <w:t>and control</w:t>
      </w:r>
      <w:r w:rsidR="00963662" w:rsidRPr="007A7CF2">
        <w:rPr>
          <w:rFonts w:ascii="Arial" w:hAnsi="Arial" w:cs="Arial"/>
          <w:color w:val="000000" w:themeColor="text1"/>
          <w:sz w:val="24"/>
          <w:szCs w:val="24"/>
        </w:rPr>
        <w:t>’</w:t>
      </w:r>
      <w:r w:rsidR="009E370E" w:rsidRPr="007A7CF2">
        <w:rPr>
          <w:rFonts w:ascii="Arial" w:hAnsi="Arial" w:cs="Arial"/>
          <w:color w:val="000000" w:themeColor="text1"/>
          <w:sz w:val="24"/>
          <w:szCs w:val="24"/>
        </w:rPr>
        <w:t xml:space="preserve"> of the land</w:t>
      </w:r>
      <w:r w:rsidR="001D2BC1" w:rsidRPr="007A7CF2">
        <w:rPr>
          <w:rFonts w:ascii="Arial" w:hAnsi="Arial" w:cs="Arial"/>
          <w:color w:val="000000" w:themeColor="text1"/>
          <w:sz w:val="24"/>
          <w:szCs w:val="24"/>
        </w:rPr>
        <w:t xml:space="preserve"> </w:t>
      </w:r>
      <w:r w:rsidR="00860E83" w:rsidRPr="007A7CF2">
        <w:rPr>
          <w:rFonts w:ascii="Arial" w:hAnsi="Arial" w:cs="Arial"/>
          <w:color w:val="000000" w:themeColor="text1"/>
          <w:sz w:val="24"/>
          <w:szCs w:val="24"/>
        </w:rPr>
        <w:t xml:space="preserve">thus relaxing the rules to some degree </w:t>
      </w:r>
      <w:r w:rsidR="007E2FB8" w:rsidRPr="007A7CF2">
        <w:rPr>
          <w:rFonts w:ascii="Arial" w:hAnsi="Arial" w:cs="Arial"/>
          <w:color w:val="000000" w:themeColor="text1"/>
          <w:sz w:val="24"/>
          <w:szCs w:val="24"/>
        </w:rPr>
        <w:t>(</w:t>
      </w:r>
      <w:r w:rsidR="00FC1F0F" w:rsidRPr="007A7CF2">
        <w:rPr>
          <w:rFonts w:ascii="Arial" w:hAnsi="Arial" w:cs="Arial"/>
          <w:color w:val="000000" w:themeColor="text1"/>
          <w:sz w:val="24"/>
          <w:szCs w:val="24"/>
        </w:rPr>
        <w:t>Goymour, 2008, pp.20-21</w:t>
      </w:r>
      <w:r w:rsidR="007E2FB8" w:rsidRPr="007A7CF2">
        <w:rPr>
          <w:rFonts w:ascii="Arial" w:hAnsi="Arial" w:cs="Arial"/>
          <w:color w:val="000000" w:themeColor="text1"/>
          <w:sz w:val="24"/>
          <w:szCs w:val="24"/>
        </w:rPr>
        <w:t>).</w:t>
      </w:r>
      <w:r w:rsidR="002D4A47" w:rsidRPr="007A7CF2">
        <w:rPr>
          <w:rFonts w:ascii="Arial" w:hAnsi="Arial" w:cs="Arial"/>
          <w:color w:val="000000" w:themeColor="text1"/>
          <w:sz w:val="24"/>
          <w:szCs w:val="24"/>
        </w:rPr>
        <w:t xml:space="preserve"> </w:t>
      </w:r>
      <w:r w:rsidR="00403CA4" w:rsidRPr="007A7CF2">
        <w:rPr>
          <w:rFonts w:ascii="Arial" w:hAnsi="Arial" w:cs="Arial"/>
          <w:color w:val="000000" w:themeColor="text1"/>
          <w:sz w:val="24"/>
          <w:szCs w:val="24"/>
        </w:rPr>
        <w:t xml:space="preserve">In a latter case, </w:t>
      </w:r>
      <w:r w:rsidR="004D1590" w:rsidRPr="007A7CF2">
        <w:rPr>
          <w:rFonts w:ascii="Arial" w:hAnsi="Arial" w:cs="Arial"/>
          <w:i/>
          <w:iCs/>
          <w:color w:val="000000" w:themeColor="text1"/>
          <w:sz w:val="24"/>
          <w:szCs w:val="24"/>
        </w:rPr>
        <w:t xml:space="preserve">Virdi v Chana [2008] </w:t>
      </w:r>
      <w:r w:rsidR="00903EFE" w:rsidRPr="007A7CF2">
        <w:rPr>
          <w:rFonts w:ascii="Arial" w:hAnsi="Arial" w:cs="Arial"/>
          <w:color w:val="000000" w:themeColor="text1"/>
          <w:sz w:val="24"/>
          <w:szCs w:val="24"/>
        </w:rPr>
        <w:t xml:space="preserve">a claim for an easement was dismissed due to the </w:t>
      </w:r>
      <w:r w:rsidR="00576206" w:rsidRPr="007A7CF2">
        <w:rPr>
          <w:rFonts w:ascii="Arial" w:hAnsi="Arial" w:cs="Arial"/>
          <w:color w:val="000000" w:themeColor="text1"/>
          <w:sz w:val="24"/>
          <w:szCs w:val="24"/>
        </w:rPr>
        <w:t xml:space="preserve">‘no reasonable use’ test in </w:t>
      </w:r>
      <w:r w:rsidR="00576206" w:rsidRPr="007A7CF2">
        <w:rPr>
          <w:rFonts w:ascii="Arial" w:hAnsi="Arial" w:cs="Arial"/>
          <w:i/>
          <w:iCs/>
          <w:color w:val="000000" w:themeColor="text1"/>
          <w:sz w:val="24"/>
          <w:szCs w:val="24"/>
        </w:rPr>
        <w:t>Batchelor [</w:t>
      </w:r>
      <w:r w:rsidR="007E025D" w:rsidRPr="007A7CF2">
        <w:rPr>
          <w:rFonts w:ascii="Arial" w:hAnsi="Arial" w:cs="Arial"/>
          <w:i/>
          <w:iCs/>
          <w:color w:val="000000" w:themeColor="text1"/>
          <w:sz w:val="24"/>
          <w:szCs w:val="24"/>
        </w:rPr>
        <w:t xml:space="preserve">2003] </w:t>
      </w:r>
      <w:r w:rsidR="00413A4C" w:rsidRPr="007A7CF2">
        <w:rPr>
          <w:rFonts w:ascii="Arial" w:hAnsi="Arial" w:cs="Arial"/>
          <w:color w:val="000000" w:themeColor="text1"/>
          <w:sz w:val="24"/>
          <w:szCs w:val="24"/>
        </w:rPr>
        <w:t xml:space="preserve">though in </w:t>
      </w:r>
      <w:r w:rsidR="00BE05A0" w:rsidRPr="007A7CF2">
        <w:rPr>
          <w:rFonts w:ascii="Arial" w:hAnsi="Arial" w:cs="Arial"/>
          <w:i/>
          <w:iCs/>
          <w:color w:val="000000" w:themeColor="text1"/>
          <w:sz w:val="24"/>
          <w:szCs w:val="24"/>
        </w:rPr>
        <w:t xml:space="preserve">Kettle </w:t>
      </w:r>
      <w:r w:rsidR="00813AD7" w:rsidRPr="007A7CF2">
        <w:rPr>
          <w:rFonts w:ascii="Arial" w:hAnsi="Arial" w:cs="Arial"/>
          <w:i/>
          <w:iCs/>
          <w:color w:val="000000" w:themeColor="text1"/>
          <w:sz w:val="24"/>
          <w:szCs w:val="24"/>
        </w:rPr>
        <w:t xml:space="preserve">v </w:t>
      </w:r>
      <w:r w:rsidR="00BE05A0" w:rsidRPr="007A7CF2">
        <w:rPr>
          <w:rFonts w:ascii="Arial" w:hAnsi="Arial" w:cs="Arial"/>
          <w:i/>
          <w:iCs/>
          <w:color w:val="000000" w:themeColor="text1"/>
          <w:sz w:val="24"/>
          <w:szCs w:val="24"/>
        </w:rPr>
        <w:t>B</w:t>
      </w:r>
      <w:r w:rsidR="00813AD7" w:rsidRPr="007A7CF2">
        <w:rPr>
          <w:rFonts w:ascii="Arial" w:hAnsi="Arial" w:cs="Arial"/>
          <w:i/>
          <w:iCs/>
          <w:color w:val="000000" w:themeColor="text1"/>
          <w:sz w:val="24"/>
          <w:szCs w:val="24"/>
        </w:rPr>
        <w:t xml:space="preserve">loomfold [2012] </w:t>
      </w:r>
      <w:r w:rsidR="00813AD7" w:rsidRPr="007A7CF2">
        <w:rPr>
          <w:rFonts w:ascii="Arial" w:hAnsi="Arial" w:cs="Arial"/>
          <w:color w:val="000000" w:themeColor="text1"/>
          <w:sz w:val="24"/>
          <w:szCs w:val="24"/>
        </w:rPr>
        <w:t xml:space="preserve">an easement to park was </w:t>
      </w:r>
      <w:r w:rsidR="00EF1AAA" w:rsidRPr="007A7CF2">
        <w:rPr>
          <w:rFonts w:ascii="Arial" w:hAnsi="Arial" w:cs="Arial"/>
          <w:color w:val="000000" w:themeColor="text1"/>
          <w:sz w:val="24"/>
          <w:szCs w:val="24"/>
        </w:rPr>
        <w:t>upheld</w:t>
      </w:r>
      <w:r w:rsidR="00813AD7" w:rsidRPr="007A7CF2">
        <w:rPr>
          <w:rFonts w:ascii="Arial" w:hAnsi="Arial" w:cs="Arial"/>
          <w:color w:val="000000" w:themeColor="text1"/>
          <w:sz w:val="24"/>
          <w:szCs w:val="24"/>
        </w:rPr>
        <w:t xml:space="preserve"> based on </w:t>
      </w:r>
      <w:r w:rsidR="007B7D44" w:rsidRPr="007A7CF2">
        <w:rPr>
          <w:rFonts w:ascii="Arial" w:hAnsi="Arial" w:cs="Arial"/>
          <w:color w:val="000000" w:themeColor="text1"/>
          <w:sz w:val="24"/>
          <w:szCs w:val="24"/>
        </w:rPr>
        <w:lastRenderedPageBreak/>
        <w:t>‘</w:t>
      </w:r>
      <w:r w:rsidR="00813AD7" w:rsidRPr="007A7CF2">
        <w:rPr>
          <w:rFonts w:ascii="Arial" w:hAnsi="Arial" w:cs="Arial"/>
          <w:color w:val="000000" w:themeColor="text1"/>
          <w:sz w:val="24"/>
          <w:szCs w:val="24"/>
        </w:rPr>
        <w:t>reasonable use</w:t>
      </w:r>
      <w:r w:rsidR="007B7D44" w:rsidRPr="007A7CF2">
        <w:rPr>
          <w:rFonts w:ascii="Arial" w:hAnsi="Arial" w:cs="Arial"/>
          <w:color w:val="000000" w:themeColor="text1"/>
          <w:sz w:val="24"/>
          <w:szCs w:val="24"/>
        </w:rPr>
        <w:t>’</w:t>
      </w:r>
      <w:r w:rsidR="00813AD7" w:rsidRPr="007A7CF2">
        <w:rPr>
          <w:rFonts w:ascii="Arial" w:hAnsi="Arial" w:cs="Arial"/>
          <w:color w:val="000000" w:themeColor="text1"/>
          <w:sz w:val="24"/>
          <w:szCs w:val="24"/>
        </w:rPr>
        <w:t xml:space="preserve"> </w:t>
      </w:r>
      <w:r w:rsidR="007B7D44" w:rsidRPr="007A7CF2">
        <w:rPr>
          <w:rFonts w:ascii="Arial" w:hAnsi="Arial" w:cs="Arial"/>
          <w:color w:val="000000" w:themeColor="text1"/>
          <w:sz w:val="24"/>
          <w:szCs w:val="24"/>
        </w:rPr>
        <w:t xml:space="preserve">test </w:t>
      </w:r>
      <w:r w:rsidR="00373044" w:rsidRPr="007A7CF2">
        <w:rPr>
          <w:rFonts w:ascii="Arial" w:hAnsi="Arial" w:cs="Arial"/>
          <w:color w:val="000000" w:themeColor="text1"/>
          <w:sz w:val="24"/>
          <w:szCs w:val="24"/>
        </w:rPr>
        <w:t xml:space="preserve">however, </w:t>
      </w:r>
      <w:r w:rsidR="007B7D44" w:rsidRPr="007A7CF2">
        <w:rPr>
          <w:rFonts w:ascii="Arial" w:hAnsi="Arial" w:cs="Arial"/>
          <w:color w:val="000000" w:themeColor="text1"/>
          <w:sz w:val="24"/>
          <w:szCs w:val="24"/>
        </w:rPr>
        <w:t xml:space="preserve">it </w:t>
      </w:r>
      <w:r w:rsidR="00475E07" w:rsidRPr="007A7CF2">
        <w:rPr>
          <w:rFonts w:ascii="Arial" w:hAnsi="Arial" w:cs="Arial"/>
          <w:color w:val="000000" w:themeColor="text1"/>
          <w:sz w:val="24"/>
          <w:szCs w:val="24"/>
        </w:rPr>
        <w:t>held an affinity to possession and control</w:t>
      </w:r>
      <w:r w:rsidR="00901468" w:rsidRPr="007A7CF2">
        <w:rPr>
          <w:rFonts w:ascii="Arial" w:hAnsi="Arial" w:cs="Arial"/>
          <w:color w:val="000000" w:themeColor="text1"/>
          <w:sz w:val="24"/>
          <w:szCs w:val="24"/>
        </w:rPr>
        <w:t xml:space="preserve">. </w:t>
      </w:r>
      <w:r w:rsidR="00AD18D5" w:rsidRPr="007A7CF2">
        <w:rPr>
          <w:rFonts w:ascii="Arial" w:hAnsi="Arial" w:cs="Arial"/>
          <w:color w:val="000000" w:themeColor="text1"/>
          <w:sz w:val="24"/>
          <w:szCs w:val="24"/>
        </w:rPr>
        <w:t>Thus</w:t>
      </w:r>
      <w:r w:rsidR="002B610D" w:rsidRPr="007A7CF2">
        <w:rPr>
          <w:rFonts w:ascii="Arial" w:hAnsi="Arial" w:cs="Arial"/>
          <w:color w:val="000000" w:themeColor="text1"/>
          <w:sz w:val="24"/>
          <w:szCs w:val="24"/>
        </w:rPr>
        <w:t xml:space="preserve">, </w:t>
      </w:r>
      <w:r w:rsidR="0062062C" w:rsidRPr="007A7CF2">
        <w:rPr>
          <w:rFonts w:ascii="Arial" w:hAnsi="Arial" w:cs="Arial"/>
          <w:color w:val="000000" w:themeColor="text1"/>
          <w:sz w:val="24"/>
          <w:szCs w:val="24"/>
        </w:rPr>
        <w:t>arguing the</w:t>
      </w:r>
      <w:r w:rsidR="00497FBE" w:rsidRPr="007A7CF2">
        <w:rPr>
          <w:rFonts w:ascii="Arial" w:hAnsi="Arial" w:cs="Arial"/>
          <w:color w:val="000000" w:themeColor="text1"/>
          <w:sz w:val="24"/>
          <w:szCs w:val="24"/>
        </w:rPr>
        <w:t xml:space="preserve"> ‘reasonable use’ test</w:t>
      </w:r>
      <w:r w:rsidR="0062062C" w:rsidRPr="007A7CF2">
        <w:rPr>
          <w:rFonts w:ascii="Arial" w:hAnsi="Arial" w:cs="Arial"/>
          <w:color w:val="000000" w:themeColor="text1"/>
          <w:sz w:val="24"/>
          <w:szCs w:val="24"/>
        </w:rPr>
        <w:t xml:space="preserve"> </w:t>
      </w:r>
      <w:r w:rsidR="005313D3" w:rsidRPr="007A7CF2">
        <w:rPr>
          <w:rFonts w:ascii="Arial" w:hAnsi="Arial" w:cs="Arial"/>
          <w:color w:val="000000" w:themeColor="text1"/>
          <w:sz w:val="24"/>
          <w:szCs w:val="24"/>
        </w:rPr>
        <w:t>illusor</w:t>
      </w:r>
      <w:r w:rsidR="000E7465" w:rsidRPr="007A7CF2">
        <w:rPr>
          <w:rFonts w:ascii="Arial" w:hAnsi="Arial" w:cs="Arial"/>
          <w:color w:val="000000" w:themeColor="text1"/>
          <w:sz w:val="24"/>
          <w:szCs w:val="24"/>
        </w:rPr>
        <w:t>y</w:t>
      </w:r>
      <w:r w:rsidR="00901468" w:rsidRPr="007A7CF2">
        <w:rPr>
          <w:rFonts w:ascii="Arial" w:hAnsi="Arial" w:cs="Arial"/>
          <w:color w:val="000000" w:themeColor="text1"/>
          <w:sz w:val="24"/>
          <w:szCs w:val="24"/>
        </w:rPr>
        <w:t xml:space="preserve"> (Xu, 2012).</w:t>
      </w:r>
    </w:p>
    <w:p w14:paraId="2B1A83D9" w14:textId="419CA95B" w:rsidR="00497FBE" w:rsidRPr="003C157E" w:rsidRDefault="00833395" w:rsidP="0052104D">
      <w:pPr>
        <w:spacing w:line="480" w:lineRule="auto"/>
        <w:jc w:val="both"/>
        <w:rPr>
          <w:rFonts w:ascii="Arial" w:hAnsi="Arial" w:cs="Arial"/>
          <w:color w:val="000000" w:themeColor="text1"/>
          <w:sz w:val="24"/>
          <w:szCs w:val="24"/>
        </w:rPr>
      </w:pPr>
      <w:r w:rsidRPr="007900F1">
        <w:rPr>
          <w:rFonts w:ascii="Arial" w:hAnsi="Arial" w:cs="Arial"/>
          <w:color w:val="000000" w:themeColor="text1"/>
          <w:sz w:val="24"/>
          <w:szCs w:val="24"/>
        </w:rPr>
        <w:t>Developments have seen t</w:t>
      </w:r>
      <w:r w:rsidR="009579D7" w:rsidRPr="007900F1">
        <w:rPr>
          <w:rFonts w:ascii="Arial" w:hAnsi="Arial" w:cs="Arial"/>
          <w:color w:val="000000" w:themeColor="text1"/>
          <w:sz w:val="24"/>
          <w:szCs w:val="24"/>
        </w:rPr>
        <w:t xml:space="preserve">he Law Commission </w:t>
      </w:r>
      <w:r w:rsidRPr="007900F1">
        <w:rPr>
          <w:rFonts w:ascii="Arial" w:hAnsi="Arial" w:cs="Arial"/>
          <w:color w:val="000000" w:themeColor="text1"/>
          <w:sz w:val="24"/>
          <w:szCs w:val="24"/>
        </w:rPr>
        <w:t>Report No 327</w:t>
      </w:r>
      <w:r w:rsidR="00F97081" w:rsidRPr="007900F1">
        <w:rPr>
          <w:rFonts w:ascii="Arial" w:hAnsi="Arial" w:cs="Arial"/>
          <w:color w:val="000000" w:themeColor="text1"/>
          <w:sz w:val="24"/>
          <w:szCs w:val="24"/>
        </w:rPr>
        <w:t xml:space="preserve"> call for the ‘ouster principle’ to be abolished </w:t>
      </w:r>
      <w:r w:rsidR="00596862" w:rsidRPr="007900F1">
        <w:rPr>
          <w:rFonts w:ascii="Arial" w:hAnsi="Arial" w:cs="Arial"/>
          <w:color w:val="000000" w:themeColor="text1"/>
          <w:sz w:val="24"/>
          <w:szCs w:val="24"/>
        </w:rPr>
        <w:t>stating that even where owners are deprived of all reasonable use of the land, the easement should be valid</w:t>
      </w:r>
      <w:r w:rsidR="00A35ACB" w:rsidRPr="007900F1">
        <w:rPr>
          <w:rFonts w:ascii="Arial" w:hAnsi="Arial" w:cs="Arial"/>
          <w:color w:val="000000" w:themeColor="text1"/>
          <w:sz w:val="24"/>
          <w:szCs w:val="24"/>
        </w:rPr>
        <w:t xml:space="preserve"> (</w:t>
      </w:r>
      <w:r w:rsidRPr="007900F1">
        <w:rPr>
          <w:rFonts w:ascii="Arial" w:hAnsi="Arial" w:cs="Arial"/>
          <w:color w:val="000000" w:themeColor="text1"/>
          <w:sz w:val="24"/>
          <w:szCs w:val="24"/>
        </w:rPr>
        <w:t>Law Commission, 2011</w:t>
      </w:r>
      <w:r w:rsidR="00A35ACB" w:rsidRPr="007900F1">
        <w:rPr>
          <w:rFonts w:ascii="Arial" w:hAnsi="Arial" w:cs="Arial"/>
          <w:color w:val="000000" w:themeColor="text1"/>
          <w:sz w:val="24"/>
          <w:szCs w:val="24"/>
        </w:rPr>
        <w:t>).</w:t>
      </w:r>
      <w:r w:rsidR="00596862" w:rsidRPr="007900F1">
        <w:rPr>
          <w:rFonts w:ascii="Arial" w:hAnsi="Arial" w:cs="Arial"/>
          <w:color w:val="000000" w:themeColor="text1"/>
          <w:sz w:val="24"/>
          <w:szCs w:val="24"/>
        </w:rPr>
        <w:t xml:space="preserve"> A concern par</w:t>
      </w:r>
      <w:r w:rsidR="00596862" w:rsidRPr="003C157E">
        <w:rPr>
          <w:rFonts w:ascii="Arial" w:hAnsi="Arial" w:cs="Arial"/>
          <w:color w:val="000000" w:themeColor="text1"/>
          <w:sz w:val="24"/>
          <w:szCs w:val="24"/>
        </w:rPr>
        <w:t xml:space="preserve">ticularly </w:t>
      </w:r>
      <w:r w:rsidR="00247E8D" w:rsidRPr="003C157E">
        <w:rPr>
          <w:rFonts w:ascii="Arial" w:hAnsi="Arial" w:cs="Arial"/>
          <w:color w:val="000000" w:themeColor="text1"/>
          <w:sz w:val="24"/>
          <w:szCs w:val="24"/>
        </w:rPr>
        <w:t>applicable with parking rights and the restrictions that are placed on landowners</w:t>
      </w:r>
      <w:r w:rsidR="00A40E0E" w:rsidRPr="003C157E">
        <w:rPr>
          <w:rFonts w:ascii="Arial" w:hAnsi="Arial" w:cs="Arial"/>
          <w:color w:val="000000" w:themeColor="text1"/>
          <w:sz w:val="24"/>
          <w:szCs w:val="24"/>
        </w:rPr>
        <w:t xml:space="preserve">; </w:t>
      </w:r>
      <w:r w:rsidR="00A40E0E" w:rsidRPr="003C157E">
        <w:rPr>
          <w:rFonts w:ascii="Arial" w:hAnsi="Arial" w:cs="Arial"/>
          <w:i/>
          <w:iCs/>
          <w:color w:val="000000" w:themeColor="text1"/>
          <w:sz w:val="24"/>
          <w:szCs w:val="24"/>
        </w:rPr>
        <w:t>Da La Cuona v Big Apple Marketing [2017]</w:t>
      </w:r>
      <w:r w:rsidR="00247E8D" w:rsidRPr="003C157E">
        <w:rPr>
          <w:rFonts w:ascii="Arial" w:hAnsi="Arial" w:cs="Arial"/>
          <w:color w:val="000000" w:themeColor="text1"/>
          <w:sz w:val="24"/>
          <w:szCs w:val="24"/>
        </w:rPr>
        <w:t xml:space="preserve"> </w:t>
      </w:r>
      <w:r w:rsidR="00A40E0E" w:rsidRPr="003C157E">
        <w:rPr>
          <w:rFonts w:ascii="Arial" w:hAnsi="Arial" w:cs="Arial"/>
          <w:color w:val="000000" w:themeColor="text1"/>
          <w:sz w:val="24"/>
          <w:szCs w:val="24"/>
        </w:rPr>
        <w:t>(Sayles, 2020, pp.</w:t>
      </w:r>
      <w:r w:rsidR="00FA22D2" w:rsidRPr="003C157E">
        <w:rPr>
          <w:rFonts w:ascii="Arial" w:hAnsi="Arial" w:cs="Arial"/>
          <w:color w:val="000000" w:themeColor="text1"/>
          <w:sz w:val="24"/>
          <w:szCs w:val="24"/>
        </w:rPr>
        <w:t>185</w:t>
      </w:r>
      <w:r w:rsidR="00A40E0E" w:rsidRPr="003C157E">
        <w:rPr>
          <w:rFonts w:ascii="Arial" w:hAnsi="Arial" w:cs="Arial"/>
          <w:color w:val="000000" w:themeColor="text1"/>
          <w:sz w:val="24"/>
          <w:szCs w:val="24"/>
        </w:rPr>
        <w:t>).</w:t>
      </w:r>
    </w:p>
    <w:p w14:paraId="0174F88F" w14:textId="05C1150A" w:rsidR="001616BE" w:rsidRPr="00162986" w:rsidRDefault="00557ADA" w:rsidP="00E96FD8">
      <w:pPr>
        <w:spacing w:line="480" w:lineRule="auto"/>
        <w:jc w:val="both"/>
        <w:rPr>
          <w:rFonts w:ascii="Arial" w:hAnsi="Arial" w:cs="Arial"/>
          <w:color w:val="000000" w:themeColor="text1"/>
          <w:sz w:val="24"/>
          <w:szCs w:val="24"/>
        </w:rPr>
      </w:pPr>
      <w:r w:rsidRPr="00D37CB7">
        <w:rPr>
          <w:rFonts w:ascii="Arial" w:hAnsi="Arial" w:cs="Arial"/>
          <w:color w:val="000000" w:themeColor="text1"/>
          <w:sz w:val="24"/>
          <w:szCs w:val="24"/>
        </w:rPr>
        <w:t>Thus</w:t>
      </w:r>
      <w:r w:rsidR="000C473C" w:rsidRPr="00D37CB7">
        <w:rPr>
          <w:rFonts w:ascii="Arial" w:hAnsi="Arial" w:cs="Arial"/>
          <w:color w:val="000000" w:themeColor="text1"/>
          <w:sz w:val="24"/>
          <w:szCs w:val="24"/>
        </w:rPr>
        <w:t>,</w:t>
      </w:r>
      <w:r w:rsidRPr="00D37CB7">
        <w:rPr>
          <w:rFonts w:ascii="Arial" w:hAnsi="Arial" w:cs="Arial"/>
          <w:color w:val="000000" w:themeColor="text1"/>
          <w:sz w:val="24"/>
          <w:szCs w:val="24"/>
        </w:rPr>
        <w:t xml:space="preserve"> </w:t>
      </w:r>
      <w:r w:rsidR="008F4E3E">
        <w:rPr>
          <w:rFonts w:ascii="Arial" w:hAnsi="Arial" w:cs="Arial"/>
          <w:color w:val="000000" w:themeColor="text1"/>
          <w:sz w:val="24"/>
          <w:szCs w:val="24"/>
        </w:rPr>
        <w:t xml:space="preserve">limiting and </w:t>
      </w:r>
      <w:r w:rsidRPr="00D37CB7">
        <w:rPr>
          <w:rFonts w:ascii="Arial" w:hAnsi="Arial" w:cs="Arial"/>
          <w:color w:val="000000" w:themeColor="text1"/>
          <w:sz w:val="24"/>
          <w:szCs w:val="24"/>
        </w:rPr>
        <w:t>restri</w:t>
      </w:r>
      <w:r w:rsidR="000C473C" w:rsidRPr="00D37CB7">
        <w:rPr>
          <w:rFonts w:ascii="Arial" w:hAnsi="Arial" w:cs="Arial"/>
          <w:color w:val="000000" w:themeColor="text1"/>
          <w:sz w:val="24"/>
          <w:szCs w:val="24"/>
        </w:rPr>
        <w:t>cti</w:t>
      </w:r>
      <w:r w:rsidRPr="00D37CB7">
        <w:rPr>
          <w:rFonts w:ascii="Arial" w:hAnsi="Arial" w:cs="Arial"/>
          <w:color w:val="000000" w:themeColor="text1"/>
          <w:sz w:val="24"/>
          <w:szCs w:val="24"/>
        </w:rPr>
        <w:t xml:space="preserve">ng the types of rights landowners may </w:t>
      </w:r>
      <w:r w:rsidR="008F5E9E" w:rsidRPr="00D37CB7">
        <w:rPr>
          <w:rFonts w:ascii="Arial" w:hAnsi="Arial" w:cs="Arial"/>
          <w:color w:val="000000" w:themeColor="text1"/>
          <w:sz w:val="24"/>
          <w:szCs w:val="24"/>
        </w:rPr>
        <w:t>grant or reserve</w:t>
      </w:r>
      <w:r w:rsidR="000C473C" w:rsidRPr="00D37CB7">
        <w:rPr>
          <w:rFonts w:ascii="Arial" w:hAnsi="Arial" w:cs="Arial"/>
          <w:color w:val="000000" w:themeColor="text1"/>
          <w:sz w:val="24"/>
          <w:szCs w:val="24"/>
        </w:rPr>
        <w:t xml:space="preserve"> (</w:t>
      </w:r>
      <w:r w:rsidR="0035534E" w:rsidRPr="00D37CB7">
        <w:rPr>
          <w:rFonts w:ascii="Arial" w:hAnsi="Arial" w:cs="Arial"/>
          <w:color w:val="000000" w:themeColor="text1"/>
          <w:sz w:val="24"/>
          <w:szCs w:val="24"/>
        </w:rPr>
        <w:t>Tanfield, 2016</w:t>
      </w:r>
      <w:r w:rsidR="000C473C" w:rsidRPr="00D37CB7">
        <w:rPr>
          <w:rFonts w:ascii="Arial" w:hAnsi="Arial" w:cs="Arial"/>
          <w:color w:val="000000" w:themeColor="text1"/>
          <w:sz w:val="24"/>
          <w:szCs w:val="24"/>
        </w:rPr>
        <w:t>)</w:t>
      </w:r>
      <w:r w:rsidR="00F22E78" w:rsidRPr="00D37CB7">
        <w:rPr>
          <w:rFonts w:ascii="Arial" w:hAnsi="Arial" w:cs="Arial"/>
          <w:color w:val="000000" w:themeColor="text1"/>
          <w:sz w:val="24"/>
          <w:szCs w:val="24"/>
        </w:rPr>
        <w:t xml:space="preserve">. </w:t>
      </w:r>
    </w:p>
    <w:p w14:paraId="7A1F1857" w14:textId="77777777" w:rsidR="00744D06" w:rsidRPr="00E972DF" w:rsidRDefault="00744D06" w:rsidP="00E96FD8">
      <w:pPr>
        <w:spacing w:line="480" w:lineRule="auto"/>
        <w:jc w:val="both"/>
        <w:rPr>
          <w:rFonts w:ascii="Arial" w:hAnsi="Arial" w:cs="Arial"/>
          <w:color w:val="9F006E"/>
          <w:sz w:val="24"/>
          <w:szCs w:val="24"/>
        </w:rPr>
      </w:pPr>
    </w:p>
    <w:p w14:paraId="2ACE7F8A" w14:textId="3D35CDCD" w:rsidR="006E1E76" w:rsidRPr="003B78BD" w:rsidRDefault="009634D5" w:rsidP="00F75AD0">
      <w:pPr>
        <w:spacing w:line="480" w:lineRule="auto"/>
        <w:jc w:val="both"/>
        <w:rPr>
          <w:rFonts w:ascii="Arial" w:hAnsi="Arial" w:cs="Arial"/>
          <w:color w:val="000000" w:themeColor="text1"/>
          <w:sz w:val="24"/>
          <w:szCs w:val="24"/>
        </w:rPr>
      </w:pPr>
      <w:r w:rsidRPr="003B78BD">
        <w:rPr>
          <w:rFonts w:ascii="Arial" w:hAnsi="Arial" w:cs="Arial"/>
          <w:color w:val="000000" w:themeColor="text1"/>
          <w:sz w:val="24"/>
          <w:szCs w:val="24"/>
        </w:rPr>
        <w:t xml:space="preserve">When a right is capable of being an easement </w:t>
      </w:r>
      <w:r w:rsidR="002F1B5B" w:rsidRPr="003B78BD">
        <w:rPr>
          <w:rFonts w:ascii="Arial" w:hAnsi="Arial" w:cs="Arial"/>
          <w:color w:val="000000" w:themeColor="text1"/>
          <w:sz w:val="24"/>
          <w:szCs w:val="24"/>
        </w:rPr>
        <w:t>it must be created as one</w:t>
      </w:r>
      <w:r w:rsidR="00611483" w:rsidRPr="003B78BD">
        <w:rPr>
          <w:rFonts w:ascii="Arial" w:hAnsi="Arial" w:cs="Arial"/>
          <w:color w:val="000000" w:themeColor="text1"/>
          <w:sz w:val="24"/>
          <w:szCs w:val="24"/>
        </w:rPr>
        <w:t xml:space="preserve">. There are various ways of creating easements they may be </w:t>
      </w:r>
      <w:r w:rsidR="001765B7" w:rsidRPr="003B78BD">
        <w:rPr>
          <w:rFonts w:ascii="Arial" w:hAnsi="Arial" w:cs="Arial"/>
          <w:color w:val="000000" w:themeColor="text1"/>
          <w:sz w:val="24"/>
          <w:szCs w:val="24"/>
        </w:rPr>
        <w:t xml:space="preserve">expressed, implied or via prescription </w:t>
      </w:r>
      <w:r w:rsidR="00D94076" w:rsidRPr="003B78BD">
        <w:rPr>
          <w:rFonts w:ascii="Arial" w:hAnsi="Arial" w:cs="Arial"/>
          <w:color w:val="000000" w:themeColor="text1"/>
          <w:sz w:val="24"/>
          <w:szCs w:val="24"/>
        </w:rPr>
        <w:t>(Harpum, 1992</w:t>
      </w:r>
      <w:r w:rsidR="009427BE" w:rsidRPr="003B78BD">
        <w:rPr>
          <w:rFonts w:ascii="Arial" w:hAnsi="Arial" w:cs="Arial"/>
          <w:color w:val="000000" w:themeColor="text1"/>
          <w:sz w:val="24"/>
          <w:szCs w:val="24"/>
        </w:rPr>
        <w:t>, pp.</w:t>
      </w:r>
      <w:r w:rsidR="00EC6EBE" w:rsidRPr="003B78BD">
        <w:rPr>
          <w:rFonts w:ascii="Arial" w:hAnsi="Arial" w:cs="Arial"/>
          <w:color w:val="000000" w:themeColor="text1"/>
          <w:sz w:val="24"/>
          <w:szCs w:val="24"/>
        </w:rPr>
        <w:t>220</w:t>
      </w:r>
      <w:r w:rsidR="00D94076" w:rsidRPr="003B78BD">
        <w:rPr>
          <w:rFonts w:ascii="Arial" w:hAnsi="Arial" w:cs="Arial"/>
          <w:color w:val="000000" w:themeColor="text1"/>
          <w:sz w:val="24"/>
          <w:szCs w:val="24"/>
        </w:rPr>
        <w:t>).</w:t>
      </w:r>
      <w:r w:rsidR="005866D6" w:rsidRPr="003B78BD">
        <w:rPr>
          <w:rFonts w:ascii="Arial" w:hAnsi="Arial" w:cs="Arial"/>
          <w:color w:val="000000" w:themeColor="text1"/>
          <w:sz w:val="24"/>
          <w:szCs w:val="24"/>
        </w:rPr>
        <w:t xml:space="preserve"> </w:t>
      </w:r>
      <w:r w:rsidR="00423A2E" w:rsidRPr="003B78BD">
        <w:rPr>
          <w:rFonts w:ascii="Arial" w:hAnsi="Arial" w:cs="Arial"/>
          <w:color w:val="000000" w:themeColor="text1"/>
          <w:sz w:val="24"/>
          <w:szCs w:val="24"/>
        </w:rPr>
        <w:t>Via</w:t>
      </w:r>
      <w:r w:rsidR="00CA33A6" w:rsidRPr="003B78BD">
        <w:rPr>
          <w:rFonts w:ascii="Arial" w:hAnsi="Arial" w:cs="Arial"/>
          <w:color w:val="000000" w:themeColor="text1"/>
          <w:sz w:val="24"/>
          <w:szCs w:val="24"/>
        </w:rPr>
        <w:t xml:space="preserve"> </w:t>
      </w:r>
      <w:r w:rsidR="00283A31" w:rsidRPr="003B78BD">
        <w:rPr>
          <w:rFonts w:ascii="Arial" w:hAnsi="Arial" w:cs="Arial"/>
          <w:color w:val="000000" w:themeColor="text1"/>
          <w:sz w:val="24"/>
          <w:szCs w:val="24"/>
        </w:rPr>
        <w:t>express</w:t>
      </w:r>
      <w:r w:rsidR="00CA33A6" w:rsidRPr="003B78BD">
        <w:rPr>
          <w:rFonts w:ascii="Arial" w:hAnsi="Arial" w:cs="Arial"/>
          <w:color w:val="000000" w:themeColor="text1"/>
          <w:sz w:val="24"/>
          <w:szCs w:val="24"/>
        </w:rPr>
        <w:t xml:space="preserve"> grant </w:t>
      </w:r>
      <w:r w:rsidR="00423A2E" w:rsidRPr="003B78BD">
        <w:rPr>
          <w:rFonts w:ascii="Arial" w:hAnsi="Arial" w:cs="Arial"/>
          <w:color w:val="000000" w:themeColor="text1"/>
          <w:sz w:val="24"/>
          <w:szCs w:val="24"/>
        </w:rPr>
        <w:t xml:space="preserve">a deed may take the form of a clause in a </w:t>
      </w:r>
      <w:r w:rsidR="00A51237" w:rsidRPr="003B78BD">
        <w:rPr>
          <w:rFonts w:ascii="Arial" w:hAnsi="Arial" w:cs="Arial"/>
          <w:color w:val="000000" w:themeColor="text1"/>
          <w:sz w:val="24"/>
          <w:szCs w:val="24"/>
        </w:rPr>
        <w:t xml:space="preserve">conveyance </w:t>
      </w:r>
      <w:r w:rsidR="00FF23B2" w:rsidRPr="003B78BD">
        <w:rPr>
          <w:rFonts w:ascii="Arial" w:hAnsi="Arial" w:cs="Arial"/>
          <w:color w:val="000000" w:themeColor="text1"/>
          <w:sz w:val="24"/>
          <w:szCs w:val="24"/>
        </w:rPr>
        <w:t>made knowingly and deliberately (Lambillion, 2021).</w:t>
      </w:r>
      <w:r w:rsidR="00955CF2" w:rsidRPr="003B78BD">
        <w:rPr>
          <w:rFonts w:ascii="Arial" w:hAnsi="Arial" w:cs="Arial"/>
          <w:color w:val="000000" w:themeColor="text1"/>
          <w:sz w:val="24"/>
          <w:szCs w:val="24"/>
        </w:rPr>
        <w:t xml:space="preserve"> </w:t>
      </w:r>
    </w:p>
    <w:p w14:paraId="5424F5E2" w14:textId="3B0F1688" w:rsidR="00955CF2" w:rsidRPr="00EF0815" w:rsidRDefault="00B270F0" w:rsidP="00F75AD0">
      <w:pPr>
        <w:spacing w:line="480" w:lineRule="auto"/>
        <w:jc w:val="both"/>
        <w:rPr>
          <w:rFonts w:ascii="Arial" w:hAnsi="Arial" w:cs="Arial"/>
          <w:i/>
          <w:iCs/>
          <w:sz w:val="24"/>
          <w:szCs w:val="24"/>
        </w:rPr>
      </w:pPr>
      <w:r>
        <w:rPr>
          <w:rFonts w:ascii="Arial" w:hAnsi="Arial" w:cs="Arial"/>
          <w:sz w:val="24"/>
          <w:szCs w:val="24"/>
        </w:rPr>
        <w:t>To create an easement by implied necessity</w:t>
      </w:r>
      <w:r w:rsidR="00832A9C">
        <w:rPr>
          <w:rFonts w:ascii="Arial" w:hAnsi="Arial" w:cs="Arial"/>
          <w:sz w:val="24"/>
          <w:szCs w:val="24"/>
        </w:rPr>
        <w:t xml:space="preserve"> </w:t>
      </w:r>
      <w:r w:rsidR="00F45859">
        <w:rPr>
          <w:rFonts w:ascii="Arial" w:hAnsi="Arial" w:cs="Arial"/>
          <w:sz w:val="24"/>
          <w:szCs w:val="24"/>
        </w:rPr>
        <w:t xml:space="preserve">it must be </w:t>
      </w:r>
      <w:r w:rsidR="00EF21B1">
        <w:rPr>
          <w:rFonts w:ascii="Arial" w:hAnsi="Arial" w:cs="Arial"/>
          <w:sz w:val="24"/>
          <w:szCs w:val="24"/>
        </w:rPr>
        <w:t xml:space="preserve">evidenced that land would otherwise be </w:t>
      </w:r>
      <w:r w:rsidR="004E39F3">
        <w:rPr>
          <w:rFonts w:ascii="Arial" w:hAnsi="Arial" w:cs="Arial"/>
          <w:sz w:val="24"/>
          <w:szCs w:val="24"/>
        </w:rPr>
        <w:t>inaccessible</w:t>
      </w:r>
      <w:r w:rsidR="00EF21B1">
        <w:rPr>
          <w:rFonts w:ascii="Arial" w:hAnsi="Arial" w:cs="Arial"/>
          <w:sz w:val="24"/>
          <w:szCs w:val="24"/>
        </w:rPr>
        <w:t xml:space="preserve"> without an</w:t>
      </w:r>
      <w:r w:rsidR="00EF21B1" w:rsidRPr="003B78BD">
        <w:rPr>
          <w:rFonts w:ascii="Arial" w:hAnsi="Arial" w:cs="Arial"/>
          <w:color w:val="000000" w:themeColor="text1"/>
          <w:sz w:val="24"/>
          <w:szCs w:val="24"/>
        </w:rPr>
        <w:t xml:space="preserve"> easement in place. It cannot simply be an enjoyed benefit</w:t>
      </w:r>
      <w:r w:rsidR="004E39F3" w:rsidRPr="003B78BD">
        <w:rPr>
          <w:rFonts w:ascii="Arial" w:hAnsi="Arial" w:cs="Arial"/>
          <w:color w:val="000000" w:themeColor="text1"/>
          <w:sz w:val="24"/>
          <w:szCs w:val="24"/>
        </w:rPr>
        <w:t xml:space="preserve">; </w:t>
      </w:r>
      <w:r w:rsidR="004E39F3" w:rsidRPr="003B78BD">
        <w:rPr>
          <w:rFonts w:ascii="Arial" w:hAnsi="Arial" w:cs="Arial"/>
          <w:i/>
          <w:iCs/>
          <w:color w:val="000000" w:themeColor="text1"/>
          <w:sz w:val="24"/>
          <w:szCs w:val="24"/>
        </w:rPr>
        <w:t>Walby v Walby [</w:t>
      </w:r>
      <w:r w:rsidR="00C56241" w:rsidRPr="003B78BD">
        <w:rPr>
          <w:rFonts w:ascii="Arial" w:hAnsi="Arial" w:cs="Arial"/>
          <w:i/>
          <w:iCs/>
          <w:color w:val="000000" w:themeColor="text1"/>
          <w:sz w:val="24"/>
          <w:szCs w:val="24"/>
        </w:rPr>
        <w:t>2012]</w:t>
      </w:r>
      <w:r>
        <w:rPr>
          <w:rFonts w:ascii="Arial" w:hAnsi="Arial" w:cs="Arial"/>
          <w:sz w:val="24"/>
          <w:szCs w:val="24"/>
        </w:rPr>
        <w:t xml:space="preserve"> </w:t>
      </w:r>
      <w:r w:rsidR="00955CF2">
        <w:rPr>
          <w:rFonts w:ascii="Arial" w:hAnsi="Arial" w:cs="Arial"/>
          <w:sz w:val="24"/>
          <w:szCs w:val="24"/>
        </w:rPr>
        <w:t>(</w:t>
      </w:r>
      <w:r>
        <w:rPr>
          <w:rFonts w:ascii="Arial" w:hAnsi="Arial" w:cs="Arial"/>
          <w:sz w:val="24"/>
          <w:szCs w:val="24"/>
        </w:rPr>
        <w:t>Vardags, 2021</w:t>
      </w:r>
      <w:r w:rsidR="00955CF2">
        <w:rPr>
          <w:rFonts w:ascii="Arial" w:hAnsi="Arial" w:cs="Arial"/>
          <w:sz w:val="24"/>
          <w:szCs w:val="24"/>
        </w:rPr>
        <w:t>).</w:t>
      </w:r>
    </w:p>
    <w:p w14:paraId="79EE35ED" w14:textId="6955994B" w:rsidR="00B873BF" w:rsidRDefault="00B873BF" w:rsidP="00F75AD0">
      <w:pPr>
        <w:spacing w:line="480" w:lineRule="auto"/>
        <w:jc w:val="both"/>
        <w:rPr>
          <w:rFonts w:ascii="Arial" w:hAnsi="Arial" w:cs="Arial"/>
          <w:sz w:val="24"/>
          <w:szCs w:val="24"/>
        </w:rPr>
      </w:pPr>
    </w:p>
    <w:p w14:paraId="00C05F48" w14:textId="707DD0AD" w:rsidR="00F61ABE" w:rsidRDefault="00C93331" w:rsidP="00F75AD0">
      <w:pPr>
        <w:spacing w:line="480" w:lineRule="auto"/>
        <w:jc w:val="both"/>
        <w:rPr>
          <w:rFonts w:ascii="Arial" w:hAnsi="Arial" w:cs="Arial"/>
          <w:color w:val="000000" w:themeColor="text1"/>
          <w:sz w:val="24"/>
          <w:szCs w:val="24"/>
        </w:rPr>
      </w:pPr>
      <w:r>
        <w:rPr>
          <w:rFonts w:ascii="Arial" w:hAnsi="Arial" w:cs="Arial"/>
          <w:sz w:val="24"/>
          <w:szCs w:val="24"/>
        </w:rPr>
        <w:t xml:space="preserve">Easements exercised over another parcel of land for a long period of time </w:t>
      </w:r>
      <w:r w:rsidR="00527061">
        <w:rPr>
          <w:rFonts w:ascii="Arial" w:hAnsi="Arial" w:cs="Arial"/>
          <w:sz w:val="24"/>
          <w:szCs w:val="24"/>
        </w:rPr>
        <w:t>but where no grant exists can be acquired through prescription</w:t>
      </w:r>
      <w:r w:rsidR="00435F32">
        <w:rPr>
          <w:rFonts w:ascii="Arial" w:hAnsi="Arial" w:cs="Arial"/>
          <w:sz w:val="24"/>
          <w:szCs w:val="24"/>
        </w:rPr>
        <w:t>, whether at common law, by the doctrine of lost modern grant o</w:t>
      </w:r>
      <w:r w:rsidR="00435F32" w:rsidRPr="00F44CE3">
        <w:rPr>
          <w:rFonts w:ascii="Arial" w:hAnsi="Arial" w:cs="Arial"/>
          <w:color w:val="000000" w:themeColor="text1"/>
          <w:sz w:val="24"/>
          <w:szCs w:val="24"/>
        </w:rPr>
        <w:t>r under the Prescription Act 1832 (Bri</w:t>
      </w:r>
      <w:r w:rsidR="00C21862" w:rsidRPr="00F44CE3">
        <w:rPr>
          <w:rFonts w:ascii="Arial" w:hAnsi="Arial" w:cs="Arial"/>
          <w:color w:val="000000" w:themeColor="text1"/>
          <w:sz w:val="24"/>
          <w:szCs w:val="24"/>
        </w:rPr>
        <w:t>dge, 1987, pp.26-27</w:t>
      </w:r>
      <w:r w:rsidR="00435F32" w:rsidRPr="00F44CE3">
        <w:rPr>
          <w:rFonts w:ascii="Arial" w:hAnsi="Arial" w:cs="Arial"/>
          <w:color w:val="000000" w:themeColor="text1"/>
          <w:sz w:val="24"/>
          <w:szCs w:val="24"/>
        </w:rPr>
        <w:t>)</w:t>
      </w:r>
      <w:r w:rsidR="00F927F3" w:rsidRPr="00F44CE3">
        <w:rPr>
          <w:rFonts w:ascii="Arial" w:hAnsi="Arial" w:cs="Arial"/>
          <w:color w:val="000000" w:themeColor="text1"/>
          <w:sz w:val="24"/>
          <w:szCs w:val="24"/>
        </w:rPr>
        <w:t>, (Buck, 2019)</w:t>
      </w:r>
      <w:r w:rsidR="00435F32" w:rsidRPr="00F44CE3">
        <w:rPr>
          <w:rFonts w:ascii="Arial" w:hAnsi="Arial" w:cs="Arial"/>
          <w:color w:val="000000" w:themeColor="text1"/>
          <w:sz w:val="24"/>
          <w:szCs w:val="24"/>
        </w:rPr>
        <w:t>.</w:t>
      </w:r>
      <w:r w:rsidR="00BE2CAD" w:rsidRPr="00F44CE3">
        <w:rPr>
          <w:rFonts w:ascii="Arial" w:hAnsi="Arial" w:cs="Arial"/>
          <w:color w:val="000000" w:themeColor="text1"/>
          <w:sz w:val="24"/>
          <w:szCs w:val="24"/>
        </w:rPr>
        <w:t xml:space="preserve"> A claim to register such an easement is often made </w:t>
      </w:r>
      <w:r w:rsidR="00E964FC" w:rsidRPr="00F44CE3">
        <w:rPr>
          <w:rFonts w:ascii="Arial" w:hAnsi="Arial" w:cs="Arial"/>
          <w:color w:val="000000" w:themeColor="text1"/>
          <w:sz w:val="24"/>
          <w:szCs w:val="24"/>
        </w:rPr>
        <w:t xml:space="preserve">on the </w:t>
      </w:r>
      <w:r w:rsidR="003F10C7" w:rsidRPr="00F44CE3">
        <w:rPr>
          <w:rFonts w:ascii="Arial" w:hAnsi="Arial" w:cs="Arial"/>
          <w:color w:val="000000" w:themeColor="text1"/>
          <w:sz w:val="24"/>
          <w:szCs w:val="24"/>
        </w:rPr>
        <w:t>proviso</w:t>
      </w:r>
      <w:r w:rsidR="00E964FC" w:rsidRPr="00F44CE3">
        <w:rPr>
          <w:rFonts w:ascii="Arial" w:hAnsi="Arial" w:cs="Arial"/>
          <w:color w:val="000000" w:themeColor="text1"/>
          <w:sz w:val="24"/>
          <w:szCs w:val="24"/>
        </w:rPr>
        <w:t xml:space="preserve"> that the right of way or land in question has been continually </w:t>
      </w:r>
      <w:r w:rsidR="008464D2" w:rsidRPr="00F44CE3">
        <w:rPr>
          <w:rFonts w:ascii="Arial" w:hAnsi="Arial" w:cs="Arial"/>
          <w:color w:val="000000" w:themeColor="text1"/>
          <w:sz w:val="24"/>
          <w:szCs w:val="24"/>
        </w:rPr>
        <w:t xml:space="preserve">used </w:t>
      </w:r>
      <w:r w:rsidR="00AA18FC" w:rsidRPr="00F44CE3">
        <w:rPr>
          <w:rFonts w:ascii="Arial" w:hAnsi="Arial" w:cs="Arial"/>
          <w:color w:val="000000" w:themeColor="text1"/>
          <w:sz w:val="24"/>
          <w:szCs w:val="24"/>
        </w:rPr>
        <w:t xml:space="preserve">for at least twenty </w:t>
      </w:r>
      <w:r w:rsidR="00AA18FC" w:rsidRPr="00F44CE3">
        <w:rPr>
          <w:rFonts w:ascii="Arial" w:hAnsi="Arial" w:cs="Arial"/>
          <w:color w:val="000000" w:themeColor="text1"/>
          <w:sz w:val="24"/>
          <w:szCs w:val="24"/>
        </w:rPr>
        <w:lastRenderedPageBreak/>
        <w:t xml:space="preserve">years </w:t>
      </w:r>
      <w:r w:rsidR="00DC6CF2" w:rsidRPr="00F44CE3">
        <w:rPr>
          <w:rFonts w:ascii="Arial" w:hAnsi="Arial" w:cs="Arial"/>
          <w:color w:val="000000" w:themeColor="text1"/>
          <w:sz w:val="24"/>
          <w:szCs w:val="24"/>
        </w:rPr>
        <w:t xml:space="preserve">and </w:t>
      </w:r>
      <w:r w:rsidR="00AA18FC" w:rsidRPr="00F44CE3">
        <w:rPr>
          <w:rFonts w:ascii="Arial" w:hAnsi="Arial" w:cs="Arial"/>
          <w:color w:val="000000" w:themeColor="text1"/>
          <w:sz w:val="24"/>
          <w:szCs w:val="24"/>
        </w:rPr>
        <w:t xml:space="preserve">without </w:t>
      </w:r>
      <w:r w:rsidR="003F10C7" w:rsidRPr="00F44CE3">
        <w:rPr>
          <w:rFonts w:ascii="Arial" w:hAnsi="Arial" w:cs="Arial"/>
          <w:color w:val="000000" w:themeColor="text1"/>
          <w:sz w:val="24"/>
          <w:szCs w:val="24"/>
        </w:rPr>
        <w:t>interruption</w:t>
      </w:r>
      <w:r w:rsidR="0018483B" w:rsidRPr="00F44CE3">
        <w:rPr>
          <w:rFonts w:ascii="Arial" w:hAnsi="Arial" w:cs="Arial"/>
          <w:color w:val="000000" w:themeColor="text1"/>
          <w:sz w:val="24"/>
          <w:szCs w:val="24"/>
        </w:rPr>
        <w:t xml:space="preserve"> without the use of force</w:t>
      </w:r>
      <w:r w:rsidR="004B7CDC" w:rsidRPr="00F44CE3">
        <w:rPr>
          <w:rFonts w:ascii="Arial" w:hAnsi="Arial" w:cs="Arial"/>
          <w:color w:val="000000" w:themeColor="text1"/>
          <w:sz w:val="24"/>
          <w:szCs w:val="24"/>
        </w:rPr>
        <w:t xml:space="preserve"> (HM Land Registry, </w:t>
      </w:r>
      <w:r w:rsidR="00417630" w:rsidRPr="00F44CE3">
        <w:rPr>
          <w:rFonts w:ascii="Arial" w:hAnsi="Arial" w:cs="Arial"/>
          <w:color w:val="000000" w:themeColor="text1"/>
          <w:sz w:val="24"/>
          <w:szCs w:val="24"/>
        </w:rPr>
        <w:t>2020</w:t>
      </w:r>
      <w:r w:rsidR="004B7CDC" w:rsidRPr="00F44CE3">
        <w:rPr>
          <w:rFonts w:ascii="Arial" w:hAnsi="Arial" w:cs="Arial"/>
          <w:color w:val="000000" w:themeColor="text1"/>
          <w:sz w:val="24"/>
          <w:szCs w:val="24"/>
        </w:rPr>
        <w:t>)</w:t>
      </w:r>
      <w:r w:rsidR="00A77202" w:rsidRPr="00F44CE3">
        <w:rPr>
          <w:rFonts w:ascii="Arial" w:hAnsi="Arial" w:cs="Arial"/>
          <w:color w:val="000000" w:themeColor="text1"/>
          <w:sz w:val="24"/>
          <w:szCs w:val="24"/>
        </w:rPr>
        <w:t>,</w:t>
      </w:r>
      <w:r w:rsidR="00417630" w:rsidRPr="00F44CE3">
        <w:rPr>
          <w:rFonts w:ascii="Arial" w:hAnsi="Arial" w:cs="Arial"/>
          <w:color w:val="000000" w:themeColor="text1"/>
          <w:sz w:val="24"/>
          <w:szCs w:val="24"/>
        </w:rPr>
        <w:t xml:space="preserve"> </w:t>
      </w:r>
      <w:r w:rsidR="0018483B" w:rsidRPr="00F44CE3">
        <w:rPr>
          <w:rFonts w:ascii="Arial" w:hAnsi="Arial" w:cs="Arial"/>
          <w:color w:val="000000" w:themeColor="text1"/>
          <w:sz w:val="24"/>
          <w:szCs w:val="24"/>
        </w:rPr>
        <w:t>(Rouse, 2014).</w:t>
      </w:r>
      <w:r w:rsidR="0025517F" w:rsidRPr="00F44CE3">
        <w:rPr>
          <w:rFonts w:ascii="Arial" w:hAnsi="Arial" w:cs="Arial"/>
          <w:color w:val="000000" w:themeColor="text1"/>
          <w:sz w:val="24"/>
          <w:szCs w:val="24"/>
        </w:rPr>
        <w:t xml:space="preserve"> </w:t>
      </w:r>
      <w:r w:rsidR="00F61ABE" w:rsidRPr="00F44CE3">
        <w:rPr>
          <w:rFonts w:ascii="Arial" w:hAnsi="Arial" w:cs="Arial"/>
          <w:color w:val="000000" w:themeColor="text1"/>
          <w:sz w:val="24"/>
          <w:szCs w:val="24"/>
        </w:rPr>
        <w:t xml:space="preserve">It is important to note </w:t>
      </w:r>
      <w:r w:rsidR="00C17503" w:rsidRPr="00F44CE3">
        <w:rPr>
          <w:rFonts w:ascii="Arial" w:hAnsi="Arial" w:cs="Arial"/>
          <w:color w:val="000000" w:themeColor="text1"/>
          <w:sz w:val="24"/>
          <w:szCs w:val="24"/>
        </w:rPr>
        <w:t xml:space="preserve">that the benefit of an easement will automatically benefit its successor by </w:t>
      </w:r>
      <w:r w:rsidR="0025517F" w:rsidRPr="00F44CE3">
        <w:rPr>
          <w:rFonts w:ascii="Arial" w:hAnsi="Arial" w:cs="Arial"/>
          <w:color w:val="000000" w:themeColor="text1"/>
          <w:sz w:val="24"/>
          <w:szCs w:val="24"/>
        </w:rPr>
        <w:t>virtue</w:t>
      </w:r>
      <w:r w:rsidR="00C17503" w:rsidRPr="00F44CE3">
        <w:rPr>
          <w:rFonts w:ascii="Arial" w:hAnsi="Arial" w:cs="Arial"/>
          <w:color w:val="000000" w:themeColor="text1"/>
          <w:sz w:val="24"/>
          <w:szCs w:val="24"/>
        </w:rPr>
        <w:t>, s.62 LPA (</w:t>
      </w:r>
      <w:r w:rsidR="0025517F" w:rsidRPr="00F44CE3">
        <w:rPr>
          <w:rFonts w:ascii="Arial" w:hAnsi="Arial" w:cs="Arial"/>
          <w:color w:val="000000" w:themeColor="text1"/>
          <w:sz w:val="24"/>
          <w:szCs w:val="24"/>
        </w:rPr>
        <w:t>1925) (Sayles, 2020, pp.196).</w:t>
      </w:r>
    </w:p>
    <w:p w14:paraId="25BB7D94" w14:textId="77777777" w:rsidR="0043612B" w:rsidRPr="00F44CE3" w:rsidRDefault="0043612B" w:rsidP="00F75AD0">
      <w:pPr>
        <w:spacing w:line="480" w:lineRule="auto"/>
        <w:jc w:val="both"/>
        <w:rPr>
          <w:rFonts w:ascii="Arial" w:hAnsi="Arial" w:cs="Arial"/>
          <w:color w:val="000000" w:themeColor="text1"/>
          <w:sz w:val="24"/>
          <w:szCs w:val="24"/>
        </w:rPr>
      </w:pPr>
    </w:p>
    <w:p w14:paraId="505FF1E8" w14:textId="046F13E7" w:rsidR="00BD3778" w:rsidRDefault="00F44CE3" w:rsidP="00F75AD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It is evident when</w:t>
      </w:r>
      <w:r w:rsidR="00BD3778">
        <w:rPr>
          <w:rFonts w:ascii="Arial" w:hAnsi="Arial" w:cs="Arial"/>
          <w:color w:val="000000" w:themeColor="text1"/>
          <w:sz w:val="24"/>
          <w:szCs w:val="24"/>
        </w:rPr>
        <w:t xml:space="preserve"> </w:t>
      </w:r>
      <w:r w:rsidR="000457A2">
        <w:rPr>
          <w:rFonts w:ascii="Arial" w:hAnsi="Arial" w:cs="Arial"/>
          <w:color w:val="000000" w:themeColor="text1"/>
          <w:sz w:val="24"/>
          <w:szCs w:val="24"/>
        </w:rPr>
        <w:t>considering</w:t>
      </w:r>
      <w:r w:rsidR="003356D2">
        <w:rPr>
          <w:rFonts w:ascii="Arial" w:hAnsi="Arial" w:cs="Arial"/>
          <w:color w:val="000000" w:themeColor="text1"/>
          <w:sz w:val="24"/>
          <w:szCs w:val="24"/>
        </w:rPr>
        <w:t xml:space="preserve"> the four </w:t>
      </w:r>
      <w:r w:rsidR="00BD3778">
        <w:rPr>
          <w:rFonts w:ascii="Arial" w:hAnsi="Arial" w:cs="Arial"/>
          <w:color w:val="000000" w:themeColor="text1"/>
          <w:sz w:val="24"/>
          <w:szCs w:val="24"/>
        </w:rPr>
        <w:t>characteristics</w:t>
      </w:r>
      <w:r>
        <w:rPr>
          <w:rFonts w:ascii="Arial" w:hAnsi="Arial" w:cs="Arial"/>
          <w:color w:val="000000" w:themeColor="text1"/>
          <w:sz w:val="24"/>
          <w:szCs w:val="24"/>
        </w:rPr>
        <w:t xml:space="preserve"> that must be satisfied in order to grant an easement</w:t>
      </w:r>
      <w:r w:rsidR="003356D2">
        <w:rPr>
          <w:rFonts w:ascii="Arial" w:hAnsi="Arial" w:cs="Arial"/>
          <w:color w:val="000000" w:themeColor="text1"/>
          <w:sz w:val="24"/>
          <w:szCs w:val="24"/>
        </w:rPr>
        <w:t>,</w:t>
      </w:r>
      <w:r>
        <w:rPr>
          <w:rFonts w:ascii="Arial" w:hAnsi="Arial" w:cs="Arial"/>
          <w:color w:val="000000" w:themeColor="text1"/>
          <w:sz w:val="24"/>
          <w:szCs w:val="24"/>
        </w:rPr>
        <w:t xml:space="preserve"> that the law restricts what could be recognised </w:t>
      </w:r>
      <w:r w:rsidR="00BD3778">
        <w:rPr>
          <w:rFonts w:ascii="Arial" w:hAnsi="Arial" w:cs="Arial"/>
          <w:color w:val="000000" w:themeColor="text1"/>
          <w:sz w:val="24"/>
          <w:szCs w:val="24"/>
        </w:rPr>
        <w:t>and as a result restricts the rights that land owners may grant</w:t>
      </w:r>
      <w:r w:rsidR="00BD636C">
        <w:rPr>
          <w:rFonts w:ascii="Arial" w:hAnsi="Arial" w:cs="Arial"/>
          <w:color w:val="000000" w:themeColor="text1"/>
          <w:sz w:val="24"/>
          <w:szCs w:val="24"/>
        </w:rPr>
        <w:t xml:space="preserve"> and reserve</w:t>
      </w:r>
      <w:r w:rsidR="00BD3778">
        <w:rPr>
          <w:rFonts w:ascii="Arial" w:hAnsi="Arial" w:cs="Arial"/>
          <w:color w:val="000000" w:themeColor="text1"/>
          <w:sz w:val="24"/>
          <w:szCs w:val="24"/>
        </w:rPr>
        <w:t xml:space="preserve">. </w:t>
      </w:r>
      <w:r w:rsidR="00716E72" w:rsidRPr="00F44CE3">
        <w:rPr>
          <w:rFonts w:ascii="Arial" w:hAnsi="Arial" w:cs="Arial"/>
          <w:color w:val="000000" w:themeColor="text1"/>
          <w:sz w:val="24"/>
          <w:szCs w:val="24"/>
        </w:rPr>
        <w:t xml:space="preserve">That said, </w:t>
      </w:r>
      <w:r w:rsidR="00BD3778">
        <w:rPr>
          <w:rFonts w:ascii="Arial" w:hAnsi="Arial" w:cs="Arial"/>
          <w:color w:val="000000" w:themeColor="text1"/>
          <w:sz w:val="24"/>
          <w:szCs w:val="24"/>
        </w:rPr>
        <w:t xml:space="preserve">widening the rights </w:t>
      </w:r>
      <w:r w:rsidR="00987CCC">
        <w:rPr>
          <w:rFonts w:ascii="Arial" w:hAnsi="Arial" w:cs="Arial"/>
          <w:color w:val="000000" w:themeColor="text1"/>
          <w:sz w:val="24"/>
          <w:szCs w:val="24"/>
        </w:rPr>
        <w:t>could lead to burdensome land.</w:t>
      </w:r>
    </w:p>
    <w:p w14:paraId="0E1EB015" w14:textId="72A6D719" w:rsidR="00F75AD0" w:rsidRPr="00F44CE3" w:rsidRDefault="00987CCC" w:rsidP="00F75AD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It must be noted that the </w:t>
      </w:r>
      <w:r w:rsidR="00716E72" w:rsidRPr="00F44CE3">
        <w:rPr>
          <w:rFonts w:ascii="Arial" w:hAnsi="Arial" w:cs="Arial"/>
          <w:color w:val="000000" w:themeColor="text1"/>
          <w:sz w:val="24"/>
          <w:szCs w:val="24"/>
        </w:rPr>
        <w:t xml:space="preserve">criteria laid down in </w:t>
      </w:r>
      <w:r w:rsidR="00716E72" w:rsidRPr="00F44CE3">
        <w:rPr>
          <w:rFonts w:ascii="Arial" w:hAnsi="Arial" w:cs="Arial"/>
          <w:i/>
          <w:iCs/>
          <w:color w:val="000000" w:themeColor="text1"/>
          <w:sz w:val="24"/>
          <w:szCs w:val="24"/>
        </w:rPr>
        <w:t xml:space="preserve">Re Ellenborough Park [1956] </w:t>
      </w:r>
      <w:r w:rsidR="00716E72" w:rsidRPr="00F44CE3">
        <w:rPr>
          <w:rFonts w:ascii="Arial" w:hAnsi="Arial" w:cs="Arial"/>
          <w:color w:val="000000" w:themeColor="text1"/>
          <w:sz w:val="24"/>
          <w:szCs w:val="24"/>
        </w:rPr>
        <w:t>are mere guidelines. Reference to precedent is crucial, along with the significant discretion held by the courts in deciding whether a right is sufficient to amount to a propriety interest and an easement. If a court is not satisfied even where the majority of the criteria is met, the recognition of an easement may still be refused if it is not in the general nature of an easement. The ‘right’ will become a mere personal licence only affecting individuals, providing only personal rights</w:t>
      </w:r>
      <w:r w:rsidR="00F61ABE" w:rsidRPr="00F44CE3">
        <w:rPr>
          <w:rFonts w:ascii="Arial" w:hAnsi="Arial" w:cs="Arial"/>
          <w:color w:val="000000" w:themeColor="text1"/>
          <w:sz w:val="24"/>
          <w:szCs w:val="24"/>
        </w:rPr>
        <w:t>.</w:t>
      </w:r>
    </w:p>
    <w:p w14:paraId="586CDE57" w14:textId="639A9E93" w:rsidR="00F75AD0" w:rsidRDefault="00F75AD0" w:rsidP="00F75AD0">
      <w:pPr>
        <w:spacing w:line="480" w:lineRule="auto"/>
        <w:jc w:val="both"/>
        <w:rPr>
          <w:rFonts w:ascii="Arial" w:hAnsi="Arial" w:cs="Arial"/>
          <w:sz w:val="24"/>
          <w:szCs w:val="24"/>
        </w:rPr>
      </w:pPr>
    </w:p>
    <w:p w14:paraId="3DC2479E" w14:textId="4B26299C" w:rsidR="00F75AD0" w:rsidRPr="007E4AAC" w:rsidRDefault="00F75AD0" w:rsidP="00F75AD0">
      <w:pPr>
        <w:spacing w:line="480" w:lineRule="auto"/>
        <w:jc w:val="both"/>
        <w:rPr>
          <w:rFonts w:ascii="Arial" w:hAnsi="Arial" w:cs="Arial"/>
          <w:b/>
          <w:bCs/>
          <w:sz w:val="24"/>
          <w:szCs w:val="24"/>
          <w:u w:val="single"/>
        </w:rPr>
      </w:pPr>
      <w:r w:rsidRPr="007E4AAC">
        <w:rPr>
          <w:rFonts w:ascii="Arial" w:hAnsi="Arial" w:cs="Arial"/>
          <w:b/>
          <w:bCs/>
          <w:sz w:val="24"/>
          <w:szCs w:val="24"/>
          <w:u w:val="single"/>
        </w:rPr>
        <w:t>R</w:t>
      </w:r>
      <w:r w:rsidR="007E4AAC" w:rsidRPr="007E4AAC">
        <w:rPr>
          <w:rFonts w:ascii="Arial" w:hAnsi="Arial" w:cs="Arial"/>
          <w:b/>
          <w:bCs/>
          <w:sz w:val="24"/>
          <w:szCs w:val="24"/>
          <w:u w:val="single"/>
        </w:rPr>
        <w:t xml:space="preserve">eference List: </w:t>
      </w:r>
    </w:p>
    <w:p w14:paraId="62E139A0" w14:textId="7BCD9F6E" w:rsidR="008E42CA" w:rsidRDefault="008E42CA" w:rsidP="00F75AD0">
      <w:pPr>
        <w:spacing w:line="480" w:lineRule="auto"/>
        <w:jc w:val="both"/>
        <w:rPr>
          <w:rFonts w:ascii="Arial" w:hAnsi="Arial" w:cs="Arial"/>
          <w:sz w:val="24"/>
          <w:szCs w:val="24"/>
        </w:rPr>
      </w:pPr>
      <w:r>
        <w:rPr>
          <w:rFonts w:ascii="Arial" w:hAnsi="Arial" w:cs="Arial"/>
          <w:sz w:val="24"/>
          <w:szCs w:val="24"/>
        </w:rPr>
        <w:t>Bray, J. (20</w:t>
      </w:r>
      <w:r w:rsidR="00DC1F6B">
        <w:rPr>
          <w:rFonts w:ascii="Arial" w:hAnsi="Arial" w:cs="Arial"/>
          <w:sz w:val="24"/>
          <w:szCs w:val="24"/>
        </w:rPr>
        <w:t xml:space="preserve">16) </w:t>
      </w:r>
      <w:r w:rsidR="00DC1F6B">
        <w:rPr>
          <w:rFonts w:ascii="Arial" w:hAnsi="Arial" w:cs="Arial"/>
          <w:i/>
          <w:iCs/>
          <w:sz w:val="24"/>
          <w:szCs w:val="24"/>
        </w:rPr>
        <w:t xml:space="preserve">Unlocking Land Law. </w:t>
      </w:r>
      <w:r w:rsidR="00DC1F6B">
        <w:rPr>
          <w:rFonts w:ascii="Arial" w:hAnsi="Arial" w:cs="Arial"/>
          <w:sz w:val="24"/>
          <w:szCs w:val="24"/>
        </w:rPr>
        <w:t>5</w:t>
      </w:r>
      <w:r w:rsidR="00DC1F6B" w:rsidRPr="00DC1F6B">
        <w:rPr>
          <w:rFonts w:ascii="Arial" w:hAnsi="Arial" w:cs="Arial"/>
          <w:sz w:val="24"/>
          <w:szCs w:val="24"/>
          <w:vertAlign w:val="superscript"/>
        </w:rPr>
        <w:t>th</w:t>
      </w:r>
      <w:r w:rsidR="00DC1F6B">
        <w:rPr>
          <w:rFonts w:ascii="Arial" w:hAnsi="Arial" w:cs="Arial"/>
          <w:sz w:val="24"/>
          <w:szCs w:val="24"/>
        </w:rPr>
        <w:t xml:space="preserve"> Ed. New York: </w:t>
      </w:r>
      <w:r w:rsidR="005F5E5B">
        <w:rPr>
          <w:rFonts w:ascii="Arial" w:hAnsi="Arial" w:cs="Arial"/>
          <w:sz w:val="24"/>
          <w:szCs w:val="24"/>
        </w:rPr>
        <w:t>Routledge.</w:t>
      </w:r>
    </w:p>
    <w:p w14:paraId="1A6A3B7F" w14:textId="5F9D4FC5" w:rsidR="0093337D" w:rsidRDefault="0093337D" w:rsidP="00F75AD0">
      <w:pPr>
        <w:spacing w:line="480" w:lineRule="auto"/>
        <w:jc w:val="both"/>
        <w:rPr>
          <w:rFonts w:ascii="Arial" w:hAnsi="Arial" w:cs="Arial"/>
          <w:sz w:val="24"/>
          <w:szCs w:val="24"/>
        </w:rPr>
      </w:pPr>
      <w:r>
        <w:rPr>
          <w:rFonts w:ascii="Arial" w:hAnsi="Arial" w:cs="Arial"/>
          <w:sz w:val="24"/>
          <w:szCs w:val="24"/>
        </w:rPr>
        <w:t>Bridge, S. (</w:t>
      </w:r>
      <w:r w:rsidR="000D34D2">
        <w:rPr>
          <w:rFonts w:ascii="Arial" w:hAnsi="Arial" w:cs="Arial"/>
          <w:sz w:val="24"/>
          <w:szCs w:val="24"/>
        </w:rPr>
        <w:t xml:space="preserve">1987) ‘Easements of Light and Shots in the Dark’, </w:t>
      </w:r>
      <w:r w:rsidR="00AC4611">
        <w:rPr>
          <w:rFonts w:ascii="Arial" w:hAnsi="Arial" w:cs="Arial"/>
          <w:i/>
          <w:iCs/>
          <w:sz w:val="24"/>
          <w:szCs w:val="24"/>
        </w:rPr>
        <w:t xml:space="preserve">The Cambridge Law Journal, </w:t>
      </w:r>
      <w:r w:rsidR="00AC4611">
        <w:rPr>
          <w:rFonts w:ascii="Arial" w:hAnsi="Arial" w:cs="Arial"/>
          <w:sz w:val="24"/>
          <w:szCs w:val="24"/>
        </w:rPr>
        <w:t xml:space="preserve">46(1), pp. 26-28. Available at: </w:t>
      </w:r>
      <w:hyperlink r:id="rId6" w:history="1">
        <w:r w:rsidR="0023411F" w:rsidRPr="003E749C">
          <w:rPr>
            <w:rStyle w:val="Hyperlink"/>
            <w:rFonts w:ascii="Arial" w:hAnsi="Arial" w:cs="Arial"/>
            <w:sz w:val="24"/>
            <w:szCs w:val="24"/>
          </w:rPr>
          <w:t>https://doi.org/10.1017/S0008197300113509</w:t>
        </w:r>
      </w:hyperlink>
      <w:r w:rsidR="0023411F">
        <w:rPr>
          <w:rFonts w:ascii="Arial" w:hAnsi="Arial" w:cs="Arial"/>
          <w:sz w:val="24"/>
          <w:szCs w:val="24"/>
        </w:rPr>
        <w:t xml:space="preserve"> (Accessed on: 26</w:t>
      </w:r>
      <w:r w:rsidR="0023411F" w:rsidRPr="0023411F">
        <w:rPr>
          <w:rFonts w:ascii="Arial" w:hAnsi="Arial" w:cs="Arial"/>
          <w:sz w:val="24"/>
          <w:szCs w:val="24"/>
          <w:vertAlign w:val="superscript"/>
        </w:rPr>
        <w:t>th</w:t>
      </w:r>
      <w:r w:rsidR="0023411F">
        <w:rPr>
          <w:rFonts w:ascii="Arial" w:hAnsi="Arial" w:cs="Arial"/>
          <w:sz w:val="24"/>
          <w:szCs w:val="24"/>
        </w:rPr>
        <w:t xml:space="preserve"> October, 2021).</w:t>
      </w:r>
    </w:p>
    <w:p w14:paraId="310A1E2C" w14:textId="52B00541" w:rsidR="00252DD1" w:rsidRDefault="00252DD1" w:rsidP="00F75AD0">
      <w:pPr>
        <w:spacing w:line="480" w:lineRule="auto"/>
        <w:jc w:val="both"/>
        <w:rPr>
          <w:rFonts w:ascii="Arial" w:hAnsi="Arial" w:cs="Arial"/>
          <w:sz w:val="24"/>
          <w:szCs w:val="24"/>
        </w:rPr>
      </w:pPr>
      <w:r>
        <w:rPr>
          <w:rFonts w:ascii="Arial" w:hAnsi="Arial" w:cs="Arial"/>
          <w:sz w:val="24"/>
          <w:szCs w:val="24"/>
        </w:rPr>
        <w:lastRenderedPageBreak/>
        <w:t>Buck, C. (2019)</w:t>
      </w:r>
      <w:r w:rsidR="00D9676A">
        <w:rPr>
          <w:rFonts w:ascii="Arial" w:hAnsi="Arial" w:cs="Arial"/>
          <w:sz w:val="24"/>
          <w:szCs w:val="24"/>
        </w:rPr>
        <w:t xml:space="preserve"> </w:t>
      </w:r>
      <w:r w:rsidR="00D9676A">
        <w:rPr>
          <w:rFonts w:ascii="Arial" w:hAnsi="Arial" w:cs="Arial"/>
          <w:i/>
          <w:iCs/>
          <w:sz w:val="24"/>
          <w:szCs w:val="24"/>
        </w:rPr>
        <w:t xml:space="preserve">Prescriptive Easements: What Are They? </w:t>
      </w:r>
      <w:r w:rsidR="00D9676A">
        <w:rPr>
          <w:rFonts w:ascii="Arial" w:hAnsi="Arial" w:cs="Arial"/>
          <w:sz w:val="24"/>
          <w:szCs w:val="24"/>
        </w:rPr>
        <w:t xml:space="preserve">Available at: </w:t>
      </w:r>
      <w:hyperlink r:id="rId7" w:history="1">
        <w:r w:rsidR="003C093C" w:rsidRPr="003E749C">
          <w:rPr>
            <w:rStyle w:val="Hyperlink"/>
            <w:rFonts w:ascii="Arial" w:hAnsi="Arial" w:cs="Arial"/>
            <w:sz w:val="24"/>
            <w:szCs w:val="24"/>
          </w:rPr>
          <w:t>https://www.adams-harrison,co,uk/prescriptive-easements-what-are-they/</w:t>
        </w:r>
      </w:hyperlink>
      <w:r w:rsidR="003C093C">
        <w:rPr>
          <w:rFonts w:ascii="Arial" w:hAnsi="Arial" w:cs="Arial"/>
          <w:sz w:val="24"/>
          <w:szCs w:val="24"/>
        </w:rPr>
        <w:t xml:space="preserve"> (Accessed on: </w:t>
      </w:r>
      <w:r w:rsidR="00E60ECC">
        <w:rPr>
          <w:rFonts w:ascii="Arial" w:hAnsi="Arial" w:cs="Arial"/>
          <w:sz w:val="24"/>
          <w:szCs w:val="24"/>
        </w:rPr>
        <w:t>27</w:t>
      </w:r>
      <w:r w:rsidR="00E60ECC" w:rsidRPr="00E60ECC">
        <w:rPr>
          <w:rFonts w:ascii="Arial" w:hAnsi="Arial" w:cs="Arial"/>
          <w:sz w:val="24"/>
          <w:szCs w:val="24"/>
          <w:vertAlign w:val="superscript"/>
        </w:rPr>
        <w:t>th</w:t>
      </w:r>
      <w:r w:rsidR="00E60ECC">
        <w:rPr>
          <w:rFonts w:ascii="Arial" w:hAnsi="Arial" w:cs="Arial"/>
          <w:sz w:val="24"/>
          <w:szCs w:val="24"/>
        </w:rPr>
        <w:t xml:space="preserve"> October, 2021)</w:t>
      </w:r>
      <w:r w:rsidR="00FD18AA">
        <w:rPr>
          <w:rFonts w:ascii="Arial" w:hAnsi="Arial" w:cs="Arial"/>
          <w:sz w:val="24"/>
          <w:szCs w:val="24"/>
        </w:rPr>
        <w:t>.</w:t>
      </w:r>
    </w:p>
    <w:p w14:paraId="45C65DD0" w14:textId="343BB516" w:rsidR="000F763A" w:rsidRPr="00D9676A" w:rsidRDefault="000F763A" w:rsidP="00F75AD0">
      <w:pPr>
        <w:spacing w:line="480" w:lineRule="auto"/>
        <w:jc w:val="both"/>
        <w:rPr>
          <w:rFonts w:ascii="Arial" w:hAnsi="Arial" w:cs="Arial"/>
          <w:sz w:val="24"/>
          <w:szCs w:val="24"/>
        </w:rPr>
      </w:pPr>
      <w:r>
        <w:rPr>
          <w:rFonts w:ascii="Arial" w:hAnsi="Arial" w:cs="Arial"/>
          <w:sz w:val="24"/>
          <w:szCs w:val="24"/>
        </w:rPr>
        <w:t xml:space="preserve">Davies, N. and </w:t>
      </w:r>
      <w:r w:rsidR="00EA0102">
        <w:rPr>
          <w:rFonts w:ascii="Arial" w:hAnsi="Arial" w:cs="Arial"/>
          <w:sz w:val="24"/>
          <w:szCs w:val="24"/>
        </w:rPr>
        <w:t xml:space="preserve">Taggart, L. (2021) ‘Easement: The basics explained’, </w:t>
      </w:r>
      <w:r w:rsidR="0057725A">
        <w:rPr>
          <w:rFonts w:ascii="Arial" w:hAnsi="Arial" w:cs="Arial"/>
          <w:i/>
          <w:iCs/>
          <w:sz w:val="24"/>
          <w:szCs w:val="24"/>
        </w:rPr>
        <w:t>Paris Smith</w:t>
      </w:r>
      <w:r>
        <w:rPr>
          <w:rFonts w:ascii="Arial" w:hAnsi="Arial" w:cs="Arial"/>
          <w:sz w:val="24"/>
          <w:szCs w:val="24"/>
        </w:rPr>
        <w:t xml:space="preserve"> </w:t>
      </w:r>
      <w:r w:rsidR="003C6711">
        <w:rPr>
          <w:rFonts w:ascii="Arial" w:hAnsi="Arial" w:cs="Arial"/>
          <w:sz w:val="24"/>
          <w:szCs w:val="24"/>
        </w:rPr>
        <w:t xml:space="preserve">[blog]. 11 June. Available at: </w:t>
      </w:r>
      <w:hyperlink r:id="rId8" w:history="1">
        <w:r w:rsidR="003C6711" w:rsidRPr="003E749C">
          <w:rPr>
            <w:rStyle w:val="Hyperlink"/>
            <w:rFonts w:ascii="Arial" w:hAnsi="Arial" w:cs="Arial"/>
            <w:sz w:val="24"/>
            <w:szCs w:val="24"/>
          </w:rPr>
          <w:t>https://parissmith.co.uk/blog/easement-the-basics-explained/</w:t>
        </w:r>
      </w:hyperlink>
      <w:r w:rsidR="003C6711">
        <w:rPr>
          <w:rFonts w:ascii="Arial" w:hAnsi="Arial" w:cs="Arial"/>
          <w:sz w:val="24"/>
          <w:szCs w:val="24"/>
        </w:rPr>
        <w:t xml:space="preserve"> (Accessed on: 25</w:t>
      </w:r>
      <w:r w:rsidR="003C6711" w:rsidRPr="003C6711">
        <w:rPr>
          <w:rFonts w:ascii="Arial" w:hAnsi="Arial" w:cs="Arial"/>
          <w:sz w:val="24"/>
          <w:szCs w:val="24"/>
          <w:vertAlign w:val="superscript"/>
        </w:rPr>
        <w:t>th</w:t>
      </w:r>
      <w:r w:rsidR="003C6711">
        <w:rPr>
          <w:rFonts w:ascii="Arial" w:hAnsi="Arial" w:cs="Arial"/>
          <w:sz w:val="24"/>
          <w:szCs w:val="24"/>
        </w:rPr>
        <w:t xml:space="preserve"> October, 2021). </w:t>
      </w:r>
    </w:p>
    <w:p w14:paraId="4985BA05" w14:textId="271CC571" w:rsidR="00114B72" w:rsidRDefault="00114B72" w:rsidP="00F75AD0">
      <w:pPr>
        <w:spacing w:line="480" w:lineRule="auto"/>
        <w:jc w:val="both"/>
        <w:rPr>
          <w:rFonts w:ascii="Arial" w:hAnsi="Arial" w:cs="Arial"/>
          <w:sz w:val="24"/>
          <w:szCs w:val="24"/>
        </w:rPr>
      </w:pPr>
      <w:r>
        <w:rPr>
          <w:rFonts w:ascii="Arial" w:hAnsi="Arial" w:cs="Arial"/>
          <w:sz w:val="24"/>
          <w:szCs w:val="24"/>
        </w:rPr>
        <w:t xml:space="preserve">Dickinson, J. (2013) </w:t>
      </w:r>
      <w:r w:rsidR="00DA54B4">
        <w:rPr>
          <w:rFonts w:ascii="Arial" w:hAnsi="Arial" w:cs="Arial"/>
          <w:i/>
          <w:iCs/>
          <w:sz w:val="24"/>
          <w:szCs w:val="24"/>
        </w:rPr>
        <w:t xml:space="preserve">Parking as an easement or as a basis for adverse possession – where are we now? </w:t>
      </w:r>
      <w:r w:rsidR="00DA54B4">
        <w:rPr>
          <w:rFonts w:ascii="Arial" w:hAnsi="Arial" w:cs="Arial"/>
          <w:sz w:val="24"/>
          <w:szCs w:val="24"/>
        </w:rPr>
        <w:t xml:space="preserve">Available at: </w:t>
      </w:r>
      <w:hyperlink r:id="rId9" w:history="1">
        <w:r w:rsidR="00D91FE8" w:rsidRPr="003E749C">
          <w:rPr>
            <w:rStyle w:val="Hyperlink"/>
            <w:rFonts w:ascii="Arial" w:hAnsi="Arial" w:cs="Arial"/>
            <w:sz w:val="24"/>
            <w:szCs w:val="24"/>
          </w:rPr>
          <w:t>https://www.stjohnschambers.co.uk/wp-content/uploads/2018/10/Parking-as-an-easement-or-as-a-basis-for-adverse-possessions.pdf</w:t>
        </w:r>
      </w:hyperlink>
      <w:r w:rsidR="00D91FE8">
        <w:rPr>
          <w:rFonts w:ascii="Arial" w:hAnsi="Arial" w:cs="Arial"/>
          <w:sz w:val="24"/>
          <w:szCs w:val="24"/>
        </w:rPr>
        <w:t xml:space="preserve"> (Accessed on: 26</w:t>
      </w:r>
      <w:r w:rsidR="00D91FE8" w:rsidRPr="00D91FE8">
        <w:rPr>
          <w:rFonts w:ascii="Arial" w:hAnsi="Arial" w:cs="Arial"/>
          <w:sz w:val="24"/>
          <w:szCs w:val="24"/>
          <w:vertAlign w:val="superscript"/>
        </w:rPr>
        <w:t>th</w:t>
      </w:r>
      <w:r w:rsidR="00D91FE8">
        <w:rPr>
          <w:rFonts w:ascii="Arial" w:hAnsi="Arial" w:cs="Arial"/>
          <w:sz w:val="24"/>
          <w:szCs w:val="24"/>
        </w:rPr>
        <w:t xml:space="preserve"> October, 2021)</w:t>
      </w:r>
      <w:r w:rsidR="00367BFD">
        <w:rPr>
          <w:rFonts w:ascii="Arial" w:hAnsi="Arial" w:cs="Arial"/>
          <w:sz w:val="24"/>
          <w:szCs w:val="24"/>
        </w:rPr>
        <w:t>.</w:t>
      </w:r>
    </w:p>
    <w:p w14:paraId="15CF55FF" w14:textId="6EB6E863" w:rsidR="000F1E50" w:rsidRDefault="00DF119B" w:rsidP="00F75AD0">
      <w:pPr>
        <w:spacing w:line="480" w:lineRule="auto"/>
        <w:jc w:val="both"/>
        <w:rPr>
          <w:rFonts w:ascii="Arial" w:hAnsi="Arial" w:cs="Arial"/>
          <w:sz w:val="24"/>
          <w:szCs w:val="24"/>
        </w:rPr>
      </w:pPr>
      <w:r>
        <w:rPr>
          <w:rFonts w:ascii="Arial" w:hAnsi="Arial" w:cs="Arial"/>
          <w:sz w:val="24"/>
          <w:szCs w:val="24"/>
        </w:rPr>
        <w:t xml:space="preserve">Dollar, P. (2019) </w:t>
      </w:r>
      <w:r w:rsidR="00420AAD" w:rsidRPr="00420AAD">
        <w:rPr>
          <w:rFonts w:ascii="Arial" w:hAnsi="Arial" w:cs="Arial"/>
          <w:sz w:val="24"/>
          <w:szCs w:val="24"/>
        </w:rPr>
        <w:t>‘M</w:t>
      </w:r>
      <w:r w:rsidRPr="00420AAD">
        <w:rPr>
          <w:rFonts w:ascii="Arial" w:hAnsi="Arial" w:cs="Arial"/>
          <w:sz w:val="24"/>
          <w:szCs w:val="24"/>
        </w:rPr>
        <w:t>aking informal rights permanent</w:t>
      </w:r>
      <w:r w:rsidR="00420AAD" w:rsidRPr="00420AAD">
        <w:rPr>
          <w:rFonts w:ascii="Arial" w:hAnsi="Arial" w:cs="Arial"/>
          <w:sz w:val="24"/>
          <w:szCs w:val="24"/>
        </w:rPr>
        <w:t>’</w:t>
      </w:r>
      <w:r w:rsidR="00420AAD">
        <w:rPr>
          <w:rFonts w:ascii="Arial" w:hAnsi="Arial" w:cs="Arial"/>
          <w:sz w:val="24"/>
          <w:szCs w:val="24"/>
        </w:rPr>
        <w:t xml:space="preserve">, </w:t>
      </w:r>
      <w:r w:rsidR="00DE5B23">
        <w:rPr>
          <w:rFonts w:ascii="Arial" w:hAnsi="Arial" w:cs="Arial"/>
          <w:i/>
          <w:iCs/>
          <w:sz w:val="24"/>
          <w:szCs w:val="24"/>
        </w:rPr>
        <w:t xml:space="preserve">The Estates Gazette, </w:t>
      </w:r>
      <w:r w:rsidR="00DE5B23">
        <w:rPr>
          <w:rFonts w:ascii="Arial" w:hAnsi="Arial" w:cs="Arial"/>
          <w:sz w:val="24"/>
          <w:szCs w:val="24"/>
        </w:rPr>
        <w:t xml:space="preserve">pp. 52-53. Available at: </w:t>
      </w:r>
      <w:hyperlink r:id="rId10" w:history="1">
        <w:r w:rsidR="00E53CA6" w:rsidRPr="003E749C">
          <w:rPr>
            <w:rStyle w:val="Hyperlink"/>
            <w:rFonts w:ascii="Arial" w:hAnsi="Arial" w:cs="Arial"/>
            <w:sz w:val="24"/>
            <w:szCs w:val="24"/>
          </w:rPr>
          <w:t>https://www.proquest.com/decoview/2173843619?accountid=130472&amp;pq-origsite=primo#</w:t>
        </w:r>
      </w:hyperlink>
      <w:r w:rsidR="00E53CA6">
        <w:rPr>
          <w:rFonts w:ascii="Arial" w:hAnsi="Arial" w:cs="Arial"/>
          <w:sz w:val="24"/>
          <w:szCs w:val="24"/>
        </w:rPr>
        <w:t xml:space="preserve"> (Accessed on: 25</w:t>
      </w:r>
      <w:r w:rsidR="00E53CA6" w:rsidRPr="00E53CA6">
        <w:rPr>
          <w:rFonts w:ascii="Arial" w:hAnsi="Arial" w:cs="Arial"/>
          <w:sz w:val="24"/>
          <w:szCs w:val="24"/>
          <w:vertAlign w:val="superscript"/>
        </w:rPr>
        <w:t>th</w:t>
      </w:r>
      <w:r w:rsidR="00E53CA6">
        <w:rPr>
          <w:rFonts w:ascii="Arial" w:hAnsi="Arial" w:cs="Arial"/>
          <w:sz w:val="24"/>
          <w:szCs w:val="24"/>
        </w:rPr>
        <w:t xml:space="preserve"> October, 2021).</w:t>
      </w:r>
    </w:p>
    <w:p w14:paraId="0C2B4732" w14:textId="1349C4F9" w:rsidR="00D06B89" w:rsidRPr="00DE5B23" w:rsidRDefault="00D06B89" w:rsidP="00F75AD0">
      <w:pPr>
        <w:spacing w:line="480" w:lineRule="auto"/>
        <w:jc w:val="both"/>
        <w:rPr>
          <w:rFonts w:ascii="Arial" w:hAnsi="Arial" w:cs="Arial"/>
          <w:sz w:val="24"/>
          <w:szCs w:val="24"/>
        </w:rPr>
      </w:pPr>
      <w:r>
        <w:rPr>
          <w:rFonts w:ascii="Arial" w:hAnsi="Arial" w:cs="Arial"/>
          <w:sz w:val="24"/>
          <w:szCs w:val="24"/>
        </w:rPr>
        <w:t>Goymour, A. (</w:t>
      </w:r>
      <w:r w:rsidR="0034277A">
        <w:rPr>
          <w:rFonts w:ascii="Arial" w:hAnsi="Arial" w:cs="Arial"/>
          <w:sz w:val="24"/>
          <w:szCs w:val="24"/>
        </w:rPr>
        <w:t>2008</w:t>
      </w:r>
      <w:r>
        <w:rPr>
          <w:rFonts w:ascii="Arial" w:hAnsi="Arial" w:cs="Arial"/>
          <w:sz w:val="24"/>
          <w:szCs w:val="24"/>
        </w:rPr>
        <w:t>)</w:t>
      </w:r>
      <w:r w:rsidR="0034277A">
        <w:rPr>
          <w:rFonts w:ascii="Arial" w:hAnsi="Arial" w:cs="Arial"/>
          <w:sz w:val="24"/>
          <w:szCs w:val="24"/>
        </w:rPr>
        <w:t xml:space="preserve"> ‘Easements, servitudes and the Right to Park’, </w:t>
      </w:r>
      <w:r w:rsidR="0034277A">
        <w:rPr>
          <w:rFonts w:ascii="Arial" w:hAnsi="Arial" w:cs="Arial"/>
          <w:i/>
          <w:iCs/>
          <w:sz w:val="24"/>
          <w:szCs w:val="24"/>
        </w:rPr>
        <w:t>The Cambridge Law Journal</w:t>
      </w:r>
      <w:r w:rsidR="008C165A">
        <w:rPr>
          <w:rFonts w:ascii="Arial" w:hAnsi="Arial" w:cs="Arial"/>
          <w:i/>
          <w:iCs/>
          <w:sz w:val="24"/>
          <w:szCs w:val="24"/>
        </w:rPr>
        <w:t xml:space="preserve">, </w:t>
      </w:r>
      <w:r w:rsidR="008C165A">
        <w:rPr>
          <w:rFonts w:ascii="Arial" w:hAnsi="Arial" w:cs="Arial"/>
          <w:sz w:val="24"/>
          <w:szCs w:val="24"/>
        </w:rPr>
        <w:t xml:space="preserve">67(1), pp. 20-23. Available at: </w:t>
      </w:r>
      <w:hyperlink r:id="rId11" w:history="1">
        <w:r w:rsidR="00A9756F" w:rsidRPr="003E749C">
          <w:rPr>
            <w:rStyle w:val="Hyperlink"/>
            <w:rFonts w:ascii="Arial" w:hAnsi="Arial" w:cs="Arial"/>
            <w:sz w:val="24"/>
            <w:szCs w:val="24"/>
          </w:rPr>
          <w:t>https://doi.org/10.1017/S0008197308000238</w:t>
        </w:r>
      </w:hyperlink>
      <w:r w:rsidR="00A9756F">
        <w:rPr>
          <w:rFonts w:ascii="Arial" w:hAnsi="Arial" w:cs="Arial"/>
          <w:sz w:val="24"/>
          <w:szCs w:val="24"/>
        </w:rPr>
        <w:t xml:space="preserve"> </w:t>
      </w:r>
      <w:r w:rsidR="00B44ABD">
        <w:rPr>
          <w:rFonts w:ascii="Arial" w:hAnsi="Arial" w:cs="Arial"/>
          <w:sz w:val="24"/>
          <w:szCs w:val="24"/>
        </w:rPr>
        <w:t>(Accessed on: 26</w:t>
      </w:r>
      <w:r w:rsidR="00B44ABD" w:rsidRPr="00B44ABD">
        <w:rPr>
          <w:rFonts w:ascii="Arial" w:hAnsi="Arial" w:cs="Arial"/>
          <w:sz w:val="24"/>
          <w:szCs w:val="24"/>
          <w:vertAlign w:val="superscript"/>
        </w:rPr>
        <w:t>th</w:t>
      </w:r>
      <w:r w:rsidR="00B44ABD">
        <w:rPr>
          <w:rFonts w:ascii="Arial" w:hAnsi="Arial" w:cs="Arial"/>
          <w:sz w:val="24"/>
          <w:szCs w:val="24"/>
        </w:rPr>
        <w:t xml:space="preserve"> October, 2021).</w:t>
      </w:r>
      <w:r>
        <w:rPr>
          <w:rFonts w:ascii="Arial" w:hAnsi="Arial" w:cs="Arial"/>
          <w:sz w:val="24"/>
          <w:szCs w:val="24"/>
        </w:rPr>
        <w:t xml:space="preserve"> </w:t>
      </w:r>
    </w:p>
    <w:p w14:paraId="7FDD9DBF" w14:textId="7AD7631F" w:rsidR="008275FA" w:rsidRDefault="008275FA" w:rsidP="00F75AD0">
      <w:pPr>
        <w:spacing w:line="480" w:lineRule="auto"/>
        <w:jc w:val="both"/>
        <w:rPr>
          <w:rFonts w:ascii="Arial" w:hAnsi="Arial" w:cs="Arial"/>
          <w:sz w:val="24"/>
          <w:szCs w:val="24"/>
        </w:rPr>
      </w:pPr>
      <w:r>
        <w:rPr>
          <w:rFonts w:ascii="Arial" w:hAnsi="Arial" w:cs="Arial"/>
          <w:sz w:val="24"/>
          <w:szCs w:val="24"/>
        </w:rPr>
        <w:t>Gray, K</w:t>
      </w:r>
      <w:r w:rsidR="001D3D49">
        <w:rPr>
          <w:rFonts w:ascii="Arial" w:hAnsi="Arial" w:cs="Arial"/>
          <w:sz w:val="24"/>
          <w:szCs w:val="24"/>
        </w:rPr>
        <w:t>., and Gray. S. F. (</w:t>
      </w:r>
      <w:r w:rsidR="00226242">
        <w:rPr>
          <w:rFonts w:ascii="Arial" w:hAnsi="Arial" w:cs="Arial"/>
          <w:sz w:val="24"/>
          <w:szCs w:val="24"/>
        </w:rPr>
        <w:t xml:space="preserve">2011) </w:t>
      </w:r>
      <w:r w:rsidR="00226242">
        <w:rPr>
          <w:rFonts w:ascii="Arial" w:hAnsi="Arial" w:cs="Arial"/>
          <w:i/>
          <w:iCs/>
          <w:sz w:val="24"/>
          <w:szCs w:val="24"/>
        </w:rPr>
        <w:t xml:space="preserve">Land Law. </w:t>
      </w:r>
      <w:r w:rsidR="00F91916">
        <w:rPr>
          <w:rFonts w:ascii="Arial" w:hAnsi="Arial" w:cs="Arial"/>
          <w:sz w:val="24"/>
          <w:szCs w:val="24"/>
        </w:rPr>
        <w:t>7</w:t>
      </w:r>
      <w:r w:rsidR="00F91916" w:rsidRPr="00F91916">
        <w:rPr>
          <w:rFonts w:ascii="Arial" w:hAnsi="Arial" w:cs="Arial"/>
          <w:sz w:val="24"/>
          <w:szCs w:val="24"/>
          <w:vertAlign w:val="superscript"/>
        </w:rPr>
        <w:t>th</w:t>
      </w:r>
      <w:r w:rsidR="00F91916">
        <w:rPr>
          <w:rFonts w:ascii="Arial" w:hAnsi="Arial" w:cs="Arial"/>
          <w:sz w:val="24"/>
          <w:szCs w:val="24"/>
        </w:rPr>
        <w:t xml:space="preserve"> Ed. </w:t>
      </w:r>
      <w:r w:rsidR="00226242">
        <w:rPr>
          <w:rFonts w:ascii="Arial" w:hAnsi="Arial" w:cs="Arial"/>
          <w:sz w:val="24"/>
          <w:szCs w:val="24"/>
        </w:rPr>
        <w:t>New York: Oxford University Press.</w:t>
      </w:r>
      <w:r w:rsidR="001D3D49">
        <w:rPr>
          <w:rFonts w:ascii="Arial" w:hAnsi="Arial" w:cs="Arial"/>
          <w:sz w:val="24"/>
          <w:szCs w:val="24"/>
        </w:rPr>
        <w:t xml:space="preserve"> </w:t>
      </w:r>
    </w:p>
    <w:p w14:paraId="34029858" w14:textId="6F4F502C" w:rsidR="003D445A" w:rsidRPr="008B4634" w:rsidRDefault="003D445A" w:rsidP="00F75AD0">
      <w:pPr>
        <w:spacing w:line="480" w:lineRule="auto"/>
        <w:jc w:val="both"/>
        <w:rPr>
          <w:rFonts w:ascii="Arial" w:hAnsi="Arial" w:cs="Arial"/>
          <w:sz w:val="24"/>
          <w:szCs w:val="24"/>
        </w:rPr>
      </w:pPr>
      <w:r>
        <w:rPr>
          <w:rFonts w:ascii="Arial" w:hAnsi="Arial" w:cs="Arial"/>
          <w:sz w:val="24"/>
          <w:szCs w:val="24"/>
        </w:rPr>
        <w:t>Harpum, C</w:t>
      </w:r>
      <w:r w:rsidR="008B4634">
        <w:rPr>
          <w:rFonts w:ascii="Arial" w:hAnsi="Arial" w:cs="Arial"/>
          <w:sz w:val="24"/>
          <w:szCs w:val="24"/>
        </w:rPr>
        <w:t xml:space="preserve">. (1992) ‘The Acquisition of easements’, </w:t>
      </w:r>
      <w:r w:rsidR="008B4634">
        <w:rPr>
          <w:rFonts w:ascii="Arial" w:hAnsi="Arial" w:cs="Arial"/>
          <w:i/>
          <w:iCs/>
          <w:sz w:val="24"/>
          <w:szCs w:val="24"/>
        </w:rPr>
        <w:t xml:space="preserve">The Cambridge Law Journal, </w:t>
      </w:r>
      <w:r w:rsidR="008B4634">
        <w:rPr>
          <w:rFonts w:ascii="Arial" w:hAnsi="Arial" w:cs="Arial"/>
          <w:sz w:val="24"/>
          <w:szCs w:val="24"/>
        </w:rPr>
        <w:t xml:space="preserve">51(2), pp. 220-223. Available at: </w:t>
      </w:r>
      <w:hyperlink r:id="rId12" w:history="1">
        <w:r w:rsidR="00271478" w:rsidRPr="003E749C">
          <w:rPr>
            <w:rStyle w:val="Hyperlink"/>
            <w:rFonts w:ascii="Arial" w:hAnsi="Arial" w:cs="Arial"/>
            <w:sz w:val="24"/>
            <w:szCs w:val="24"/>
          </w:rPr>
          <w:t>https://doi.org/10.1017/S0008197300095489</w:t>
        </w:r>
      </w:hyperlink>
      <w:r w:rsidR="00271478">
        <w:rPr>
          <w:rFonts w:ascii="Arial" w:hAnsi="Arial" w:cs="Arial"/>
          <w:sz w:val="24"/>
          <w:szCs w:val="24"/>
        </w:rPr>
        <w:t xml:space="preserve"> (Accessed on: 27</w:t>
      </w:r>
      <w:r w:rsidR="00271478" w:rsidRPr="00271478">
        <w:rPr>
          <w:rFonts w:ascii="Arial" w:hAnsi="Arial" w:cs="Arial"/>
          <w:sz w:val="24"/>
          <w:szCs w:val="24"/>
          <w:vertAlign w:val="superscript"/>
        </w:rPr>
        <w:t>th</w:t>
      </w:r>
      <w:r w:rsidR="00271478">
        <w:rPr>
          <w:rFonts w:ascii="Arial" w:hAnsi="Arial" w:cs="Arial"/>
          <w:sz w:val="24"/>
          <w:szCs w:val="24"/>
        </w:rPr>
        <w:t xml:space="preserve"> October, 2021).</w:t>
      </w:r>
    </w:p>
    <w:p w14:paraId="4D968D84" w14:textId="7783A1D2" w:rsidR="009D2CD3" w:rsidRDefault="009D2CD3" w:rsidP="00F75AD0">
      <w:pPr>
        <w:spacing w:line="480" w:lineRule="auto"/>
        <w:jc w:val="both"/>
        <w:rPr>
          <w:rFonts w:ascii="Arial" w:hAnsi="Arial" w:cs="Arial"/>
          <w:sz w:val="24"/>
          <w:szCs w:val="24"/>
        </w:rPr>
      </w:pPr>
      <w:r>
        <w:rPr>
          <w:rFonts w:ascii="Arial" w:hAnsi="Arial" w:cs="Arial"/>
          <w:sz w:val="24"/>
          <w:szCs w:val="24"/>
        </w:rPr>
        <w:lastRenderedPageBreak/>
        <w:t xml:space="preserve">Harris. P. (2019) </w:t>
      </w:r>
      <w:r>
        <w:rPr>
          <w:rFonts w:ascii="Arial" w:hAnsi="Arial" w:cs="Arial"/>
          <w:i/>
          <w:iCs/>
          <w:sz w:val="24"/>
          <w:szCs w:val="24"/>
        </w:rPr>
        <w:t>Car parking-a legal right?</w:t>
      </w:r>
      <w:r w:rsidR="00ED0144">
        <w:rPr>
          <w:rFonts w:ascii="Arial" w:hAnsi="Arial" w:cs="Arial"/>
          <w:i/>
          <w:iCs/>
          <w:sz w:val="24"/>
          <w:szCs w:val="24"/>
        </w:rPr>
        <w:t xml:space="preserve"> </w:t>
      </w:r>
      <w:r w:rsidR="00ED0144">
        <w:rPr>
          <w:rFonts w:ascii="Arial" w:hAnsi="Arial" w:cs="Arial"/>
          <w:sz w:val="24"/>
          <w:szCs w:val="24"/>
        </w:rPr>
        <w:t xml:space="preserve">Available at: </w:t>
      </w:r>
      <w:hyperlink r:id="rId13" w:history="1">
        <w:r w:rsidR="002E097F" w:rsidRPr="003E749C">
          <w:rPr>
            <w:rStyle w:val="Hyperlink"/>
            <w:rFonts w:ascii="Arial" w:hAnsi="Arial" w:cs="Arial"/>
            <w:sz w:val="24"/>
            <w:szCs w:val="24"/>
          </w:rPr>
          <w:t>https://www.hughes-paddison.co.uk/site/blog/commercial_property/car-parkinga-legal-right</w:t>
        </w:r>
      </w:hyperlink>
      <w:r w:rsidR="002E097F">
        <w:rPr>
          <w:rFonts w:ascii="Arial" w:hAnsi="Arial" w:cs="Arial"/>
          <w:sz w:val="24"/>
          <w:szCs w:val="24"/>
        </w:rPr>
        <w:t xml:space="preserve"> (Accessed on: 27</w:t>
      </w:r>
      <w:r w:rsidR="002E097F" w:rsidRPr="002E097F">
        <w:rPr>
          <w:rFonts w:ascii="Arial" w:hAnsi="Arial" w:cs="Arial"/>
          <w:sz w:val="24"/>
          <w:szCs w:val="24"/>
          <w:vertAlign w:val="superscript"/>
        </w:rPr>
        <w:t>th</w:t>
      </w:r>
      <w:r w:rsidR="002E097F">
        <w:rPr>
          <w:rFonts w:ascii="Arial" w:hAnsi="Arial" w:cs="Arial"/>
          <w:sz w:val="24"/>
          <w:szCs w:val="24"/>
        </w:rPr>
        <w:t xml:space="preserve"> October, 2021)</w:t>
      </w:r>
      <w:r w:rsidR="00367BFD">
        <w:rPr>
          <w:rFonts w:ascii="Arial" w:hAnsi="Arial" w:cs="Arial"/>
          <w:sz w:val="24"/>
          <w:szCs w:val="24"/>
        </w:rPr>
        <w:t>.</w:t>
      </w:r>
    </w:p>
    <w:p w14:paraId="0FE3E6A9" w14:textId="6598E6CC" w:rsidR="00054738" w:rsidRDefault="00054738" w:rsidP="00F75AD0">
      <w:pPr>
        <w:spacing w:line="480" w:lineRule="auto"/>
        <w:jc w:val="both"/>
        <w:rPr>
          <w:rFonts w:ascii="Arial" w:hAnsi="Arial" w:cs="Arial"/>
          <w:sz w:val="24"/>
          <w:szCs w:val="24"/>
        </w:rPr>
      </w:pPr>
      <w:r>
        <w:rPr>
          <w:rFonts w:ascii="Arial" w:hAnsi="Arial" w:cs="Arial"/>
          <w:sz w:val="24"/>
          <w:szCs w:val="24"/>
        </w:rPr>
        <w:t xml:space="preserve">HM Land Registry (2020) </w:t>
      </w:r>
      <w:r w:rsidR="00FB16F0">
        <w:rPr>
          <w:rFonts w:ascii="Arial" w:hAnsi="Arial" w:cs="Arial"/>
          <w:i/>
          <w:iCs/>
          <w:sz w:val="24"/>
          <w:szCs w:val="24"/>
        </w:rPr>
        <w:t xml:space="preserve">Practice guide 52: easements claimed by prescription. </w:t>
      </w:r>
      <w:r w:rsidR="00FB16F0">
        <w:rPr>
          <w:rFonts w:ascii="Arial" w:hAnsi="Arial" w:cs="Arial"/>
          <w:sz w:val="24"/>
          <w:szCs w:val="24"/>
        </w:rPr>
        <w:t>Available at:</w:t>
      </w:r>
      <w:r w:rsidR="003D73B6">
        <w:rPr>
          <w:rFonts w:ascii="Arial" w:hAnsi="Arial" w:cs="Arial"/>
          <w:sz w:val="24"/>
          <w:szCs w:val="24"/>
        </w:rPr>
        <w:t xml:space="preserve"> </w:t>
      </w:r>
      <w:hyperlink r:id="rId14" w:history="1">
        <w:r w:rsidR="007A1536" w:rsidRPr="003E749C">
          <w:rPr>
            <w:rStyle w:val="Hyperlink"/>
            <w:rFonts w:ascii="Arial" w:hAnsi="Arial" w:cs="Arial"/>
            <w:sz w:val="24"/>
            <w:szCs w:val="24"/>
          </w:rPr>
          <w:t>https://www.gov.uk/government/publications/easements-claimed-by-prescription/practice-guide-52-easements-claimed-by-prescription</w:t>
        </w:r>
      </w:hyperlink>
      <w:r w:rsidR="007A1536">
        <w:rPr>
          <w:rFonts w:ascii="Arial" w:hAnsi="Arial" w:cs="Arial"/>
          <w:sz w:val="24"/>
          <w:szCs w:val="24"/>
        </w:rPr>
        <w:t xml:space="preserve"> (Accessed on: 25</w:t>
      </w:r>
      <w:r w:rsidR="007A1536" w:rsidRPr="007A1536">
        <w:rPr>
          <w:rFonts w:ascii="Arial" w:hAnsi="Arial" w:cs="Arial"/>
          <w:sz w:val="24"/>
          <w:szCs w:val="24"/>
          <w:vertAlign w:val="superscript"/>
        </w:rPr>
        <w:t>th</w:t>
      </w:r>
      <w:r w:rsidR="007A1536">
        <w:rPr>
          <w:rFonts w:ascii="Arial" w:hAnsi="Arial" w:cs="Arial"/>
          <w:sz w:val="24"/>
          <w:szCs w:val="24"/>
        </w:rPr>
        <w:t xml:space="preserve"> October, 2021).</w:t>
      </w:r>
      <w:r w:rsidR="00FB16F0">
        <w:rPr>
          <w:rFonts w:ascii="Arial" w:hAnsi="Arial" w:cs="Arial"/>
          <w:sz w:val="24"/>
          <w:szCs w:val="24"/>
        </w:rPr>
        <w:t xml:space="preserve"> </w:t>
      </w:r>
    </w:p>
    <w:p w14:paraId="35DB0F27" w14:textId="74893DCB" w:rsidR="00FF69C5" w:rsidRPr="002709EF" w:rsidRDefault="00FF69C5" w:rsidP="00F75AD0">
      <w:pPr>
        <w:spacing w:line="480" w:lineRule="auto"/>
        <w:jc w:val="both"/>
        <w:rPr>
          <w:rFonts w:ascii="Arial" w:hAnsi="Arial" w:cs="Arial"/>
          <w:sz w:val="24"/>
          <w:szCs w:val="24"/>
        </w:rPr>
      </w:pPr>
      <w:r>
        <w:rPr>
          <w:rFonts w:ascii="Arial" w:hAnsi="Arial" w:cs="Arial"/>
          <w:sz w:val="24"/>
          <w:szCs w:val="24"/>
        </w:rPr>
        <w:t>Kloek, G. (</w:t>
      </w:r>
      <w:r w:rsidR="00BE058B">
        <w:rPr>
          <w:rFonts w:ascii="Arial" w:hAnsi="Arial" w:cs="Arial"/>
          <w:sz w:val="24"/>
          <w:szCs w:val="24"/>
        </w:rPr>
        <w:t xml:space="preserve">1944) ‘Assignability and Divisibility of Easements in Gross’, </w:t>
      </w:r>
      <w:r w:rsidR="002709EF">
        <w:rPr>
          <w:rFonts w:ascii="Arial" w:hAnsi="Arial" w:cs="Arial"/>
          <w:i/>
          <w:iCs/>
          <w:sz w:val="24"/>
          <w:szCs w:val="24"/>
        </w:rPr>
        <w:t xml:space="preserve">Chicago-Kent Law Review, </w:t>
      </w:r>
      <w:r w:rsidR="002709EF">
        <w:rPr>
          <w:rFonts w:ascii="Arial" w:hAnsi="Arial" w:cs="Arial"/>
          <w:sz w:val="24"/>
          <w:szCs w:val="24"/>
        </w:rPr>
        <w:t>22(4), pp.</w:t>
      </w:r>
      <w:r w:rsidR="00295F5C">
        <w:rPr>
          <w:rFonts w:ascii="Arial" w:hAnsi="Arial" w:cs="Arial"/>
          <w:sz w:val="24"/>
          <w:szCs w:val="24"/>
        </w:rPr>
        <w:t>239-260</w:t>
      </w:r>
      <w:r w:rsidR="005D08BD">
        <w:rPr>
          <w:rFonts w:ascii="Arial" w:hAnsi="Arial" w:cs="Arial"/>
          <w:sz w:val="24"/>
          <w:szCs w:val="24"/>
        </w:rPr>
        <w:t xml:space="preserve">. Available at: </w:t>
      </w:r>
      <w:hyperlink r:id="rId15" w:history="1">
        <w:r w:rsidR="0078779E" w:rsidRPr="003E749C">
          <w:rPr>
            <w:rStyle w:val="Hyperlink"/>
            <w:rFonts w:ascii="Arial" w:hAnsi="Arial" w:cs="Arial"/>
            <w:sz w:val="24"/>
            <w:szCs w:val="24"/>
          </w:rPr>
          <w:t>https://scholarship.kentlaw.iit.edu/cgi/viewcontent.cgi?article=1835&amp;context=cklawreview</w:t>
        </w:r>
      </w:hyperlink>
      <w:r w:rsidR="0078779E">
        <w:rPr>
          <w:rFonts w:ascii="Arial" w:hAnsi="Arial" w:cs="Arial"/>
          <w:sz w:val="24"/>
          <w:szCs w:val="24"/>
        </w:rPr>
        <w:t xml:space="preserve"> (Accessed on: </w:t>
      </w:r>
      <w:r w:rsidR="004A3CD9">
        <w:rPr>
          <w:rFonts w:ascii="Arial" w:hAnsi="Arial" w:cs="Arial"/>
          <w:sz w:val="24"/>
          <w:szCs w:val="24"/>
        </w:rPr>
        <w:t>26</w:t>
      </w:r>
      <w:r w:rsidR="004A3CD9" w:rsidRPr="004A3CD9">
        <w:rPr>
          <w:rFonts w:ascii="Arial" w:hAnsi="Arial" w:cs="Arial"/>
          <w:sz w:val="24"/>
          <w:szCs w:val="24"/>
          <w:vertAlign w:val="superscript"/>
        </w:rPr>
        <w:t>th</w:t>
      </w:r>
      <w:r w:rsidR="004A3CD9">
        <w:rPr>
          <w:rFonts w:ascii="Arial" w:hAnsi="Arial" w:cs="Arial"/>
          <w:sz w:val="24"/>
          <w:szCs w:val="24"/>
        </w:rPr>
        <w:t xml:space="preserve"> October, 2021).</w:t>
      </w:r>
    </w:p>
    <w:p w14:paraId="0BDD2CB0" w14:textId="760CD4AD" w:rsidR="006D2116" w:rsidRDefault="006D2116" w:rsidP="00F75AD0">
      <w:pPr>
        <w:spacing w:line="480" w:lineRule="auto"/>
        <w:jc w:val="both"/>
        <w:rPr>
          <w:rFonts w:ascii="Arial" w:hAnsi="Arial" w:cs="Arial"/>
          <w:sz w:val="24"/>
          <w:szCs w:val="24"/>
        </w:rPr>
      </w:pPr>
      <w:r>
        <w:rPr>
          <w:rFonts w:ascii="Arial" w:hAnsi="Arial" w:cs="Arial"/>
          <w:sz w:val="24"/>
          <w:szCs w:val="24"/>
        </w:rPr>
        <w:t xml:space="preserve">Lambillion, R. (2021) </w:t>
      </w:r>
      <w:r>
        <w:rPr>
          <w:rFonts w:ascii="Arial" w:hAnsi="Arial" w:cs="Arial"/>
          <w:i/>
          <w:iCs/>
          <w:sz w:val="24"/>
          <w:szCs w:val="24"/>
        </w:rPr>
        <w:t xml:space="preserve">What is an easement and how are they created and used? </w:t>
      </w:r>
      <w:r>
        <w:rPr>
          <w:rFonts w:ascii="Arial" w:hAnsi="Arial" w:cs="Arial"/>
          <w:sz w:val="24"/>
          <w:szCs w:val="24"/>
        </w:rPr>
        <w:t xml:space="preserve">Available at: </w:t>
      </w:r>
      <w:hyperlink r:id="rId16" w:history="1">
        <w:r w:rsidR="00C1348E" w:rsidRPr="00864C26">
          <w:rPr>
            <w:rStyle w:val="Hyperlink"/>
            <w:rFonts w:ascii="Arial" w:hAnsi="Arial" w:cs="Arial"/>
            <w:sz w:val="24"/>
            <w:szCs w:val="24"/>
          </w:rPr>
          <w:t>https://www.birketts.co.uk/insights/legal-updates/what-is-an-easement</w:t>
        </w:r>
      </w:hyperlink>
      <w:r w:rsidR="00C1348E">
        <w:rPr>
          <w:rFonts w:ascii="Arial" w:hAnsi="Arial" w:cs="Arial"/>
          <w:sz w:val="24"/>
          <w:szCs w:val="24"/>
        </w:rPr>
        <w:t xml:space="preserve"> (Accessed on: 25</w:t>
      </w:r>
      <w:r w:rsidR="00C1348E" w:rsidRPr="00C1348E">
        <w:rPr>
          <w:rFonts w:ascii="Arial" w:hAnsi="Arial" w:cs="Arial"/>
          <w:sz w:val="24"/>
          <w:szCs w:val="24"/>
          <w:vertAlign w:val="superscript"/>
        </w:rPr>
        <w:t>th</w:t>
      </w:r>
      <w:r w:rsidR="00C1348E">
        <w:rPr>
          <w:rFonts w:ascii="Arial" w:hAnsi="Arial" w:cs="Arial"/>
          <w:sz w:val="24"/>
          <w:szCs w:val="24"/>
        </w:rPr>
        <w:t xml:space="preserve"> October, 2021)</w:t>
      </w:r>
      <w:r w:rsidR="00367BFD">
        <w:rPr>
          <w:rFonts w:ascii="Arial" w:hAnsi="Arial" w:cs="Arial"/>
          <w:sz w:val="24"/>
          <w:szCs w:val="24"/>
        </w:rPr>
        <w:t>.</w:t>
      </w:r>
    </w:p>
    <w:p w14:paraId="02E6B5D1" w14:textId="50A8C7FB" w:rsidR="001A376B" w:rsidRDefault="001A376B" w:rsidP="00F75AD0">
      <w:pPr>
        <w:spacing w:line="480" w:lineRule="auto"/>
        <w:jc w:val="both"/>
        <w:rPr>
          <w:rFonts w:ascii="Arial" w:hAnsi="Arial" w:cs="Arial"/>
          <w:sz w:val="24"/>
          <w:szCs w:val="24"/>
        </w:rPr>
      </w:pPr>
      <w:r>
        <w:rPr>
          <w:rFonts w:ascii="Arial" w:hAnsi="Arial" w:cs="Arial"/>
          <w:sz w:val="24"/>
          <w:szCs w:val="24"/>
        </w:rPr>
        <w:t>Land Registry</w:t>
      </w:r>
      <w:r w:rsidR="00A2303D">
        <w:rPr>
          <w:rFonts w:ascii="Arial" w:hAnsi="Arial" w:cs="Arial"/>
          <w:sz w:val="24"/>
          <w:szCs w:val="24"/>
        </w:rPr>
        <w:t xml:space="preserve"> (2014) </w:t>
      </w:r>
      <w:r w:rsidR="00A2303D">
        <w:rPr>
          <w:rFonts w:ascii="Arial" w:hAnsi="Arial" w:cs="Arial"/>
          <w:i/>
          <w:iCs/>
          <w:sz w:val="24"/>
          <w:szCs w:val="24"/>
        </w:rPr>
        <w:t xml:space="preserve">Private Rights of Way. </w:t>
      </w:r>
      <w:r w:rsidR="00A2303D">
        <w:rPr>
          <w:rFonts w:ascii="Arial" w:hAnsi="Arial" w:cs="Arial"/>
          <w:sz w:val="24"/>
          <w:szCs w:val="24"/>
        </w:rPr>
        <w:t xml:space="preserve">Available at: </w:t>
      </w:r>
      <w:hyperlink r:id="rId17" w:history="1">
        <w:r w:rsidR="00AF647E" w:rsidRPr="003E749C">
          <w:rPr>
            <w:rStyle w:val="Hyperlink"/>
            <w:rFonts w:ascii="Arial" w:hAnsi="Arial" w:cs="Arial"/>
            <w:sz w:val="24"/>
            <w:szCs w:val="24"/>
          </w:rPr>
          <w:t>https://www.landregistry-titledeeds.co.uk/frequently-asked-questions/information/private-rights-of-way.asp</w:t>
        </w:r>
      </w:hyperlink>
      <w:r w:rsidR="00AF647E">
        <w:rPr>
          <w:rFonts w:ascii="Arial" w:hAnsi="Arial" w:cs="Arial"/>
          <w:sz w:val="24"/>
          <w:szCs w:val="24"/>
        </w:rPr>
        <w:t xml:space="preserve"> (Accessed on: 26</w:t>
      </w:r>
      <w:r w:rsidR="00AF647E" w:rsidRPr="00AF647E">
        <w:rPr>
          <w:rFonts w:ascii="Arial" w:hAnsi="Arial" w:cs="Arial"/>
          <w:sz w:val="24"/>
          <w:szCs w:val="24"/>
          <w:vertAlign w:val="superscript"/>
        </w:rPr>
        <w:t>th</w:t>
      </w:r>
      <w:r w:rsidR="00AF647E">
        <w:rPr>
          <w:rFonts w:ascii="Arial" w:hAnsi="Arial" w:cs="Arial"/>
          <w:sz w:val="24"/>
          <w:szCs w:val="24"/>
        </w:rPr>
        <w:t xml:space="preserve"> October, 2021)</w:t>
      </w:r>
      <w:r w:rsidR="00367BFD">
        <w:rPr>
          <w:rFonts w:ascii="Arial" w:hAnsi="Arial" w:cs="Arial"/>
          <w:sz w:val="24"/>
          <w:szCs w:val="24"/>
        </w:rPr>
        <w:t>.</w:t>
      </w:r>
    </w:p>
    <w:p w14:paraId="551AE212" w14:textId="6FDE36EE" w:rsidR="00B46F22" w:rsidRPr="00D82C70" w:rsidRDefault="00B46F22" w:rsidP="00F75AD0">
      <w:pPr>
        <w:spacing w:line="480" w:lineRule="auto"/>
        <w:jc w:val="both"/>
        <w:rPr>
          <w:rFonts w:ascii="Arial" w:hAnsi="Arial" w:cs="Arial"/>
          <w:sz w:val="24"/>
          <w:szCs w:val="24"/>
        </w:rPr>
      </w:pPr>
      <w:r>
        <w:rPr>
          <w:rFonts w:ascii="Arial" w:hAnsi="Arial" w:cs="Arial"/>
          <w:sz w:val="24"/>
          <w:szCs w:val="24"/>
        </w:rPr>
        <w:t xml:space="preserve">Law Commission (2011) </w:t>
      </w:r>
      <w:r w:rsidR="00C42AE4">
        <w:rPr>
          <w:rFonts w:ascii="Arial" w:hAnsi="Arial" w:cs="Arial"/>
          <w:i/>
          <w:iCs/>
          <w:sz w:val="24"/>
          <w:szCs w:val="24"/>
        </w:rPr>
        <w:t>Making Land Work: Easements, Covenants and Profits</w:t>
      </w:r>
      <w:r w:rsidR="00D82C70">
        <w:rPr>
          <w:rFonts w:ascii="Arial" w:hAnsi="Arial" w:cs="Arial"/>
          <w:i/>
          <w:iCs/>
          <w:sz w:val="24"/>
          <w:szCs w:val="24"/>
        </w:rPr>
        <w:t xml:space="preserve"> a Pendre.</w:t>
      </w:r>
      <w:r w:rsidR="00105E2A">
        <w:rPr>
          <w:rFonts w:ascii="Arial" w:hAnsi="Arial" w:cs="Arial"/>
          <w:i/>
          <w:iCs/>
          <w:sz w:val="24"/>
          <w:szCs w:val="24"/>
        </w:rPr>
        <w:t xml:space="preserve"> </w:t>
      </w:r>
      <w:r w:rsidR="007E63A3">
        <w:rPr>
          <w:rFonts w:ascii="Arial" w:hAnsi="Arial" w:cs="Arial"/>
          <w:sz w:val="24"/>
          <w:szCs w:val="24"/>
        </w:rPr>
        <w:t>Law Comm N</w:t>
      </w:r>
      <w:r w:rsidR="00105E2A">
        <w:rPr>
          <w:rFonts w:ascii="Arial" w:hAnsi="Arial" w:cs="Arial"/>
          <w:sz w:val="24"/>
          <w:szCs w:val="24"/>
        </w:rPr>
        <w:t>o 327.</w:t>
      </w:r>
      <w:r w:rsidR="00D82C70">
        <w:rPr>
          <w:rFonts w:ascii="Arial" w:hAnsi="Arial" w:cs="Arial"/>
          <w:i/>
          <w:iCs/>
          <w:sz w:val="24"/>
          <w:szCs w:val="24"/>
        </w:rPr>
        <w:t xml:space="preserve"> </w:t>
      </w:r>
      <w:r w:rsidR="00D82C70">
        <w:rPr>
          <w:rFonts w:ascii="Arial" w:hAnsi="Arial" w:cs="Arial"/>
          <w:sz w:val="24"/>
          <w:szCs w:val="24"/>
        </w:rPr>
        <w:t xml:space="preserve">Available at: </w:t>
      </w:r>
      <w:hyperlink r:id="rId18" w:history="1">
        <w:r w:rsidR="00F03DB0" w:rsidRPr="003E749C">
          <w:rPr>
            <w:rStyle w:val="Hyperlink"/>
            <w:rFonts w:ascii="Arial" w:hAnsi="Arial" w:cs="Arial"/>
            <w:sz w:val="24"/>
            <w:szCs w:val="24"/>
          </w:rPr>
          <w:t>http://www.lawcom.gov.uk/app/uploads/2015/03/lc327_easements_analysis_of_responses.pdf</w:t>
        </w:r>
      </w:hyperlink>
      <w:r w:rsidR="00F03DB0">
        <w:rPr>
          <w:rFonts w:ascii="Arial" w:hAnsi="Arial" w:cs="Arial"/>
          <w:sz w:val="24"/>
          <w:szCs w:val="24"/>
        </w:rPr>
        <w:t xml:space="preserve"> </w:t>
      </w:r>
      <w:r w:rsidR="00105E2A">
        <w:rPr>
          <w:rFonts w:ascii="Arial" w:hAnsi="Arial" w:cs="Arial"/>
          <w:sz w:val="24"/>
          <w:szCs w:val="24"/>
        </w:rPr>
        <w:t>(Accessed on: 27</w:t>
      </w:r>
      <w:r w:rsidR="00105E2A" w:rsidRPr="00105E2A">
        <w:rPr>
          <w:rFonts w:ascii="Arial" w:hAnsi="Arial" w:cs="Arial"/>
          <w:sz w:val="24"/>
          <w:szCs w:val="24"/>
          <w:vertAlign w:val="superscript"/>
        </w:rPr>
        <w:t>th</w:t>
      </w:r>
      <w:r w:rsidR="00105E2A">
        <w:rPr>
          <w:rFonts w:ascii="Arial" w:hAnsi="Arial" w:cs="Arial"/>
          <w:sz w:val="24"/>
          <w:szCs w:val="24"/>
        </w:rPr>
        <w:t xml:space="preserve"> October, 2021)</w:t>
      </w:r>
      <w:r w:rsidR="00367BFD">
        <w:rPr>
          <w:rFonts w:ascii="Arial" w:hAnsi="Arial" w:cs="Arial"/>
          <w:sz w:val="24"/>
          <w:szCs w:val="24"/>
        </w:rPr>
        <w:t>.</w:t>
      </w:r>
    </w:p>
    <w:p w14:paraId="734C5E2C" w14:textId="279D7539" w:rsidR="002D7A03" w:rsidRDefault="00E17AE4" w:rsidP="00F75AD0">
      <w:pPr>
        <w:spacing w:line="480" w:lineRule="auto"/>
        <w:jc w:val="both"/>
        <w:rPr>
          <w:rFonts w:ascii="Arial" w:hAnsi="Arial" w:cs="Arial"/>
          <w:sz w:val="24"/>
          <w:szCs w:val="24"/>
        </w:rPr>
      </w:pPr>
      <w:r>
        <w:rPr>
          <w:rFonts w:ascii="Arial" w:hAnsi="Arial" w:cs="Arial"/>
          <w:sz w:val="24"/>
          <w:szCs w:val="24"/>
        </w:rPr>
        <w:t>Law of Property Act</w:t>
      </w:r>
      <w:r w:rsidR="00E90BE5">
        <w:rPr>
          <w:rFonts w:ascii="Arial" w:hAnsi="Arial" w:cs="Arial"/>
          <w:sz w:val="24"/>
          <w:szCs w:val="24"/>
        </w:rPr>
        <w:t xml:space="preserve"> 1925,</w:t>
      </w:r>
      <w:r w:rsidR="00596A4A">
        <w:rPr>
          <w:rFonts w:ascii="Arial" w:hAnsi="Arial" w:cs="Arial"/>
          <w:sz w:val="24"/>
          <w:szCs w:val="24"/>
        </w:rPr>
        <w:t xml:space="preserve"> Her Majesty’s Stationery Office (The Stationery Office); London.</w:t>
      </w:r>
    </w:p>
    <w:p w14:paraId="22947253" w14:textId="2FA6125B" w:rsidR="00CB24AE" w:rsidRPr="00CB24AE" w:rsidRDefault="00CB24AE" w:rsidP="00F75AD0">
      <w:pPr>
        <w:spacing w:line="480" w:lineRule="auto"/>
        <w:jc w:val="both"/>
        <w:rPr>
          <w:rFonts w:ascii="Arial" w:hAnsi="Arial" w:cs="Arial"/>
          <w:sz w:val="24"/>
          <w:szCs w:val="24"/>
        </w:rPr>
      </w:pPr>
      <w:r>
        <w:rPr>
          <w:rFonts w:ascii="Arial" w:hAnsi="Arial" w:cs="Arial"/>
          <w:sz w:val="24"/>
          <w:szCs w:val="24"/>
        </w:rPr>
        <w:lastRenderedPageBreak/>
        <w:t xml:space="preserve">McKinney, O. (2020) </w:t>
      </w:r>
      <w:r>
        <w:rPr>
          <w:rFonts w:ascii="Arial" w:hAnsi="Arial" w:cs="Arial"/>
          <w:i/>
          <w:iCs/>
          <w:sz w:val="24"/>
          <w:szCs w:val="24"/>
        </w:rPr>
        <w:t xml:space="preserve">A Guide to Easements. </w:t>
      </w:r>
      <w:r>
        <w:rPr>
          <w:rFonts w:ascii="Arial" w:hAnsi="Arial" w:cs="Arial"/>
          <w:sz w:val="24"/>
          <w:szCs w:val="24"/>
        </w:rPr>
        <w:t xml:space="preserve">Available at: </w:t>
      </w:r>
      <w:hyperlink r:id="rId19" w:history="1">
        <w:r w:rsidR="000368B0" w:rsidRPr="003E749C">
          <w:rPr>
            <w:rStyle w:val="Hyperlink"/>
            <w:rFonts w:ascii="Arial" w:hAnsi="Arial" w:cs="Arial"/>
            <w:sz w:val="24"/>
            <w:szCs w:val="24"/>
          </w:rPr>
          <w:t>https://www.frettens.co.uk/site/library/frettensnews/a-guide-to-easements-solicitors-bournemouth</w:t>
        </w:r>
      </w:hyperlink>
      <w:r w:rsidR="000368B0">
        <w:rPr>
          <w:rFonts w:ascii="Arial" w:hAnsi="Arial" w:cs="Arial"/>
          <w:sz w:val="24"/>
          <w:szCs w:val="24"/>
        </w:rPr>
        <w:t xml:space="preserve"> (Accessed on: 25</w:t>
      </w:r>
      <w:r w:rsidR="000368B0" w:rsidRPr="000368B0">
        <w:rPr>
          <w:rFonts w:ascii="Arial" w:hAnsi="Arial" w:cs="Arial"/>
          <w:sz w:val="24"/>
          <w:szCs w:val="24"/>
          <w:vertAlign w:val="superscript"/>
        </w:rPr>
        <w:t>th</w:t>
      </w:r>
      <w:r w:rsidR="000368B0">
        <w:rPr>
          <w:rFonts w:ascii="Arial" w:hAnsi="Arial" w:cs="Arial"/>
          <w:sz w:val="24"/>
          <w:szCs w:val="24"/>
        </w:rPr>
        <w:t xml:space="preserve"> October, 2021)</w:t>
      </w:r>
      <w:r w:rsidR="00367BFD">
        <w:rPr>
          <w:rFonts w:ascii="Arial" w:hAnsi="Arial" w:cs="Arial"/>
          <w:sz w:val="24"/>
          <w:szCs w:val="24"/>
        </w:rPr>
        <w:t>.</w:t>
      </w:r>
    </w:p>
    <w:p w14:paraId="1A865DFF" w14:textId="7D14DDAA" w:rsidR="007A2D08" w:rsidRPr="004A6CD1" w:rsidRDefault="007A2D08" w:rsidP="00F75AD0">
      <w:pPr>
        <w:spacing w:line="480" w:lineRule="auto"/>
        <w:jc w:val="both"/>
        <w:rPr>
          <w:rFonts w:ascii="Arial" w:hAnsi="Arial" w:cs="Arial"/>
          <w:sz w:val="24"/>
          <w:szCs w:val="24"/>
        </w:rPr>
      </w:pPr>
      <w:r>
        <w:rPr>
          <w:rFonts w:ascii="Arial" w:hAnsi="Arial" w:cs="Arial"/>
          <w:sz w:val="24"/>
          <w:szCs w:val="24"/>
        </w:rPr>
        <w:t>Pattison, L. (</w:t>
      </w:r>
      <w:r w:rsidR="005E4308">
        <w:rPr>
          <w:rFonts w:ascii="Arial" w:hAnsi="Arial" w:cs="Arial"/>
          <w:sz w:val="24"/>
          <w:szCs w:val="24"/>
        </w:rPr>
        <w:t xml:space="preserve">2019) </w:t>
      </w:r>
      <w:r w:rsidR="005E4308" w:rsidRPr="002F3039">
        <w:rPr>
          <w:rFonts w:ascii="Arial" w:hAnsi="Arial" w:cs="Arial"/>
          <w:i/>
          <w:iCs/>
          <w:sz w:val="24"/>
          <w:szCs w:val="24"/>
        </w:rPr>
        <w:t>Easements:</w:t>
      </w:r>
      <w:r w:rsidR="002F3039">
        <w:rPr>
          <w:rFonts w:ascii="Arial" w:hAnsi="Arial" w:cs="Arial"/>
          <w:i/>
          <w:iCs/>
          <w:sz w:val="24"/>
          <w:szCs w:val="24"/>
        </w:rPr>
        <w:t xml:space="preserve"> the essen</w:t>
      </w:r>
      <w:r w:rsidR="00731DE0">
        <w:rPr>
          <w:rFonts w:ascii="Arial" w:hAnsi="Arial" w:cs="Arial"/>
          <w:i/>
          <w:iCs/>
          <w:sz w:val="24"/>
          <w:szCs w:val="24"/>
        </w:rPr>
        <w:t xml:space="preserve">tial characteristics and the decision in Regency Villas Titles Ltd and others v Diamond Resorts (Europe) Ltd and others. </w:t>
      </w:r>
      <w:r w:rsidR="004A6CD1">
        <w:rPr>
          <w:rFonts w:ascii="Arial" w:hAnsi="Arial" w:cs="Arial"/>
          <w:sz w:val="24"/>
          <w:szCs w:val="24"/>
        </w:rPr>
        <w:t xml:space="preserve">Available at: </w:t>
      </w:r>
      <w:hyperlink r:id="rId20" w:history="1">
        <w:r w:rsidR="004A6CD1" w:rsidRPr="00864C26">
          <w:rPr>
            <w:rStyle w:val="Hyperlink"/>
            <w:rFonts w:ascii="Arial" w:hAnsi="Arial" w:cs="Arial"/>
            <w:sz w:val="24"/>
            <w:szCs w:val="24"/>
          </w:rPr>
          <w:t>https://www.lawsblog.london.ac.uk/wp-content/uploads/2019/04/transcript-5.pdf</w:t>
        </w:r>
      </w:hyperlink>
      <w:r w:rsidR="004A6CD1">
        <w:rPr>
          <w:rFonts w:ascii="Arial" w:hAnsi="Arial" w:cs="Arial"/>
          <w:sz w:val="24"/>
          <w:szCs w:val="24"/>
        </w:rPr>
        <w:t xml:space="preserve"> </w:t>
      </w:r>
      <w:r w:rsidR="00613ADA">
        <w:rPr>
          <w:rFonts w:ascii="Arial" w:hAnsi="Arial" w:cs="Arial"/>
          <w:sz w:val="24"/>
          <w:szCs w:val="24"/>
        </w:rPr>
        <w:t>(Accessed on: 26</w:t>
      </w:r>
      <w:r w:rsidR="00613ADA" w:rsidRPr="00613ADA">
        <w:rPr>
          <w:rFonts w:ascii="Arial" w:hAnsi="Arial" w:cs="Arial"/>
          <w:sz w:val="24"/>
          <w:szCs w:val="24"/>
          <w:vertAlign w:val="superscript"/>
        </w:rPr>
        <w:t>th</w:t>
      </w:r>
      <w:r w:rsidR="00613ADA">
        <w:rPr>
          <w:rFonts w:ascii="Arial" w:hAnsi="Arial" w:cs="Arial"/>
          <w:sz w:val="24"/>
          <w:szCs w:val="24"/>
        </w:rPr>
        <w:t xml:space="preserve"> October, 2021)</w:t>
      </w:r>
      <w:r w:rsidR="00367BFD">
        <w:rPr>
          <w:rFonts w:ascii="Arial" w:hAnsi="Arial" w:cs="Arial"/>
          <w:sz w:val="24"/>
          <w:szCs w:val="24"/>
        </w:rPr>
        <w:t>.</w:t>
      </w:r>
    </w:p>
    <w:p w14:paraId="3BBE09A8" w14:textId="4C55B194" w:rsidR="002C7096" w:rsidRDefault="002C7096" w:rsidP="00F75AD0">
      <w:pPr>
        <w:spacing w:line="480" w:lineRule="auto"/>
        <w:jc w:val="both"/>
        <w:rPr>
          <w:rFonts w:ascii="Arial" w:hAnsi="Arial" w:cs="Arial"/>
          <w:sz w:val="24"/>
          <w:szCs w:val="24"/>
        </w:rPr>
      </w:pPr>
      <w:r>
        <w:rPr>
          <w:rFonts w:ascii="Arial" w:hAnsi="Arial" w:cs="Arial"/>
          <w:sz w:val="24"/>
          <w:szCs w:val="24"/>
        </w:rPr>
        <w:t xml:space="preserve">Prescription Act </w:t>
      </w:r>
      <w:r w:rsidR="00D84137">
        <w:rPr>
          <w:rFonts w:ascii="Arial" w:hAnsi="Arial" w:cs="Arial"/>
          <w:sz w:val="24"/>
          <w:szCs w:val="24"/>
        </w:rPr>
        <w:t>1832, Her Majesty’s Stationery Office (The Stationery Office); London.</w:t>
      </w:r>
    </w:p>
    <w:p w14:paraId="363D6F5C" w14:textId="5EA6C52D" w:rsidR="006957BB" w:rsidRDefault="006957BB" w:rsidP="00F75AD0">
      <w:pPr>
        <w:spacing w:line="480" w:lineRule="auto"/>
        <w:jc w:val="both"/>
        <w:rPr>
          <w:rFonts w:ascii="Arial" w:hAnsi="Arial" w:cs="Arial"/>
          <w:sz w:val="24"/>
          <w:szCs w:val="24"/>
        </w:rPr>
      </w:pPr>
      <w:r>
        <w:rPr>
          <w:rFonts w:ascii="Arial" w:hAnsi="Arial" w:cs="Arial"/>
          <w:sz w:val="24"/>
          <w:szCs w:val="24"/>
        </w:rPr>
        <w:t>Richards, P. (</w:t>
      </w:r>
      <w:r w:rsidR="007102B3">
        <w:rPr>
          <w:rFonts w:ascii="Arial" w:hAnsi="Arial" w:cs="Arial"/>
          <w:sz w:val="24"/>
          <w:szCs w:val="24"/>
        </w:rPr>
        <w:t>2014</w:t>
      </w:r>
      <w:r>
        <w:rPr>
          <w:rFonts w:ascii="Arial" w:hAnsi="Arial" w:cs="Arial"/>
          <w:sz w:val="24"/>
          <w:szCs w:val="24"/>
        </w:rPr>
        <w:t xml:space="preserve">) </w:t>
      </w:r>
      <w:r>
        <w:rPr>
          <w:rFonts w:ascii="Arial" w:hAnsi="Arial" w:cs="Arial"/>
          <w:i/>
          <w:iCs/>
          <w:sz w:val="24"/>
          <w:szCs w:val="24"/>
        </w:rPr>
        <w:t xml:space="preserve">Land Law. </w:t>
      </w:r>
      <w:r w:rsidR="00DE79C3">
        <w:rPr>
          <w:rFonts w:ascii="Arial" w:hAnsi="Arial" w:cs="Arial"/>
          <w:sz w:val="24"/>
          <w:szCs w:val="24"/>
        </w:rPr>
        <w:t>1</w:t>
      </w:r>
      <w:r w:rsidR="00DE79C3" w:rsidRPr="00DE79C3">
        <w:rPr>
          <w:rFonts w:ascii="Arial" w:hAnsi="Arial" w:cs="Arial"/>
          <w:sz w:val="24"/>
          <w:szCs w:val="24"/>
          <w:vertAlign w:val="superscript"/>
        </w:rPr>
        <w:t>st</w:t>
      </w:r>
      <w:r w:rsidR="00DE79C3">
        <w:rPr>
          <w:rFonts w:ascii="Arial" w:hAnsi="Arial" w:cs="Arial"/>
          <w:sz w:val="24"/>
          <w:szCs w:val="24"/>
        </w:rPr>
        <w:t xml:space="preserve"> Ed. </w:t>
      </w:r>
      <w:r w:rsidR="00991AB1">
        <w:rPr>
          <w:rFonts w:ascii="Arial" w:hAnsi="Arial" w:cs="Arial"/>
          <w:sz w:val="24"/>
          <w:szCs w:val="24"/>
        </w:rPr>
        <w:t>United Kingdom</w:t>
      </w:r>
      <w:r w:rsidR="007102B3">
        <w:rPr>
          <w:rFonts w:ascii="Arial" w:hAnsi="Arial" w:cs="Arial"/>
          <w:sz w:val="24"/>
          <w:szCs w:val="24"/>
        </w:rPr>
        <w:t>:</w:t>
      </w:r>
      <w:r w:rsidR="00991AB1">
        <w:rPr>
          <w:rFonts w:ascii="Arial" w:hAnsi="Arial" w:cs="Arial"/>
          <w:sz w:val="24"/>
          <w:szCs w:val="24"/>
        </w:rPr>
        <w:t xml:space="preserve"> Pearson.</w:t>
      </w:r>
    </w:p>
    <w:p w14:paraId="3EE73566" w14:textId="319F1D57" w:rsidR="007955BE" w:rsidRPr="00C57B6C" w:rsidRDefault="007955BE" w:rsidP="00F75AD0">
      <w:pPr>
        <w:spacing w:line="480" w:lineRule="auto"/>
        <w:jc w:val="both"/>
        <w:rPr>
          <w:rFonts w:ascii="Arial" w:hAnsi="Arial" w:cs="Arial"/>
          <w:sz w:val="24"/>
          <w:szCs w:val="24"/>
        </w:rPr>
      </w:pPr>
      <w:r>
        <w:rPr>
          <w:rFonts w:ascii="Arial" w:hAnsi="Arial" w:cs="Arial"/>
          <w:sz w:val="24"/>
          <w:szCs w:val="24"/>
        </w:rPr>
        <w:t xml:space="preserve">Robinson, L. (2019) </w:t>
      </w:r>
      <w:r>
        <w:rPr>
          <w:rFonts w:ascii="Arial" w:hAnsi="Arial" w:cs="Arial"/>
          <w:i/>
          <w:iCs/>
          <w:sz w:val="24"/>
          <w:szCs w:val="24"/>
        </w:rPr>
        <w:t xml:space="preserve">Easements. </w:t>
      </w:r>
      <w:r w:rsidR="00C57B6C">
        <w:rPr>
          <w:rFonts w:ascii="Arial" w:hAnsi="Arial" w:cs="Arial"/>
          <w:sz w:val="24"/>
          <w:szCs w:val="24"/>
        </w:rPr>
        <w:t xml:space="preserve">Available at: </w:t>
      </w:r>
      <w:hyperlink r:id="rId21" w:history="1">
        <w:r w:rsidR="00C57B6C" w:rsidRPr="003E749C">
          <w:rPr>
            <w:rStyle w:val="Hyperlink"/>
            <w:rFonts w:ascii="Arial" w:hAnsi="Arial" w:cs="Arial"/>
            <w:sz w:val="24"/>
            <w:szCs w:val="24"/>
          </w:rPr>
          <w:t>https://www.bateswells.co.uk/wp-content/uploads/2019/ob/bwb-pu-easements-oct13-pdf.pdf</w:t>
        </w:r>
      </w:hyperlink>
      <w:r w:rsidR="00C57B6C">
        <w:rPr>
          <w:rFonts w:ascii="Arial" w:hAnsi="Arial" w:cs="Arial"/>
          <w:sz w:val="24"/>
          <w:szCs w:val="24"/>
        </w:rPr>
        <w:t xml:space="preserve"> (Accessed on: </w:t>
      </w:r>
      <w:r w:rsidR="002E342D">
        <w:rPr>
          <w:rFonts w:ascii="Arial" w:hAnsi="Arial" w:cs="Arial"/>
          <w:sz w:val="24"/>
          <w:szCs w:val="24"/>
        </w:rPr>
        <w:t>25</w:t>
      </w:r>
      <w:r w:rsidR="002E342D" w:rsidRPr="002E342D">
        <w:rPr>
          <w:rFonts w:ascii="Arial" w:hAnsi="Arial" w:cs="Arial"/>
          <w:sz w:val="24"/>
          <w:szCs w:val="24"/>
          <w:vertAlign w:val="superscript"/>
        </w:rPr>
        <w:t>th</w:t>
      </w:r>
      <w:r w:rsidR="002E342D">
        <w:rPr>
          <w:rFonts w:ascii="Arial" w:hAnsi="Arial" w:cs="Arial"/>
          <w:sz w:val="24"/>
          <w:szCs w:val="24"/>
        </w:rPr>
        <w:t xml:space="preserve"> October, 2021).</w:t>
      </w:r>
    </w:p>
    <w:p w14:paraId="1F084382" w14:textId="0FD6CBD4" w:rsidR="00C934A5" w:rsidRPr="00A4410C" w:rsidRDefault="00C934A5" w:rsidP="00F75AD0">
      <w:pPr>
        <w:spacing w:line="480" w:lineRule="auto"/>
        <w:jc w:val="both"/>
        <w:rPr>
          <w:rFonts w:ascii="Arial" w:hAnsi="Arial" w:cs="Arial"/>
          <w:sz w:val="24"/>
          <w:szCs w:val="24"/>
        </w:rPr>
      </w:pPr>
      <w:r>
        <w:rPr>
          <w:rFonts w:ascii="Arial" w:hAnsi="Arial" w:cs="Arial"/>
          <w:sz w:val="24"/>
          <w:szCs w:val="24"/>
        </w:rPr>
        <w:t xml:space="preserve">Rouse, M. (2014) </w:t>
      </w:r>
      <w:r w:rsidR="00A4410C">
        <w:rPr>
          <w:rFonts w:ascii="Arial" w:hAnsi="Arial" w:cs="Arial"/>
          <w:i/>
          <w:iCs/>
          <w:sz w:val="24"/>
          <w:szCs w:val="24"/>
        </w:rPr>
        <w:t xml:space="preserve">Claiming a right of way by prescription. </w:t>
      </w:r>
      <w:r w:rsidR="00A4410C">
        <w:rPr>
          <w:rFonts w:ascii="Arial" w:hAnsi="Arial" w:cs="Arial"/>
          <w:sz w:val="24"/>
          <w:szCs w:val="24"/>
        </w:rPr>
        <w:t xml:space="preserve">Available at: </w:t>
      </w:r>
      <w:hyperlink r:id="rId22" w:history="1">
        <w:r w:rsidR="00A4410C" w:rsidRPr="003E749C">
          <w:rPr>
            <w:rStyle w:val="Hyperlink"/>
            <w:rFonts w:ascii="Arial" w:hAnsi="Arial" w:cs="Arial"/>
            <w:sz w:val="24"/>
            <w:szCs w:val="24"/>
          </w:rPr>
          <w:t>https://www.wrighthassall.co.uk/knowledge-base/claiming-a-right-of-way-by-prescription</w:t>
        </w:r>
      </w:hyperlink>
      <w:r w:rsidR="00A4410C">
        <w:rPr>
          <w:rFonts w:ascii="Arial" w:hAnsi="Arial" w:cs="Arial"/>
          <w:sz w:val="24"/>
          <w:szCs w:val="24"/>
        </w:rPr>
        <w:t xml:space="preserve"> (Accessed on: </w:t>
      </w:r>
      <w:r w:rsidR="00D574CD">
        <w:rPr>
          <w:rFonts w:ascii="Arial" w:hAnsi="Arial" w:cs="Arial"/>
          <w:sz w:val="24"/>
          <w:szCs w:val="24"/>
        </w:rPr>
        <w:t>26</w:t>
      </w:r>
      <w:r w:rsidR="00D574CD" w:rsidRPr="00D574CD">
        <w:rPr>
          <w:rFonts w:ascii="Arial" w:hAnsi="Arial" w:cs="Arial"/>
          <w:sz w:val="24"/>
          <w:szCs w:val="24"/>
          <w:vertAlign w:val="superscript"/>
        </w:rPr>
        <w:t>th</w:t>
      </w:r>
      <w:r w:rsidR="00D574CD">
        <w:rPr>
          <w:rFonts w:ascii="Arial" w:hAnsi="Arial" w:cs="Arial"/>
          <w:sz w:val="24"/>
          <w:szCs w:val="24"/>
        </w:rPr>
        <w:t xml:space="preserve"> October, 2021)</w:t>
      </w:r>
      <w:r w:rsidR="007D3E31">
        <w:rPr>
          <w:rFonts w:ascii="Arial" w:hAnsi="Arial" w:cs="Arial"/>
          <w:sz w:val="24"/>
          <w:szCs w:val="24"/>
        </w:rPr>
        <w:t>.</w:t>
      </w:r>
    </w:p>
    <w:p w14:paraId="12171746" w14:textId="700245FC" w:rsidR="007E4AAC" w:rsidRDefault="00FF1B8E" w:rsidP="00F75AD0">
      <w:pPr>
        <w:spacing w:line="480" w:lineRule="auto"/>
        <w:jc w:val="both"/>
        <w:rPr>
          <w:rFonts w:ascii="Arial" w:hAnsi="Arial" w:cs="Arial"/>
          <w:sz w:val="24"/>
          <w:szCs w:val="24"/>
        </w:rPr>
      </w:pPr>
      <w:r>
        <w:rPr>
          <w:rFonts w:ascii="Arial" w:hAnsi="Arial" w:cs="Arial"/>
          <w:sz w:val="24"/>
          <w:szCs w:val="24"/>
        </w:rPr>
        <w:t>S</w:t>
      </w:r>
      <w:r w:rsidR="00C65AFB">
        <w:rPr>
          <w:rFonts w:ascii="Arial" w:hAnsi="Arial" w:cs="Arial"/>
          <w:sz w:val="24"/>
          <w:szCs w:val="24"/>
        </w:rPr>
        <w:t xml:space="preserve">ayles, V. (2020) </w:t>
      </w:r>
      <w:r w:rsidR="00C65AFB">
        <w:rPr>
          <w:rFonts w:ascii="Arial" w:hAnsi="Arial" w:cs="Arial"/>
          <w:i/>
          <w:iCs/>
          <w:sz w:val="24"/>
          <w:szCs w:val="24"/>
        </w:rPr>
        <w:t xml:space="preserve">Land Law. </w:t>
      </w:r>
      <w:r w:rsidR="004A5200">
        <w:rPr>
          <w:rFonts w:ascii="Arial" w:hAnsi="Arial" w:cs="Arial"/>
          <w:sz w:val="24"/>
          <w:szCs w:val="24"/>
        </w:rPr>
        <w:t>7</w:t>
      </w:r>
      <w:r w:rsidR="004A5200" w:rsidRPr="004A5200">
        <w:rPr>
          <w:rFonts w:ascii="Arial" w:hAnsi="Arial" w:cs="Arial"/>
          <w:sz w:val="24"/>
          <w:szCs w:val="24"/>
          <w:vertAlign w:val="superscript"/>
        </w:rPr>
        <w:t>th</w:t>
      </w:r>
      <w:r w:rsidR="004A5200">
        <w:rPr>
          <w:rFonts w:ascii="Arial" w:hAnsi="Arial" w:cs="Arial"/>
          <w:sz w:val="24"/>
          <w:szCs w:val="24"/>
        </w:rPr>
        <w:t xml:space="preserve"> Ed. </w:t>
      </w:r>
      <w:r w:rsidR="008275FA">
        <w:rPr>
          <w:rFonts w:ascii="Arial" w:hAnsi="Arial" w:cs="Arial"/>
          <w:sz w:val="24"/>
          <w:szCs w:val="24"/>
        </w:rPr>
        <w:t>New York: Oxford University Press.</w:t>
      </w:r>
    </w:p>
    <w:p w14:paraId="2243C252" w14:textId="44FF15F6" w:rsidR="00DF105E" w:rsidRPr="006B4982" w:rsidRDefault="00DF105E" w:rsidP="00F75AD0">
      <w:pPr>
        <w:spacing w:line="480" w:lineRule="auto"/>
        <w:jc w:val="both"/>
        <w:rPr>
          <w:rFonts w:ascii="Arial" w:hAnsi="Arial" w:cs="Arial"/>
          <w:sz w:val="24"/>
          <w:szCs w:val="24"/>
        </w:rPr>
      </w:pPr>
      <w:r>
        <w:rPr>
          <w:rFonts w:ascii="Arial" w:hAnsi="Arial" w:cs="Arial"/>
          <w:sz w:val="24"/>
          <w:szCs w:val="24"/>
        </w:rPr>
        <w:t xml:space="preserve">Stroud, A. (2013) </w:t>
      </w:r>
      <w:r w:rsidR="006B4982">
        <w:rPr>
          <w:rFonts w:ascii="Arial" w:hAnsi="Arial" w:cs="Arial"/>
          <w:i/>
          <w:iCs/>
          <w:sz w:val="24"/>
          <w:szCs w:val="24"/>
        </w:rPr>
        <w:t xml:space="preserve">Making Sense of Land Law. </w:t>
      </w:r>
      <w:r w:rsidR="00BB65DD">
        <w:rPr>
          <w:rFonts w:ascii="Arial" w:hAnsi="Arial" w:cs="Arial"/>
          <w:sz w:val="24"/>
          <w:szCs w:val="24"/>
        </w:rPr>
        <w:t>4</w:t>
      </w:r>
      <w:r w:rsidR="00BB65DD" w:rsidRPr="00BB65DD">
        <w:rPr>
          <w:rFonts w:ascii="Arial" w:hAnsi="Arial" w:cs="Arial"/>
          <w:sz w:val="24"/>
          <w:szCs w:val="24"/>
          <w:vertAlign w:val="superscript"/>
        </w:rPr>
        <w:t>th</w:t>
      </w:r>
      <w:r w:rsidR="00BB65DD">
        <w:rPr>
          <w:rFonts w:ascii="Arial" w:hAnsi="Arial" w:cs="Arial"/>
          <w:sz w:val="24"/>
          <w:szCs w:val="24"/>
        </w:rPr>
        <w:t xml:space="preserve"> Ed. </w:t>
      </w:r>
      <w:r w:rsidR="005533D7">
        <w:rPr>
          <w:rFonts w:ascii="Arial" w:hAnsi="Arial" w:cs="Arial"/>
          <w:sz w:val="24"/>
          <w:szCs w:val="24"/>
        </w:rPr>
        <w:t>United Kin</w:t>
      </w:r>
      <w:r w:rsidR="004033C0">
        <w:rPr>
          <w:rFonts w:ascii="Arial" w:hAnsi="Arial" w:cs="Arial"/>
          <w:sz w:val="24"/>
          <w:szCs w:val="24"/>
        </w:rPr>
        <w:t xml:space="preserve">gdom: </w:t>
      </w:r>
      <w:r w:rsidR="00FA1877">
        <w:rPr>
          <w:rFonts w:ascii="Arial" w:hAnsi="Arial" w:cs="Arial"/>
          <w:sz w:val="24"/>
          <w:szCs w:val="24"/>
        </w:rPr>
        <w:t>Palgrave Macmillan.</w:t>
      </w:r>
    </w:p>
    <w:p w14:paraId="06AC4E39" w14:textId="3498665C" w:rsidR="00FD38C0" w:rsidRPr="00171049" w:rsidRDefault="00FD38C0" w:rsidP="00F75AD0">
      <w:pPr>
        <w:spacing w:line="480" w:lineRule="auto"/>
        <w:jc w:val="both"/>
        <w:rPr>
          <w:rFonts w:ascii="Arial" w:hAnsi="Arial" w:cs="Arial"/>
          <w:sz w:val="24"/>
          <w:szCs w:val="24"/>
        </w:rPr>
      </w:pPr>
      <w:r>
        <w:rPr>
          <w:rFonts w:ascii="Arial" w:hAnsi="Arial" w:cs="Arial"/>
          <w:sz w:val="24"/>
          <w:szCs w:val="24"/>
        </w:rPr>
        <w:t xml:space="preserve">Swarb (2021) </w:t>
      </w:r>
      <w:r w:rsidR="00171049">
        <w:rPr>
          <w:rFonts w:ascii="Arial" w:hAnsi="Arial" w:cs="Arial"/>
          <w:i/>
          <w:iCs/>
          <w:sz w:val="24"/>
          <w:szCs w:val="24"/>
        </w:rPr>
        <w:t xml:space="preserve">Metropolitan Railway Co v Fowler: CA 1892. </w:t>
      </w:r>
      <w:r w:rsidR="00171049">
        <w:rPr>
          <w:rFonts w:ascii="Arial" w:hAnsi="Arial" w:cs="Arial"/>
          <w:sz w:val="24"/>
          <w:szCs w:val="24"/>
        </w:rPr>
        <w:t xml:space="preserve">Available at: </w:t>
      </w:r>
      <w:hyperlink r:id="rId23" w:history="1">
        <w:r w:rsidR="00A3386F" w:rsidRPr="00461047">
          <w:rPr>
            <w:rStyle w:val="Hyperlink"/>
            <w:rFonts w:ascii="Arial" w:hAnsi="Arial" w:cs="Arial"/>
            <w:sz w:val="24"/>
            <w:szCs w:val="24"/>
          </w:rPr>
          <w:t>https://swarb.co.uk/metropolitan-railway-co-v-fowler-ca-1892/</w:t>
        </w:r>
      </w:hyperlink>
      <w:r w:rsidR="00A3386F">
        <w:rPr>
          <w:rFonts w:ascii="Arial" w:hAnsi="Arial" w:cs="Arial"/>
          <w:sz w:val="24"/>
          <w:szCs w:val="24"/>
        </w:rPr>
        <w:t xml:space="preserve"> (Accessed on: 27</w:t>
      </w:r>
      <w:r w:rsidR="00A3386F" w:rsidRPr="00A3386F">
        <w:rPr>
          <w:rFonts w:ascii="Arial" w:hAnsi="Arial" w:cs="Arial"/>
          <w:sz w:val="24"/>
          <w:szCs w:val="24"/>
          <w:vertAlign w:val="superscript"/>
        </w:rPr>
        <w:t>th</w:t>
      </w:r>
      <w:r w:rsidR="00A3386F">
        <w:rPr>
          <w:rFonts w:ascii="Arial" w:hAnsi="Arial" w:cs="Arial"/>
          <w:sz w:val="24"/>
          <w:szCs w:val="24"/>
        </w:rPr>
        <w:t xml:space="preserve"> October, 2021).</w:t>
      </w:r>
    </w:p>
    <w:p w14:paraId="614E2DB4" w14:textId="7EC7DB58" w:rsidR="006949AA" w:rsidRDefault="006949AA" w:rsidP="00F75AD0">
      <w:pPr>
        <w:spacing w:line="480" w:lineRule="auto"/>
        <w:jc w:val="both"/>
        <w:rPr>
          <w:rFonts w:ascii="Arial" w:hAnsi="Arial" w:cs="Arial"/>
          <w:sz w:val="24"/>
          <w:szCs w:val="24"/>
        </w:rPr>
      </w:pPr>
      <w:r>
        <w:rPr>
          <w:rFonts w:ascii="Arial" w:hAnsi="Arial" w:cs="Arial"/>
          <w:sz w:val="24"/>
          <w:szCs w:val="24"/>
        </w:rPr>
        <w:lastRenderedPageBreak/>
        <w:t xml:space="preserve">Tanfield (2016) </w:t>
      </w:r>
      <w:r w:rsidR="00581535">
        <w:rPr>
          <w:rFonts w:ascii="Arial" w:hAnsi="Arial" w:cs="Arial"/>
          <w:i/>
          <w:iCs/>
          <w:sz w:val="24"/>
          <w:szCs w:val="24"/>
        </w:rPr>
        <w:t xml:space="preserve">What is an easement and how are they created and used? </w:t>
      </w:r>
      <w:r w:rsidR="00581535">
        <w:rPr>
          <w:rFonts w:ascii="Arial" w:hAnsi="Arial" w:cs="Arial"/>
          <w:sz w:val="24"/>
          <w:szCs w:val="24"/>
        </w:rPr>
        <w:t xml:space="preserve">Available at: </w:t>
      </w:r>
      <w:hyperlink r:id="rId24" w:history="1">
        <w:r w:rsidR="001E43EE" w:rsidRPr="00864C26">
          <w:rPr>
            <w:rStyle w:val="Hyperlink"/>
            <w:rFonts w:ascii="Arial" w:hAnsi="Arial" w:cs="Arial"/>
            <w:sz w:val="24"/>
            <w:szCs w:val="24"/>
          </w:rPr>
          <w:t>https://www.tanfieldchambers.co.uk/2016/02/16/what-is-an-easement-and-how-are-they-created-and-used/</w:t>
        </w:r>
      </w:hyperlink>
      <w:r w:rsidR="001E43EE">
        <w:rPr>
          <w:rFonts w:ascii="Arial" w:hAnsi="Arial" w:cs="Arial"/>
          <w:sz w:val="24"/>
          <w:szCs w:val="24"/>
        </w:rPr>
        <w:t xml:space="preserve"> (Accessed on: </w:t>
      </w:r>
      <w:r w:rsidR="00662094">
        <w:rPr>
          <w:rFonts w:ascii="Arial" w:hAnsi="Arial" w:cs="Arial"/>
          <w:sz w:val="24"/>
          <w:szCs w:val="24"/>
        </w:rPr>
        <w:t>25</w:t>
      </w:r>
      <w:r w:rsidR="00662094" w:rsidRPr="00662094">
        <w:rPr>
          <w:rFonts w:ascii="Arial" w:hAnsi="Arial" w:cs="Arial"/>
          <w:sz w:val="24"/>
          <w:szCs w:val="24"/>
          <w:vertAlign w:val="superscript"/>
        </w:rPr>
        <w:t>th</w:t>
      </w:r>
      <w:r w:rsidR="00662094">
        <w:rPr>
          <w:rFonts w:ascii="Arial" w:hAnsi="Arial" w:cs="Arial"/>
          <w:sz w:val="24"/>
          <w:szCs w:val="24"/>
        </w:rPr>
        <w:t xml:space="preserve"> October, 2021)</w:t>
      </w:r>
      <w:r w:rsidR="00796511">
        <w:rPr>
          <w:rFonts w:ascii="Arial" w:hAnsi="Arial" w:cs="Arial"/>
          <w:sz w:val="24"/>
          <w:szCs w:val="24"/>
        </w:rPr>
        <w:t>.</w:t>
      </w:r>
    </w:p>
    <w:p w14:paraId="757EEC25" w14:textId="13F024FE" w:rsidR="00AA485A" w:rsidRDefault="00AA485A" w:rsidP="00F75AD0">
      <w:pPr>
        <w:spacing w:line="480" w:lineRule="auto"/>
        <w:jc w:val="both"/>
        <w:rPr>
          <w:rFonts w:ascii="Arial" w:hAnsi="Arial" w:cs="Arial"/>
          <w:sz w:val="24"/>
          <w:szCs w:val="24"/>
        </w:rPr>
      </w:pPr>
      <w:r>
        <w:rPr>
          <w:rFonts w:ascii="Arial" w:hAnsi="Arial" w:cs="Arial"/>
          <w:sz w:val="24"/>
          <w:szCs w:val="24"/>
        </w:rPr>
        <w:t xml:space="preserve">Tanfield (2017) </w:t>
      </w:r>
      <w:r w:rsidR="003B2E7F">
        <w:rPr>
          <w:rFonts w:ascii="Arial" w:hAnsi="Arial" w:cs="Arial"/>
          <w:i/>
          <w:iCs/>
          <w:sz w:val="24"/>
          <w:szCs w:val="24"/>
        </w:rPr>
        <w:t xml:space="preserve">Can a parking right be an easement? </w:t>
      </w:r>
      <w:r w:rsidR="003B2E7F">
        <w:rPr>
          <w:rFonts w:ascii="Arial" w:hAnsi="Arial" w:cs="Arial"/>
          <w:sz w:val="24"/>
          <w:szCs w:val="24"/>
        </w:rPr>
        <w:t xml:space="preserve">Available at: </w:t>
      </w:r>
      <w:hyperlink r:id="rId25" w:history="1">
        <w:r w:rsidR="000A1722" w:rsidRPr="003E749C">
          <w:rPr>
            <w:rStyle w:val="Hyperlink"/>
            <w:rFonts w:ascii="Arial" w:hAnsi="Arial" w:cs="Arial"/>
            <w:sz w:val="24"/>
            <w:szCs w:val="24"/>
          </w:rPr>
          <w:t>https://www.tanfieldchambers.co.uk/2017/11/10/can-a-parking-right-be-an-easement/</w:t>
        </w:r>
      </w:hyperlink>
      <w:r w:rsidR="000A1722">
        <w:rPr>
          <w:rFonts w:ascii="Arial" w:hAnsi="Arial" w:cs="Arial"/>
          <w:sz w:val="24"/>
          <w:szCs w:val="24"/>
        </w:rPr>
        <w:t xml:space="preserve"> (Accessed on: 27</w:t>
      </w:r>
      <w:r w:rsidR="000A1722" w:rsidRPr="000A1722">
        <w:rPr>
          <w:rFonts w:ascii="Arial" w:hAnsi="Arial" w:cs="Arial"/>
          <w:sz w:val="24"/>
          <w:szCs w:val="24"/>
          <w:vertAlign w:val="superscript"/>
        </w:rPr>
        <w:t>th</w:t>
      </w:r>
      <w:r w:rsidR="000A1722">
        <w:rPr>
          <w:rFonts w:ascii="Arial" w:hAnsi="Arial" w:cs="Arial"/>
          <w:sz w:val="24"/>
          <w:szCs w:val="24"/>
        </w:rPr>
        <w:t xml:space="preserve"> October, 2021)</w:t>
      </w:r>
      <w:r w:rsidR="00796511">
        <w:rPr>
          <w:rFonts w:ascii="Arial" w:hAnsi="Arial" w:cs="Arial"/>
          <w:sz w:val="24"/>
          <w:szCs w:val="24"/>
        </w:rPr>
        <w:t>.</w:t>
      </w:r>
    </w:p>
    <w:p w14:paraId="7736855A" w14:textId="58857BED" w:rsidR="00442424" w:rsidRPr="005110DE" w:rsidRDefault="005110DE" w:rsidP="00F75AD0">
      <w:pPr>
        <w:spacing w:line="480" w:lineRule="auto"/>
        <w:jc w:val="both"/>
        <w:rPr>
          <w:rFonts w:ascii="Arial" w:hAnsi="Arial" w:cs="Arial"/>
          <w:sz w:val="24"/>
          <w:szCs w:val="24"/>
        </w:rPr>
      </w:pPr>
      <w:r>
        <w:rPr>
          <w:rFonts w:ascii="Arial" w:hAnsi="Arial" w:cs="Arial"/>
          <w:sz w:val="24"/>
          <w:szCs w:val="24"/>
        </w:rPr>
        <w:t xml:space="preserve">Thomson Reuters (2001) </w:t>
      </w:r>
      <w:r>
        <w:rPr>
          <w:rFonts w:ascii="Arial" w:hAnsi="Arial" w:cs="Arial"/>
          <w:i/>
          <w:iCs/>
          <w:sz w:val="24"/>
          <w:szCs w:val="24"/>
        </w:rPr>
        <w:t xml:space="preserve">Establishing the right to park as an easement. </w:t>
      </w:r>
      <w:r>
        <w:rPr>
          <w:rFonts w:ascii="Arial" w:hAnsi="Arial" w:cs="Arial"/>
          <w:sz w:val="24"/>
          <w:szCs w:val="24"/>
        </w:rPr>
        <w:t xml:space="preserve">Available at: </w:t>
      </w:r>
      <w:hyperlink r:id="rId26" w:history="1">
        <w:r w:rsidR="004A4EA4" w:rsidRPr="003E749C">
          <w:rPr>
            <w:rStyle w:val="Hyperlink"/>
            <w:rFonts w:ascii="Arial" w:hAnsi="Arial" w:cs="Arial"/>
            <w:sz w:val="24"/>
            <w:szCs w:val="24"/>
          </w:rPr>
          <w:t>https://uk.practicallaw.thomsonreuters.com/7-101-5276?transitionType=Default&amp;contextData=(sc.Default)&amp;firstPage=true</w:t>
        </w:r>
      </w:hyperlink>
      <w:r w:rsidR="004A4EA4">
        <w:rPr>
          <w:rFonts w:ascii="Arial" w:hAnsi="Arial" w:cs="Arial"/>
          <w:sz w:val="24"/>
          <w:szCs w:val="24"/>
        </w:rPr>
        <w:t xml:space="preserve"> (Accessed on: 27</w:t>
      </w:r>
      <w:r w:rsidR="004A4EA4" w:rsidRPr="004A4EA4">
        <w:rPr>
          <w:rFonts w:ascii="Arial" w:hAnsi="Arial" w:cs="Arial"/>
          <w:sz w:val="24"/>
          <w:szCs w:val="24"/>
          <w:vertAlign w:val="superscript"/>
        </w:rPr>
        <w:t>th</w:t>
      </w:r>
      <w:r w:rsidR="004A4EA4">
        <w:rPr>
          <w:rFonts w:ascii="Arial" w:hAnsi="Arial" w:cs="Arial"/>
          <w:sz w:val="24"/>
          <w:szCs w:val="24"/>
        </w:rPr>
        <w:t xml:space="preserve"> October, 2021)</w:t>
      </w:r>
      <w:r w:rsidR="00796511">
        <w:rPr>
          <w:rFonts w:ascii="Arial" w:hAnsi="Arial" w:cs="Arial"/>
          <w:sz w:val="24"/>
          <w:szCs w:val="24"/>
        </w:rPr>
        <w:t>.</w:t>
      </w:r>
    </w:p>
    <w:p w14:paraId="680317B6" w14:textId="2028CE77" w:rsidR="00B15509" w:rsidRPr="00923786" w:rsidRDefault="00B15509" w:rsidP="00F75AD0">
      <w:pPr>
        <w:spacing w:line="480" w:lineRule="auto"/>
        <w:jc w:val="both"/>
        <w:rPr>
          <w:rFonts w:ascii="Arial" w:hAnsi="Arial" w:cs="Arial"/>
          <w:sz w:val="24"/>
          <w:szCs w:val="24"/>
        </w:rPr>
      </w:pPr>
      <w:r>
        <w:rPr>
          <w:rFonts w:ascii="Arial" w:hAnsi="Arial" w:cs="Arial"/>
          <w:sz w:val="24"/>
          <w:szCs w:val="24"/>
        </w:rPr>
        <w:t>Thomson R</w:t>
      </w:r>
      <w:r w:rsidR="00853B60">
        <w:rPr>
          <w:rFonts w:ascii="Arial" w:hAnsi="Arial" w:cs="Arial"/>
          <w:sz w:val="24"/>
          <w:szCs w:val="24"/>
        </w:rPr>
        <w:t xml:space="preserve">euters (2021) </w:t>
      </w:r>
      <w:r w:rsidR="00853B60">
        <w:rPr>
          <w:rFonts w:ascii="Arial" w:hAnsi="Arial" w:cs="Arial"/>
          <w:i/>
          <w:iCs/>
          <w:sz w:val="24"/>
          <w:szCs w:val="24"/>
        </w:rPr>
        <w:t>Easement</w:t>
      </w:r>
      <w:r w:rsidR="00923786">
        <w:rPr>
          <w:rFonts w:ascii="Arial" w:hAnsi="Arial" w:cs="Arial"/>
          <w:i/>
          <w:iCs/>
          <w:sz w:val="24"/>
          <w:szCs w:val="24"/>
        </w:rPr>
        <w:t xml:space="preserve">. </w:t>
      </w:r>
      <w:r w:rsidR="00923786">
        <w:rPr>
          <w:rFonts w:ascii="Arial" w:hAnsi="Arial" w:cs="Arial"/>
          <w:sz w:val="24"/>
          <w:szCs w:val="24"/>
        </w:rPr>
        <w:t xml:space="preserve">Available at: </w:t>
      </w:r>
      <w:hyperlink r:id="rId27" w:history="1">
        <w:r w:rsidR="0083357E" w:rsidRPr="00864C26">
          <w:rPr>
            <w:rStyle w:val="Hyperlink"/>
            <w:rFonts w:ascii="Arial" w:hAnsi="Arial" w:cs="Arial"/>
            <w:sz w:val="24"/>
            <w:szCs w:val="24"/>
          </w:rPr>
          <w:t>https://uk.practicallaw.thomsonreuters.com/0-202-2726?transitionType=Default&amp;contextData=(sc.Default)&amp;firstPage=true</w:t>
        </w:r>
      </w:hyperlink>
      <w:r w:rsidR="0083357E">
        <w:rPr>
          <w:rFonts w:ascii="Arial" w:hAnsi="Arial" w:cs="Arial"/>
          <w:sz w:val="24"/>
          <w:szCs w:val="24"/>
        </w:rPr>
        <w:t xml:space="preserve"> (Accessed on: </w:t>
      </w:r>
      <w:r w:rsidR="00316A25">
        <w:rPr>
          <w:rFonts w:ascii="Arial" w:hAnsi="Arial" w:cs="Arial"/>
          <w:sz w:val="24"/>
          <w:szCs w:val="24"/>
        </w:rPr>
        <w:t>25</w:t>
      </w:r>
      <w:r w:rsidR="00316A25" w:rsidRPr="00316A25">
        <w:rPr>
          <w:rFonts w:ascii="Arial" w:hAnsi="Arial" w:cs="Arial"/>
          <w:sz w:val="24"/>
          <w:szCs w:val="24"/>
          <w:vertAlign w:val="superscript"/>
        </w:rPr>
        <w:t>th</w:t>
      </w:r>
      <w:r w:rsidR="00316A25">
        <w:rPr>
          <w:rFonts w:ascii="Arial" w:hAnsi="Arial" w:cs="Arial"/>
          <w:sz w:val="24"/>
          <w:szCs w:val="24"/>
        </w:rPr>
        <w:t xml:space="preserve"> October, 2021)</w:t>
      </w:r>
      <w:r w:rsidR="00796511">
        <w:rPr>
          <w:rFonts w:ascii="Arial" w:hAnsi="Arial" w:cs="Arial"/>
          <w:sz w:val="24"/>
          <w:szCs w:val="24"/>
        </w:rPr>
        <w:t>.</w:t>
      </w:r>
    </w:p>
    <w:p w14:paraId="78C2A6DC" w14:textId="6C561A72" w:rsidR="00602877" w:rsidRDefault="00602877" w:rsidP="00F75AD0">
      <w:pPr>
        <w:spacing w:line="480" w:lineRule="auto"/>
        <w:jc w:val="both"/>
        <w:rPr>
          <w:rFonts w:ascii="Arial" w:hAnsi="Arial" w:cs="Arial"/>
          <w:sz w:val="24"/>
          <w:szCs w:val="24"/>
        </w:rPr>
      </w:pPr>
      <w:r>
        <w:rPr>
          <w:rFonts w:ascii="Arial" w:hAnsi="Arial" w:cs="Arial"/>
          <w:sz w:val="24"/>
          <w:szCs w:val="24"/>
        </w:rPr>
        <w:t xml:space="preserve">Trevelyan, L. (2020) </w:t>
      </w:r>
      <w:r w:rsidR="005C7FDB">
        <w:rPr>
          <w:rFonts w:ascii="Arial" w:hAnsi="Arial" w:cs="Arial"/>
          <w:i/>
          <w:iCs/>
          <w:sz w:val="24"/>
          <w:szCs w:val="24"/>
        </w:rPr>
        <w:t xml:space="preserve">How can I claim easement? </w:t>
      </w:r>
      <w:r w:rsidR="005C7FDB">
        <w:rPr>
          <w:rFonts w:ascii="Arial" w:hAnsi="Arial" w:cs="Arial"/>
          <w:sz w:val="24"/>
          <w:szCs w:val="24"/>
        </w:rPr>
        <w:t xml:space="preserve">Available at: </w:t>
      </w:r>
      <w:hyperlink r:id="rId28" w:history="1">
        <w:r w:rsidR="005C7FDB" w:rsidRPr="00864C26">
          <w:rPr>
            <w:rStyle w:val="Hyperlink"/>
            <w:rFonts w:ascii="Arial" w:hAnsi="Arial" w:cs="Arial"/>
            <w:sz w:val="24"/>
            <w:szCs w:val="24"/>
          </w:rPr>
          <w:t>https://www.inbrief.co.uk/land-law/claiming-easement/</w:t>
        </w:r>
      </w:hyperlink>
      <w:r w:rsidR="005C7FDB">
        <w:rPr>
          <w:rFonts w:ascii="Arial" w:hAnsi="Arial" w:cs="Arial"/>
          <w:sz w:val="24"/>
          <w:szCs w:val="24"/>
        </w:rPr>
        <w:t xml:space="preserve"> (Accessed on: 25</w:t>
      </w:r>
      <w:r w:rsidR="005C7FDB" w:rsidRPr="005C7FDB">
        <w:rPr>
          <w:rFonts w:ascii="Arial" w:hAnsi="Arial" w:cs="Arial"/>
          <w:sz w:val="24"/>
          <w:szCs w:val="24"/>
          <w:vertAlign w:val="superscript"/>
        </w:rPr>
        <w:t>th</w:t>
      </w:r>
      <w:r w:rsidR="005C7FDB">
        <w:rPr>
          <w:rFonts w:ascii="Arial" w:hAnsi="Arial" w:cs="Arial"/>
          <w:sz w:val="24"/>
          <w:szCs w:val="24"/>
        </w:rPr>
        <w:t xml:space="preserve"> October, 2021)</w:t>
      </w:r>
      <w:r w:rsidR="00796511">
        <w:rPr>
          <w:rFonts w:ascii="Arial" w:hAnsi="Arial" w:cs="Arial"/>
          <w:sz w:val="24"/>
          <w:szCs w:val="24"/>
        </w:rPr>
        <w:t>.</w:t>
      </w:r>
    </w:p>
    <w:p w14:paraId="3E417363" w14:textId="72EADC83" w:rsidR="00F4479C" w:rsidRDefault="00F4479C" w:rsidP="00F75AD0">
      <w:pPr>
        <w:spacing w:line="480" w:lineRule="auto"/>
        <w:jc w:val="both"/>
        <w:rPr>
          <w:rFonts w:ascii="Arial" w:hAnsi="Arial" w:cs="Arial"/>
          <w:sz w:val="24"/>
          <w:szCs w:val="24"/>
        </w:rPr>
      </w:pPr>
      <w:r>
        <w:rPr>
          <w:rFonts w:ascii="Arial" w:hAnsi="Arial" w:cs="Arial"/>
          <w:sz w:val="24"/>
          <w:szCs w:val="24"/>
        </w:rPr>
        <w:t>Var</w:t>
      </w:r>
      <w:r w:rsidR="00021BB6">
        <w:rPr>
          <w:rFonts w:ascii="Arial" w:hAnsi="Arial" w:cs="Arial"/>
          <w:sz w:val="24"/>
          <w:szCs w:val="24"/>
        </w:rPr>
        <w:t xml:space="preserve">dags (2021) </w:t>
      </w:r>
      <w:r w:rsidR="00021BB6">
        <w:rPr>
          <w:rFonts w:ascii="Arial" w:hAnsi="Arial" w:cs="Arial"/>
          <w:i/>
          <w:iCs/>
          <w:sz w:val="24"/>
          <w:szCs w:val="24"/>
        </w:rPr>
        <w:t xml:space="preserve">What is an easement on a property? </w:t>
      </w:r>
      <w:r w:rsidR="00021BB6">
        <w:rPr>
          <w:rFonts w:ascii="Arial" w:hAnsi="Arial" w:cs="Arial"/>
          <w:sz w:val="24"/>
          <w:szCs w:val="24"/>
        </w:rPr>
        <w:t xml:space="preserve">Available at: </w:t>
      </w:r>
      <w:hyperlink r:id="rId29" w:history="1">
        <w:r w:rsidR="00B53EA4" w:rsidRPr="003E749C">
          <w:rPr>
            <w:rStyle w:val="Hyperlink"/>
            <w:rFonts w:ascii="Arial" w:hAnsi="Arial" w:cs="Arial"/>
            <w:sz w:val="24"/>
            <w:szCs w:val="24"/>
          </w:rPr>
          <w:t>https://vardags.com/law-guide/basic-principles-property-law/what-is-an-easement-on-a-property</w:t>
        </w:r>
      </w:hyperlink>
      <w:r w:rsidR="00B53EA4">
        <w:rPr>
          <w:rFonts w:ascii="Arial" w:hAnsi="Arial" w:cs="Arial"/>
          <w:sz w:val="24"/>
          <w:szCs w:val="24"/>
        </w:rPr>
        <w:t xml:space="preserve"> (Accessed on: 26</w:t>
      </w:r>
      <w:r w:rsidR="00B53EA4" w:rsidRPr="00B53EA4">
        <w:rPr>
          <w:rFonts w:ascii="Arial" w:hAnsi="Arial" w:cs="Arial"/>
          <w:sz w:val="24"/>
          <w:szCs w:val="24"/>
          <w:vertAlign w:val="superscript"/>
        </w:rPr>
        <w:t>th</w:t>
      </w:r>
      <w:r w:rsidR="00B53EA4">
        <w:rPr>
          <w:rFonts w:ascii="Arial" w:hAnsi="Arial" w:cs="Arial"/>
          <w:sz w:val="24"/>
          <w:szCs w:val="24"/>
        </w:rPr>
        <w:t xml:space="preserve"> October, 2021).</w:t>
      </w:r>
      <w:r w:rsidR="00021BB6">
        <w:rPr>
          <w:rFonts w:ascii="Arial" w:hAnsi="Arial" w:cs="Arial"/>
          <w:sz w:val="24"/>
          <w:szCs w:val="24"/>
        </w:rPr>
        <w:t xml:space="preserve"> </w:t>
      </w:r>
    </w:p>
    <w:p w14:paraId="031A7AC9" w14:textId="331A95F3" w:rsidR="003A1DFC" w:rsidRPr="00F4255D" w:rsidRDefault="003A1DFC" w:rsidP="00F75AD0">
      <w:pPr>
        <w:spacing w:line="480" w:lineRule="auto"/>
        <w:jc w:val="both"/>
        <w:rPr>
          <w:rFonts w:ascii="Arial" w:hAnsi="Arial" w:cs="Arial"/>
          <w:sz w:val="24"/>
          <w:szCs w:val="24"/>
        </w:rPr>
      </w:pPr>
      <w:r>
        <w:rPr>
          <w:rFonts w:ascii="Arial" w:hAnsi="Arial" w:cs="Arial"/>
          <w:sz w:val="24"/>
          <w:szCs w:val="24"/>
        </w:rPr>
        <w:t xml:space="preserve">Xu, Lu. (2012) </w:t>
      </w:r>
      <w:r w:rsidR="005003AD">
        <w:rPr>
          <w:rFonts w:ascii="Arial" w:hAnsi="Arial" w:cs="Arial"/>
          <w:i/>
          <w:iCs/>
          <w:sz w:val="24"/>
          <w:szCs w:val="24"/>
        </w:rPr>
        <w:t xml:space="preserve">Easement of Car Parking: The Ouster Principle is Out but Problems may Aggravate. </w:t>
      </w:r>
      <w:r w:rsidR="00F4255D">
        <w:rPr>
          <w:rFonts w:ascii="Arial" w:hAnsi="Arial" w:cs="Arial"/>
          <w:sz w:val="24"/>
          <w:szCs w:val="24"/>
        </w:rPr>
        <w:t xml:space="preserve">Available at: </w:t>
      </w:r>
      <w:hyperlink r:id="rId30" w:history="1">
        <w:r w:rsidR="00F4255D" w:rsidRPr="00461047">
          <w:rPr>
            <w:rStyle w:val="Hyperlink"/>
            <w:rFonts w:ascii="Arial" w:hAnsi="Arial" w:cs="Arial"/>
            <w:sz w:val="24"/>
            <w:szCs w:val="24"/>
          </w:rPr>
          <w:t>https://eprints.lancs.ac.uk/id/eprint/70628/1/Easement_of_Parking_Conv_post_print.pdf</w:t>
        </w:r>
      </w:hyperlink>
      <w:r w:rsidR="00F4255D">
        <w:rPr>
          <w:rFonts w:ascii="Arial" w:hAnsi="Arial" w:cs="Arial"/>
          <w:sz w:val="24"/>
          <w:szCs w:val="24"/>
        </w:rPr>
        <w:t xml:space="preserve"> (Accessed on: </w:t>
      </w:r>
      <w:r w:rsidR="00262DCD">
        <w:rPr>
          <w:rFonts w:ascii="Arial" w:hAnsi="Arial" w:cs="Arial"/>
          <w:sz w:val="24"/>
          <w:szCs w:val="24"/>
        </w:rPr>
        <w:t>28</w:t>
      </w:r>
      <w:r w:rsidR="00262DCD" w:rsidRPr="00262DCD">
        <w:rPr>
          <w:rFonts w:ascii="Arial" w:hAnsi="Arial" w:cs="Arial"/>
          <w:sz w:val="24"/>
          <w:szCs w:val="24"/>
          <w:vertAlign w:val="superscript"/>
        </w:rPr>
        <w:t>th</w:t>
      </w:r>
      <w:r w:rsidR="00262DCD">
        <w:rPr>
          <w:rFonts w:ascii="Arial" w:hAnsi="Arial" w:cs="Arial"/>
          <w:sz w:val="24"/>
          <w:szCs w:val="24"/>
        </w:rPr>
        <w:t xml:space="preserve"> October, 2021).</w:t>
      </w:r>
    </w:p>
    <w:p w14:paraId="5460963E" w14:textId="77777777" w:rsidR="00981BD6" w:rsidRDefault="00981BD6" w:rsidP="00F75AD0">
      <w:pPr>
        <w:spacing w:line="480" w:lineRule="auto"/>
        <w:jc w:val="both"/>
        <w:rPr>
          <w:rFonts w:ascii="Arial" w:hAnsi="Arial" w:cs="Arial"/>
          <w:sz w:val="24"/>
          <w:szCs w:val="24"/>
        </w:rPr>
      </w:pPr>
    </w:p>
    <w:p w14:paraId="1D75842F" w14:textId="23CDDC2E" w:rsidR="00066C56" w:rsidRPr="00D14E13" w:rsidRDefault="007E4AAC" w:rsidP="00F75AD0">
      <w:pPr>
        <w:spacing w:line="480" w:lineRule="auto"/>
        <w:jc w:val="both"/>
        <w:rPr>
          <w:rFonts w:ascii="Arial" w:hAnsi="Arial" w:cs="Arial"/>
          <w:b/>
          <w:bCs/>
          <w:sz w:val="24"/>
          <w:szCs w:val="24"/>
          <w:u w:val="single"/>
        </w:rPr>
      </w:pPr>
      <w:r w:rsidRPr="007E4AAC">
        <w:rPr>
          <w:rFonts w:ascii="Arial" w:hAnsi="Arial" w:cs="Arial"/>
          <w:b/>
          <w:bCs/>
          <w:sz w:val="24"/>
          <w:szCs w:val="24"/>
          <w:u w:val="single"/>
        </w:rPr>
        <w:t>List of Cases:</w:t>
      </w:r>
    </w:p>
    <w:p w14:paraId="3AF8F2C6" w14:textId="03D3B612" w:rsidR="001B32C5" w:rsidRDefault="001B32C5" w:rsidP="00F75AD0">
      <w:pPr>
        <w:spacing w:line="480" w:lineRule="auto"/>
        <w:jc w:val="both"/>
        <w:rPr>
          <w:rFonts w:ascii="Arial" w:hAnsi="Arial" w:cs="Arial"/>
          <w:sz w:val="24"/>
          <w:szCs w:val="24"/>
        </w:rPr>
      </w:pPr>
      <w:r>
        <w:rPr>
          <w:rFonts w:ascii="Arial" w:hAnsi="Arial" w:cs="Arial"/>
          <w:sz w:val="24"/>
          <w:szCs w:val="24"/>
        </w:rPr>
        <w:t xml:space="preserve">Ackroyd v Smith [1850] 10 CB </w:t>
      </w:r>
      <w:r w:rsidR="00562017">
        <w:rPr>
          <w:rFonts w:ascii="Arial" w:hAnsi="Arial" w:cs="Arial"/>
          <w:sz w:val="24"/>
          <w:szCs w:val="24"/>
        </w:rPr>
        <w:t>164.</w:t>
      </w:r>
    </w:p>
    <w:p w14:paraId="351E1ECB" w14:textId="36C6FD98" w:rsidR="00D23AE1" w:rsidRDefault="00D23AE1" w:rsidP="00F75AD0">
      <w:pPr>
        <w:spacing w:line="480" w:lineRule="auto"/>
        <w:jc w:val="both"/>
        <w:rPr>
          <w:rFonts w:ascii="Arial" w:hAnsi="Arial" w:cs="Arial"/>
          <w:sz w:val="24"/>
          <w:szCs w:val="24"/>
        </w:rPr>
      </w:pPr>
      <w:r>
        <w:rPr>
          <w:rFonts w:ascii="Arial" w:hAnsi="Arial" w:cs="Arial"/>
          <w:sz w:val="24"/>
          <w:szCs w:val="24"/>
        </w:rPr>
        <w:t>Bailey v Stephens [1862] 12 CB (NS)</w:t>
      </w:r>
      <w:r w:rsidR="00981BD6">
        <w:rPr>
          <w:rFonts w:ascii="Arial" w:hAnsi="Arial" w:cs="Arial"/>
          <w:sz w:val="24"/>
          <w:szCs w:val="24"/>
        </w:rPr>
        <w:t xml:space="preserve"> 91.</w:t>
      </w:r>
    </w:p>
    <w:p w14:paraId="0AFB760E" w14:textId="5694214D" w:rsidR="007805C0" w:rsidRDefault="007805C0" w:rsidP="00F75AD0">
      <w:pPr>
        <w:spacing w:line="480" w:lineRule="auto"/>
        <w:jc w:val="both"/>
        <w:rPr>
          <w:rFonts w:ascii="Arial" w:hAnsi="Arial" w:cs="Arial"/>
          <w:sz w:val="24"/>
          <w:szCs w:val="24"/>
        </w:rPr>
      </w:pPr>
      <w:r>
        <w:rPr>
          <w:rFonts w:ascii="Arial" w:hAnsi="Arial" w:cs="Arial"/>
          <w:sz w:val="24"/>
          <w:szCs w:val="24"/>
        </w:rPr>
        <w:t xml:space="preserve">Banstead Downs Golf Club v Customs and Excise Comrs [1974] </w:t>
      </w:r>
      <w:r w:rsidR="00FD10DB">
        <w:rPr>
          <w:rFonts w:ascii="Arial" w:hAnsi="Arial" w:cs="Arial"/>
          <w:sz w:val="24"/>
          <w:szCs w:val="24"/>
        </w:rPr>
        <w:t>VATTR 219, VAT Tr</w:t>
      </w:r>
      <w:r w:rsidR="00DD0F73">
        <w:rPr>
          <w:rFonts w:ascii="Arial" w:hAnsi="Arial" w:cs="Arial"/>
          <w:sz w:val="24"/>
          <w:szCs w:val="24"/>
        </w:rPr>
        <w:t>.</w:t>
      </w:r>
    </w:p>
    <w:p w14:paraId="1756E586" w14:textId="5D978E3C" w:rsidR="00D14E13" w:rsidRDefault="00D14E13" w:rsidP="00F75AD0">
      <w:pPr>
        <w:spacing w:line="480" w:lineRule="auto"/>
        <w:jc w:val="both"/>
        <w:rPr>
          <w:rFonts w:ascii="Arial" w:hAnsi="Arial" w:cs="Arial"/>
          <w:sz w:val="24"/>
          <w:szCs w:val="24"/>
        </w:rPr>
      </w:pPr>
      <w:r>
        <w:rPr>
          <w:rFonts w:ascii="Arial" w:hAnsi="Arial" w:cs="Arial"/>
          <w:sz w:val="24"/>
          <w:szCs w:val="24"/>
        </w:rPr>
        <w:t>Batchelor v Marlow [2003] 1 WLR 764.</w:t>
      </w:r>
    </w:p>
    <w:p w14:paraId="1A386A91" w14:textId="667E30CC" w:rsidR="00180F62" w:rsidRDefault="00180F62" w:rsidP="00F75AD0">
      <w:pPr>
        <w:spacing w:line="480" w:lineRule="auto"/>
        <w:jc w:val="both"/>
        <w:rPr>
          <w:rFonts w:ascii="Arial" w:hAnsi="Arial" w:cs="Arial"/>
          <w:sz w:val="24"/>
          <w:szCs w:val="24"/>
        </w:rPr>
      </w:pPr>
      <w:r>
        <w:rPr>
          <w:rFonts w:ascii="Arial" w:hAnsi="Arial" w:cs="Arial"/>
          <w:sz w:val="24"/>
          <w:szCs w:val="24"/>
        </w:rPr>
        <w:t xml:space="preserve">Copeland v Greenhalf [1952] Ch 488. </w:t>
      </w:r>
    </w:p>
    <w:p w14:paraId="1222EF35" w14:textId="28175A12" w:rsidR="00502DD4" w:rsidRDefault="00502DD4" w:rsidP="00F75AD0">
      <w:pPr>
        <w:spacing w:line="480" w:lineRule="auto"/>
        <w:jc w:val="both"/>
        <w:rPr>
          <w:rFonts w:ascii="Arial" w:hAnsi="Arial" w:cs="Arial"/>
          <w:sz w:val="24"/>
          <w:szCs w:val="24"/>
        </w:rPr>
      </w:pPr>
      <w:r>
        <w:rPr>
          <w:rFonts w:ascii="Arial" w:hAnsi="Arial" w:cs="Arial"/>
          <w:sz w:val="24"/>
          <w:szCs w:val="24"/>
        </w:rPr>
        <w:t>De La Cuona v Big Apple Marketing Ltd [2017]</w:t>
      </w:r>
      <w:r w:rsidR="00C53248">
        <w:rPr>
          <w:rFonts w:ascii="Arial" w:hAnsi="Arial" w:cs="Arial"/>
          <w:sz w:val="24"/>
          <w:szCs w:val="24"/>
        </w:rPr>
        <w:t xml:space="preserve"> EWHC 3783 (Ch).</w:t>
      </w:r>
    </w:p>
    <w:p w14:paraId="67BA9A5D" w14:textId="6CCCCC17" w:rsidR="00773A31" w:rsidRDefault="00773A31" w:rsidP="00F75AD0">
      <w:pPr>
        <w:spacing w:line="480" w:lineRule="auto"/>
        <w:jc w:val="both"/>
        <w:rPr>
          <w:rFonts w:ascii="Arial" w:hAnsi="Arial" w:cs="Arial"/>
          <w:sz w:val="24"/>
          <w:szCs w:val="24"/>
        </w:rPr>
      </w:pPr>
      <w:r>
        <w:rPr>
          <w:rFonts w:ascii="Arial" w:hAnsi="Arial" w:cs="Arial"/>
          <w:sz w:val="24"/>
          <w:szCs w:val="24"/>
        </w:rPr>
        <w:t>Greatorex v Newman and Another [2008] EWCA Civ 1318.</w:t>
      </w:r>
    </w:p>
    <w:p w14:paraId="07BE7C34" w14:textId="50114F7D" w:rsidR="004D40AD" w:rsidRDefault="004D40AD" w:rsidP="00F75AD0">
      <w:pPr>
        <w:spacing w:line="480" w:lineRule="auto"/>
        <w:jc w:val="both"/>
        <w:rPr>
          <w:rFonts w:ascii="Arial" w:hAnsi="Arial" w:cs="Arial"/>
          <w:sz w:val="24"/>
          <w:szCs w:val="24"/>
        </w:rPr>
      </w:pPr>
      <w:r>
        <w:rPr>
          <w:rFonts w:ascii="Arial" w:hAnsi="Arial" w:cs="Arial"/>
          <w:sz w:val="24"/>
          <w:szCs w:val="24"/>
        </w:rPr>
        <w:t>Green v Ashco Horticultural [1966] 1 WLR 889.</w:t>
      </w:r>
    </w:p>
    <w:p w14:paraId="3B2F7ED5" w14:textId="51B424E2" w:rsidR="00BC3B23" w:rsidRDefault="00BC3B23" w:rsidP="00F75AD0">
      <w:pPr>
        <w:spacing w:line="480" w:lineRule="auto"/>
        <w:jc w:val="both"/>
        <w:rPr>
          <w:rFonts w:ascii="Arial" w:hAnsi="Arial" w:cs="Arial"/>
          <w:sz w:val="24"/>
          <w:szCs w:val="24"/>
        </w:rPr>
      </w:pPr>
      <w:r>
        <w:rPr>
          <w:rFonts w:ascii="Arial" w:hAnsi="Arial" w:cs="Arial"/>
          <w:sz w:val="24"/>
          <w:szCs w:val="24"/>
        </w:rPr>
        <w:t>Hair v Gillman [2000] 80 P&amp;CR 108.</w:t>
      </w:r>
    </w:p>
    <w:p w14:paraId="48094384" w14:textId="34CDDEF0" w:rsidR="003933FF" w:rsidRDefault="003933FF" w:rsidP="00F75AD0">
      <w:pPr>
        <w:spacing w:line="480" w:lineRule="auto"/>
        <w:jc w:val="both"/>
        <w:rPr>
          <w:rFonts w:ascii="Arial" w:hAnsi="Arial" w:cs="Arial"/>
          <w:sz w:val="24"/>
          <w:szCs w:val="24"/>
        </w:rPr>
      </w:pPr>
      <w:r>
        <w:rPr>
          <w:rFonts w:ascii="Arial" w:hAnsi="Arial" w:cs="Arial"/>
          <w:sz w:val="24"/>
          <w:szCs w:val="24"/>
        </w:rPr>
        <w:t>Hill v Tupper [1863] 159 ER 52.</w:t>
      </w:r>
    </w:p>
    <w:p w14:paraId="58EE5BAD" w14:textId="5A3FA3FC" w:rsidR="00733328" w:rsidRDefault="00733328" w:rsidP="00F75AD0">
      <w:pPr>
        <w:spacing w:line="480" w:lineRule="auto"/>
        <w:jc w:val="both"/>
        <w:rPr>
          <w:rFonts w:ascii="Arial" w:hAnsi="Arial" w:cs="Arial"/>
          <w:sz w:val="24"/>
          <w:szCs w:val="24"/>
        </w:rPr>
      </w:pPr>
      <w:r>
        <w:rPr>
          <w:rFonts w:ascii="Arial" w:hAnsi="Arial" w:cs="Arial"/>
          <w:sz w:val="24"/>
          <w:szCs w:val="24"/>
        </w:rPr>
        <w:t>Kettle v Bloomfield Ltd [2012] EWHC 1422.</w:t>
      </w:r>
    </w:p>
    <w:p w14:paraId="7CC2B5F6" w14:textId="54C74C53" w:rsidR="009A7A8F" w:rsidRDefault="009A7A8F" w:rsidP="00F75AD0">
      <w:pPr>
        <w:spacing w:line="480" w:lineRule="auto"/>
        <w:jc w:val="both"/>
        <w:rPr>
          <w:rFonts w:ascii="Arial" w:hAnsi="Arial" w:cs="Arial"/>
          <w:sz w:val="24"/>
          <w:szCs w:val="24"/>
        </w:rPr>
      </w:pPr>
      <w:r>
        <w:rPr>
          <w:rFonts w:ascii="Arial" w:hAnsi="Arial" w:cs="Arial"/>
          <w:sz w:val="24"/>
          <w:szCs w:val="24"/>
        </w:rPr>
        <w:t xml:space="preserve">London </w:t>
      </w:r>
      <w:r w:rsidR="00DD2E54">
        <w:rPr>
          <w:rFonts w:ascii="Arial" w:hAnsi="Arial" w:cs="Arial"/>
          <w:sz w:val="24"/>
          <w:szCs w:val="24"/>
        </w:rPr>
        <w:t xml:space="preserve">and </w:t>
      </w:r>
      <w:r w:rsidR="00973895">
        <w:rPr>
          <w:rFonts w:ascii="Arial" w:hAnsi="Arial" w:cs="Arial"/>
          <w:sz w:val="24"/>
          <w:szCs w:val="24"/>
        </w:rPr>
        <w:t>B</w:t>
      </w:r>
      <w:r w:rsidR="00DD2E54">
        <w:rPr>
          <w:rFonts w:ascii="Arial" w:hAnsi="Arial" w:cs="Arial"/>
          <w:sz w:val="24"/>
          <w:szCs w:val="24"/>
        </w:rPr>
        <w:t>lenheim Estates Ltd v Ladbroke Retail Parks Ltd [1992] 1 WLR</w:t>
      </w:r>
      <w:r w:rsidR="005359AA">
        <w:rPr>
          <w:rFonts w:ascii="Arial" w:hAnsi="Arial" w:cs="Arial"/>
          <w:sz w:val="24"/>
          <w:szCs w:val="24"/>
        </w:rPr>
        <w:t xml:space="preserve"> 1278.</w:t>
      </w:r>
    </w:p>
    <w:p w14:paraId="7CC7EEFB" w14:textId="12CA5330" w:rsidR="00D87BC4" w:rsidRDefault="00D87BC4" w:rsidP="00F75AD0">
      <w:pPr>
        <w:spacing w:line="480" w:lineRule="auto"/>
        <w:jc w:val="both"/>
        <w:rPr>
          <w:rFonts w:ascii="Arial" w:hAnsi="Arial" w:cs="Arial"/>
          <w:sz w:val="24"/>
          <w:szCs w:val="24"/>
        </w:rPr>
      </w:pPr>
      <w:r>
        <w:rPr>
          <w:rFonts w:ascii="Arial" w:hAnsi="Arial" w:cs="Arial"/>
          <w:sz w:val="24"/>
          <w:szCs w:val="24"/>
        </w:rPr>
        <w:t>Metropolitan Railway Co v Fowler [1892] 1 QB 165.</w:t>
      </w:r>
    </w:p>
    <w:p w14:paraId="76E60C96" w14:textId="11870E7E" w:rsidR="009D0DC3" w:rsidRDefault="009D0DC3" w:rsidP="00F75AD0">
      <w:pPr>
        <w:spacing w:line="480" w:lineRule="auto"/>
        <w:jc w:val="both"/>
        <w:rPr>
          <w:rFonts w:ascii="Arial" w:hAnsi="Arial" w:cs="Arial"/>
          <w:sz w:val="24"/>
          <w:szCs w:val="24"/>
        </w:rPr>
      </w:pPr>
      <w:r>
        <w:rPr>
          <w:rFonts w:ascii="Arial" w:hAnsi="Arial" w:cs="Arial"/>
          <w:sz w:val="24"/>
          <w:szCs w:val="24"/>
        </w:rPr>
        <w:t>Moncrieff v Jamieson [2007] 1 WLR 2620.</w:t>
      </w:r>
    </w:p>
    <w:p w14:paraId="6D99743A" w14:textId="09D5E2D3" w:rsidR="00BC3B23" w:rsidRDefault="00BC3B23" w:rsidP="00F75AD0">
      <w:pPr>
        <w:spacing w:line="480" w:lineRule="auto"/>
        <w:jc w:val="both"/>
        <w:rPr>
          <w:rFonts w:ascii="Arial" w:hAnsi="Arial" w:cs="Arial"/>
          <w:sz w:val="24"/>
          <w:szCs w:val="24"/>
        </w:rPr>
      </w:pPr>
      <w:r>
        <w:rPr>
          <w:rFonts w:ascii="Arial" w:hAnsi="Arial" w:cs="Arial"/>
          <w:sz w:val="24"/>
          <w:szCs w:val="24"/>
        </w:rPr>
        <w:t>Moody v Steggles [</w:t>
      </w:r>
      <w:r w:rsidR="005B4053">
        <w:rPr>
          <w:rFonts w:ascii="Arial" w:hAnsi="Arial" w:cs="Arial"/>
          <w:sz w:val="24"/>
          <w:szCs w:val="24"/>
        </w:rPr>
        <w:t>1879] 12 Ch D 261.</w:t>
      </w:r>
      <w:r>
        <w:rPr>
          <w:rFonts w:ascii="Arial" w:hAnsi="Arial" w:cs="Arial"/>
          <w:sz w:val="24"/>
          <w:szCs w:val="24"/>
        </w:rPr>
        <w:t xml:space="preserve"> </w:t>
      </w:r>
    </w:p>
    <w:p w14:paraId="6D6B6BE7" w14:textId="1269345D" w:rsidR="008C681E" w:rsidRDefault="008C681E" w:rsidP="00F75AD0">
      <w:pPr>
        <w:spacing w:line="480" w:lineRule="auto"/>
        <w:jc w:val="both"/>
        <w:rPr>
          <w:rFonts w:ascii="Arial" w:hAnsi="Arial" w:cs="Arial"/>
          <w:sz w:val="24"/>
          <w:szCs w:val="24"/>
        </w:rPr>
      </w:pPr>
      <w:r>
        <w:rPr>
          <w:rFonts w:ascii="Arial" w:hAnsi="Arial" w:cs="Arial"/>
          <w:sz w:val="24"/>
          <w:szCs w:val="24"/>
        </w:rPr>
        <w:t>Mulvaney v Gough [2002] EWCA Civ 1078.</w:t>
      </w:r>
    </w:p>
    <w:p w14:paraId="5F6B739E" w14:textId="4075AE4D" w:rsidR="008429C4" w:rsidRDefault="008429C4" w:rsidP="00F75AD0">
      <w:pPr>
        <w:spacing w:line="480" w:lineRule="auto"/>
        <w:jc w:val="both"/>
        <w:rPr>
          <w:rFonts w:ascii="Arial" w:hAnsi="Arial" w:cs="Arial"/>
          <w:sz w:val="24"/>
          <w:szCs w:val="24"/>
        </w:rPr>
      </w:pPr>
      <w:r>
        <w:rPr>
          <w:rFonts w:ascii="Arial" w:hAnsi="Arial" w:cs="Arial"/>
          <w:sz w:val="24"/>
          <w:szCs w:val="24"/>
        </w:rPr>
        <w:t xml:space="preserve">Phipps v Pears [1965] 1 QB </w:t>
      </w:r>
      <w:r w:rsidR="009E3B1F">
        <w:rPr>
          <w:rFonts w:ascii="Arial" w:hAnsi="Arial" w:cs="Arial"/>
          <w:sz w:val="24"/>
          <w:szCs w:val="24"/>
        </w:rPr>
        <w:t>76.</w:t>
      </w:r>
    </w:p>
    <w:p w14:paraId="2997B2CA" w14:textId="39435721" w:rsidR="007B6249" w:rsidRDefault="007B6249" w:rsidP="00F75AD0">
      <w:pPr>
        <w:spacing w:line="480" w:lineRule="auto"/>
        <w:jc w:val="both"/>
        <w:rPr>
          <w:rFonts w:ascii="Arial" w:hAnsi="Arial" w:cs="Arial"/>
          <w:sz w:val="24"/>
          <w:szCs w:val="24"/>
        </w:rPr>
      </w:pPr>
      <w:r>
        <w:rPr>
          <w:rFonts w:ascii="Arial" w:hAnsi="Arial" w:cs="Arial"/>
          <w:sz w:val="24"/>
          <w:szCs w:val="24"/>
        </w:rPr>
        <w:t>Pugh v Savage [1970] 2 All ER 353.</w:t>
      </w:r>
    </w:p>
    <w:p w14:paraId="0CC6D718" w14:textId="2129053D" w:rsidR="009E6B5A" w:rsidRDefault="009E6B5A" w:rsidP="00F75AD0">
      <w:pPr>
        <w:spacing w:line="480" w:lineRule="auto"/>
        <w:jc w:val="both"/>
        <w:rPr>
          <w:rFonts w:ascii="Arial" w:hAnsi="Arial" w:cs="Arial"/>
          <w:sz w:val="24"/>
          <w:szCs w:val="24"/>
        </w:rPr>
      </w:pPr>
      <w:r>
        <w:rPr>
          <w:rFonts w:ascii="Arial" w:hAnsi="Arial" w:cs="Arial"/>
          <w:sz w:val="24"/>
          <w:szCs w:val="24"/>
        </w:rPr>
        <w:lastRenderedPageBreak/>
        <w:t>Re Ellenborough P</w:t>
      </w:r>
      <w:r w:rsidR="004615D5">
        <w:rPr>
          <w:rFonts w:ascii="Arial" w:hAnsi="Arial" w:cs="Arial"/>
          <w:sz w:val="24"/>
          <w:szCs w:val="24"/>
        </w:rPr>
        <w:t>ark [1956] Ch 13.</w:t>
      </w:r>
    </w:p>
    <w:p w14:paraId="3DBAC961" w14:textId="2C32FE7D" w:rsidR="00700CA4" w:rsidRDefault="00700CA4" w:rsidP="00F75AD0">
      <w:pPr>
        <w:spacing w:line="480" w:lineRule="auto"/>
        <w:jc w:val="both"/>
        <w:rPr>
          <w:rFonts w:ascii="Arial" w:hAnsi="Arial" w:cs="Arial"/>
          <w:sz w:val="24"/>
          <w:szCs w:val="24"/>
        </w:rPr>
      </w:pPr>
      <w:r>
        <w:rPr>
          <w:rFonts w:ascii="Arial" w:hAnsi="Arial" w:cs="Arial"/>
          <w:sz w:val="24"/>
          <w:szCs w:val="24"/>
        </w:rPr>
        <w:t>Re Webb’s Lease [1951] Ch 808</w:t>
      </w:r>
      <w:r w:rsidR="00C472BE">
        <w:rPr>
          <w:rFonts w:ascii="Arial" w:hAnsi="Arial" w:cs="Arial"/>
          <w:sz w:val="24"/>
          <w:szCs w:val="24"/>
        </w:rPr>
        <w:t>.</w:t>
      </w:r>
    </w:p>
    <w:p w14:paraId="3B7C42C8" w14:textId="606D0301" w:rsidR="005B4053" w:rsidRDefault="005B4053" w:rsidP="00F75AD0">
      <w:pPr>
        <w:spacing w:line="480" w:lineRule="auto"/>
        <w:jc w:val="both"/>
        <w:rPr>
          <w:rFonts w:ascii="Arial" w:hAnsi="Arial" w:cs="Arial"/>
          <w:sz w:val="24"/>
          <w:szCs w:val="24"/>
        </w:rPr>
      </w:pPr>
      <w:r>
        <w:rPr>
          <w:rFonts w:ascii="Arial" w:hAnsi="Arial" w:cs="Arial"/>
          <w:sz w:val="24"/>
          <w:szCs w:val="24"/>
        </w:rPr>
        <w:t>Regency Villas Title Ltd and Others v Diamond Resorts (Europe) Ltd and Another [2018] UKSC 57.</w:t>
      </w:r>
    </w:p>
    <w:p w14:paraId="511925AA" w14:textId="7FD67AEB" w:rsidR="00A32FF4" w:rsidRDefault="00A32FF4" w:rsidP="00F75AD0">
      <w:pPr>
        <w:spacing w:line="480" w:lineRule="auto"/>
        <w:jc w:val="both"/>
        <w:rPr>
          <w:rFonts w:ascii="Arial" w:hAnsi="Arial" w:cs="Arial"/>
          <w:sz w:val="24"/>
          <w:szCs w:val="24"/>
        </w:rPr>
      </w:pPr>
      <w:r>
        <w:rPr>
          <w:rFonts w:ascii="Arial" w:hAnsi="Arial" w:cs="Arial"/>
          <w:sz w:val="24"/>
          <w:szCs w:val="24"/>
        </w:rPr>
        <w:t>Regis Property Co Ltd v Redman [</w:t>
      </w:r>
      <w:r w:rsidR="00F303F7">
        <w:rPr>
          <w:rFonts w:ascii="Arial" w:hAnsi="Arial" w:cs="Arial"/>
          <w:sz w:val="24"/>
          <w:szCs w:val="24"/>
        </w:rPr>
        <w:t>1956]</w:t>
      </w:r>
      <w:r w:rsidR="008429C4">
        <w:rPr>
          <w:rFonts w:ascii="Arial" w:hAnsi="Arial" w:cs="Arial"/>
          <w:sz w:val="24"/>
          <w:szCs w:val="24"/>
        </w:rPr>
        <w:t xml:space="preserve"> 2 QB 612.</w:t>
      </w:r>
    </w:p>
    <w:p w14:paraId="31DDDE85" w14:textId="39E61775" w:rsidR="009C31B4" w:rsidRDefault="009C31B4" w:rsidP="00F75AD0">
      <w:pPr>
        <w:spacing w:line="480" w:lineRule="auto"/>
        <w:jc w:val="both"/>
        <w:rPr>
          <w:rFonts w:ascii="Arial" w:hAnsi="Arial" w:cs="Arial"/>
          <w:sz w:val="24"/>
          <w:szCs w:val="24"/>
        </w:rPr>
      </w:pPr>
      <w:r>
        <w:rPr>
          <w:rFonts w:ascii="Arial" w:hAnsi="Arial" w:cs="Arial"/>
          <w:sz w:val="24"/>
          <w:szCs w:val="24"/>
        </w:rPr>
        <w:t>Virdi v Chana [2008] EWHC 2901 (Ch).</w:t>
      </w:r>
    </w:p>
    <w:p w14:paraId="4B1EC86F" w14:textId="70E882B6" w:rsidR="003B78BD" w:rsidRDefault="003B78BD" w:rsidP="00F75AD0">
      <w:pPr>
        <w:spacing w:line="480" w:lineRule="auto"/>
        <w:jc w:val="both"/>
        <w:rPr>
          <w:rFonts w:ascii="Arial" w:hAnsi="Arial" w:cs="Arial"/>
          <w:sz w:val="24"/>
          <w:szCs w:val="24"/>
        </w:rPr>
      </w:pPr>
      <w:r>
        <w:rPr>
          <w:rFonts w:ascii="Arial" w:hAnsi="Arial" w:cs="Arial"/>
          <w:sz w:val="24"/>
          <w:szCs w:val="24"/>
        </w:rPr>
        <w:t xml:space="preserve">Walby </w:t>
      </w:r>
      <w:r w:rsidR="003C48D5">
        <w:rPr>
          <w:rFonts w:ascii="Arial" w:hAnsi="Arial" w:cs="Arial"/>
          <w:sz w:val="24"/>
          <w:szCs w:val="24"/>
        </w:rPr>
        <w:t xml:space="preserve">&amp; Anor </w:t>
      </w:r>
      <w:r>
        <w:rPr>
          <w:rFonts w:ascii="Arial" w:hAnsi="Arial" w:cs="Arial"/>
          <w:sz w:val="24"/>
          <w:szCs w:val="24"/>
        </w:rPr>
        <w:t>v Walby</w:t>
      </w:r>
      <w:r w:rsidR="003C48D5">
        <w:rPr>
          <w:rFonts w:ascii="Arial" w:hAnsi="Arial" w:cs="Arial"/>
          <w:sz w:val="24"/>
          <w:szCs w:val="24"/>
        </w:rPr>
        <w:t xml:space="preserve"> &amp; Anor</w:t>
      </w:r>
      <w:r>
        <w:rPr>
          <w:rFonts w:ascii="Arial" w:hAnsi="Arial" w:cs="Arial"/>
          <w:sz w:val="24"/>
          <w:szCs w:val="24"/>
        </w:rPr>
        <w:t xml:space="preserve"> [2012] </w:t>
      </w:r>
      <w:r w:rsidR="003C48D5">
        <w:rPr>
          <w:rFonts w:ascii="Arial" w:hAnsi="Arial" w:cs="Arial"/>
          <w:sz w:val="24"/>
          <w:szCs w:val="24"/>
        </w:rPr>
        <w:t>EWHC 3089.</w:t>
      </w:r>
    </w:p>
    <w:p w14:paraId="7C7DD8B6" w14:textId="2D032DD5" w:rsidR="004615D5" w:rsidRPr="009E6B5A" w:rsidRDefault="004615D5" w:rsidP="00F75AD0">
      <w:pPr>
        <w:spacing w:line="480" w:lineRule="auto"/>
        <w:jc w:val="both"/>
        <w:rPr>
          <w:rFonts w:ascii="Arial" w:hAnsi="Arial" w:cs="Arial"/>
          <w:sz w:val="24"/>
          <w:szCs w:val="24"/>
        </w:rPr>
      </w:pPr>
      <w:r>
        <w:rPr>
          <w:rFonts w:ascii="Arial" w:hAnsi="Arial" w:cs="Arial"/>
          <w:sz w:val="24"/>
          <w:szCs w:val="24"/>
        </w:rPr>
        <w:t>Wright v MacAdam [1949] 2 KB 744.</w:t>
      </w:r>
    </w:p>
    <w:sectPr w:rsidR="004615D5" w:rsidRPr="009E6B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358B6" w14:textId="77777777" w:rsidR="00E30B24" w:rsidRDefault="00E30B24" w:rsidP="00CD0121">
      <w:pPr>
        <w:spacing w:after="0" w:line="240" w:lineRule="auto"/>
      </w:pPr>
      <w:r>
        <w:separator/>
      </w:r>
    </w:p>
  </w:endnote>
  <w:endnote w:type="continuationSeparator" w:id="0">
    <w:p w14:paraId="4F04B619" w14:textId="77777777" w:rsidR="00E30B24" w:rsidRDefault="00E30B24" w:rsidP="00CD0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7BE90" w14:textId="77777777" w:rsidR="00E30B24" w:rsidRDefault="00E30B24" w:rsidP="00CD0121">
      <w:pPr>
        <w:spacing w:after="0" w:line="240" w:lineRule="auto"/>
      </w:pPr>
      <w:r>
        <w:separator/>
      </w:r>
    </w:p>
  </w:footnote>
  <w:footnote w:type="continuationSeparator" w:id="0">
    <w:p w14:paraId="1EBF4C3C" w14:textId="77777777" w:rsidR="00E30B24" w:rsidRDefault="00E30B24" w:rsidP="00CD01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2DA"/>
    <w:rsid w:val="00001FFF"/>
    <w:rsid w:val="0000324E"/>
    <w:rsid w:val="000047C3"/>
    <w:rsid w:val="00005A84"/>
    <w:rsid w:val="00006B04"/>
    <w:rsid w:val="00010C42"/>
    <w:rsid w:val="00013F8B"/>
    <w:rsid w:val="0001619D"/>
    <w:rsid w:val="00016756"/>
    <w:rsid w:val="000173B8"/>
    <w:rsid w:val="00017FDC"/>
    <w:rsid w:val="00020EFA"/>
    <w:rsid w:val="00021BB6"/>
    <w:rsid w:val="000221C2"/>
    <w:rsid w:val="00023053"/>
    <w:rsid w:val="00024576"/>
    <w:rsid w:val="000249AC"/>
    <w:rsid w:val="00026FA0"/>
    <w:rsid w:val="000368B0"/>
    <w:rsid w:val="000368FB"/>
    <w:rsid w:val="00044677"/>
    <w:rsid w:val="000457A2"/>
    <w:rsid w:val="00046C41"/>
    <w:rsid w:val="0004770B"/>
    <w:rsid w:val="0005025B"/>
    <w:rsid w:val="00051489"/>
    <w:rsid w:val="00054738"/>
    <w:rsid w:val="000565BE"/>
    <w:rsid w:val="000567AD"/>
    <w:rsid w:val="00057B13"/>
    <w:rsid w:val="00063C53"/>
    <w:rsid w:val="00063C6A"/>
    <w:rsid w:val="00064C54"/>
    <w:rsid w:val="00066C56"/>
    <w:rsid w:val="0007076E"/>
    <w:rsid w:val="0007136E"/>
    <w:rsid w:val="00071CDA"/>
    <w:rsid w:val="00071CFD"/>
    <w:rsid w:val="00071D6A"/>
    <w:rsid w:val="000736C9"/>
    <w:rsid w:val="00075346"/>
    <w:rsid w:val="00077A03"/>
    <w:rsid w:val="00077B48"/>
    <w:rsid w:val="00084E0F"/>
    <w:rsid w:val="000858DC"/>
    <w:rsid w:val="00085E64"/>
    <w:rsid w:val="0008678B"/>
    <w:rsid w:val="00086B04"/>
    <w:rsid w:val="00090543"/>
    <w:rsid w:val="00090EBA"/>
    <w:rsid w:val="00092A38"/>
    <w:rsid w:val="00097F81"/>
    <w:rsid w:val="000A1577"/>
    <w:rsid w:val="000A1722"/>
    <w:rsid w:val="000A19B1"/>
    <w:rsid w:val="000A1C04"/>
    <w:rsid w:val="000A1EDF"/>
    <w:rsid w:val="000A3A3E"/>
    <w:rsid w:val="000A4431"/>
    <w:rsid w:val="000A45AC"/>
    <w:rsid w:val="000A66D1"/>
    <w:rsid w:val="000A6C29"/>
    <w:rsid w:val="000A73E5"/>
    <w:rsid w:val="000A751B"/>
    <w:rsid w:val="000B2478"/>
    <w:rsid w:val="000B43BE"/>
    <w:rsid w:val="000B468F"/>
    <w:rsid w:val="000B5480"/>
    <w:rsid w:val="000B7B29"/>
    <w:rsid w:val="000C473C"/>
    <w:rsid w:val="000C57D7"/>
    <w:rsid w:val="000D34D2"/>
    <w:rsid w:val="000D5BA6"/>
    <w:rsid w:val="000E0F11"/>
    <w:rsid w:val="000E18B3"/>
    <w:rsid w:val="000E18BB"/>
    <w:rsid w:val="000E331E"/>
    <w:rsid w:val="000E47F1"/>
    <w:rsid w:val="000E692B"/>
    <w:rsid w:val="000E7465"/>
    <w:rsid w:val="000F1E50"/>
    <w:rsid w:val="000F20AD"/>
    <w:rsid w:val="000F3B17"/>
    <w:rsid w:val="000F5240"/>
    <w:rsid w:val="000F68CB"/>
    <w:rsid w:val="000F763A"/>
    <w:rsid w:val="000F76B6"/>
    <w:rsid w:val="000F77D9"/>
    <w:rsid w:val="00100A37"/>
    <w:rsid w:val="00105E2A"/>
    <w:rsid w:val="001101C0"/>
    <w:rsid w:val="00110B62"/>
    <w:rsid w:val="001116B4"/>
    <w:rsid w:val="00113508"/>
    <w:rsid w:val="001148D1"/>
    <w:rsid w:val="00114B72"/>
    <w:rsid w:val="00116995"/>
    <w:rsid w:val="00116BD4"/>
    <w:rsid w:val="00117D46"/>
    <w:rsid w:val="00121DF6"/>
    <w:rsid w:val="001227CD"/>
    <w:rsid w:val="00123DBB"/>
    <w:rsid w:val="001262DA"/>
    <w:rsid w:val="001272DC"/>
    <w:rsid w:val="0012761E"/>
    <w:rsid w:val="00130774"/>
    <w:rsid w:val="00135602"/>
    <w:rsid w:val="00136EE8"/>
    <w:rsid w:val="00137F9C"/>
    <w:rsid w:val="001405D5"/>
    <w:rsid w:val="0014185A"/>
    <w:rsid w:val="001423F6"/>
    <w:rsid w:val="00142829"/>
    <w:rsid w:val="0014471C"/>
    <w:rsid w:val="001529F4"/>
    <w:rsid w:val="00153C21"/>
    <w:rsid w:val="00154BE8"/>
    <w:rsid w:val="001550AC"/>
    <w:rsid w:val="001555BB"/>
    <w:rsid w:val="00155E13"/>
    <w:rsid w:val="0015722C"/>
    <w:rsid w:val="00157273"/>
    <w:rsid w:val="0016071C"/>
    <w:rsid w:val="001616BE"/>
    <w:rsid w:val="00161F51"/>
    <w:rsid w:val="0016232F"/>
    <w:rsid w:val="00162986"/>
    <w:rsid w:val="00163190"/>
    <w:rsid w:val="00163ABB"/>
    <w:rsid w:val="001652B9"/>
    <w:rsid w:val="0016578F"/>
    <w:rsid w:val="0016699A"/>
    <w:rsid w:val="00166AD9"/>
    <w:rsid w:val="00171049"/>
    <w:rsid w:val="001720DD"/>
    <w:rsid w:val="001734C2"/>
    <w:rsid w:val="001739BB"/>
    <w:rsid w:val="00174737"/>
    <w:rsid w:val="00174CFA"/>
    <w:rsid w:val="001762A6"/>
    <w:rsid w:val="001765B7"/>
    <w:rsid w:val="001773B0"/>
    <w:rsid w:val="00180F62"/>
    <w:rsid w:val="00183D49"/>
    <w:rsid w:val="0018483B"/>
    <w:rsid w:val="00192F98"/>
    <w:rsid w:val="001938DE"/>
    <w:rsid w:val="00194C9D"/>
    <w:rsid w:val="001A32A3"/>
    <w:rsid w:val="001A376B"/>
    <w:rsid w:val="001A73C8"/>
    <w:rsid w:val="001A7F8C"/>
    <w:rsid w:val="001B30E0"/>
    <w:rsid w:val="001B32C5"/>
    <w:rsid w:val="001B3779"/>
    <w:rsid w:val="001B52F0"/>
    <w:rsid w:val="001C0500"/>
    <w:rsid w:val="001C0E1C"/>
    <w:rsid w:val="001C1936"/>
    <w:rsid w:val="001C2380"/>
    <w:rsid w:val="001C2EB9"/>
    <w:rsid w:val="001C38C4"/>
    <w:rsid w:val="001C440C"/>
    <w:rsid w:val="001C4634"/>
    <w:rsid w:val="001C4B89"/>
    <w:rsid w:val="001C59F6"/>
    <w:rsid w:val="001C5D40"/>
    <w:rsid w:val="001C6999"/>
    <w:rsid w:val="001D1A2C"/>
    <w:rsid w:val="001D2A42"/>
    <w:rsid w:val="001D2BC1"/>
    <w:rsid w:val="001D344E"/>
    <w:rsid w:val="001D3D49"/>
    <w:rsid w:val="001D51FF"/>
    <w:rsid w:val="001D6485"/>
    <w:rsid w:val="001D6646"/>
    <w:rsid w:val="001D75A5"/>
    <w:rsid w:val="001E2FC3"/>
    <w:rsid w:val="001E43EE"/>
    <w:rsid w:val="001F3924"/>
    <w:rsid w:val="001F561D"/>
    <w:rsid w:val="0020032D"/>
    <w:rsid w:val="00201127"/>
    <w:rsid w:val="00203025"/>
    <w:rsid w:val="00204CE0"/>
    <w:rsid w:val="002051F4"/>
    <w:rsid w:val="00205C4D"/>
    <w:rsid w:val="00207EE1"/>
    <w:rsid w:val="0021300E"/>
    <w:rsid w:val="00215183"/>
    <w:rsid w:val="002174D2"/>
    <w:rsid w:val="00217C1C"/>
    <w:rsid w:val="00221549"/>
    <w:rsid w:val="00226242"/>
    <w:rsid w:val="0022683E"/>
    <w:rsid w:val="0023411F"/>
    <w:rsid w:val="00234E7E"/>
    <w:rsid w:val="0023534D"/>
    <w:rsid w:val="002439CF"/>
    <w:rsid w:val="002460B6"/>
    <w:rsid w:val="00246C8F"/>
    <w:rsid w:val="00247E8D"/>
    <w:rsid w:val="00251078"/>
    <w:rsid w:val="00251500"/>
    <w:rsid w:val="002515F4"/>
    <w:rsid w:val="00252850"/>
    <w:rsid w:val="00252DD1"/>
    <w:rsid w:val="00253555"/>
    <w:rsid w:val="0025364D"/>
    <w:rsid w:val="00254B20"/>
    <w:rsid w:val="0025517F"/>
    <w:rsid w:val="00256655"/>
    <w:rsid w:val="00260047"/>
    <w:rsid w:val="00262DCD"/>
    <w:rsid w:val="0026362B"/>
    <w:rsid w:val="00263742"/>
    <w:rsid w:val="00264646"/>
    <w:rsid w:val="002709EF"/>
    <w:rsid w:val="00271478"/>
    <w:rsid w:val="002716FC"/>
    <w:rsid w:val="0027318C"/>
    <w:rsid w:val="002739F8"/>
    <w:rsid w:val="00274334"/>
    <w:rsid w:val="00275B69"/>
    <w:rsid w:val="00275CAD"/>
    <w:rsid w:val="00276705"/>
    <w:rsid w:val="00276D72"/>
    <w:rsid w:val="00277842"/>
    <w:rsid w:val="00282128"/>
    <w:rsid w:val="00283462"/>
    <w:rsid w:val="00283A31"/>
    <w:rsid w:val="002843C4"/>
    <w:rsid w:val="002873A5"/>
    <w:rsid w:val="0029301C"/>
    <w:rsid w:val="00293C20"/>
    <w:rsid w:val="00293CDF"/>
    <w:rsid w:val="00295F5C"/>
    <w:rsid w:val="00297395"/>
    <w:rsid w:val="002979FE"/>
    <w:rsid w:val="002A1773"/>
    <w:rsid w:val="002A48A8"/>
    <w:rsid w:val="002B27A4"/>
    <w:rsid w:val="002B610D"/>
    <w:rsid w:val="002C11A5"/>
    <w:rsid w:val="002C1498"/>
    <w:rsid w:val="002C223D"/>
    <w:rsid w:val="002C22E0"/>
    <w:rsid w:val="002C2DC4"/>
    <w:rsid w:val="002C31AE"/>
    <w:rsid w:val="002C5548"/>
    <w:rsid w:val="002C5E48"/>
    <w:rsid w:val="002C7096"/>
    <w:rsid w:val="002D152D"/>
    <w:rsid w:val="002D1DA3"/>
    <w:rsid w:val="002D24C1"/>
    <w:rsid w:val="002D3425"/>
    <w:rsid w:val="002D4A47"/>
    <w:rsid w:val="002D59EE"/>
    <w:rsid w:val="002D6135"/>
    <w:rsid w:val="002D69F0"/>
    <w:rsid w:val="002D7A03"/>
    <w:rsid w:val="002D7FBC"/>
    <w:rsid w:val="002E02F3"/>
    <w:rsid w:val="002E097F"/>
    <w:rsid w:val="002E2D06"/>
    <w:rsid w:val="002E3304"/>
    <w:rsid w:val="002E342D"/>
    <w:rsid w:val="002E3A95"/>
    <w:rsid w:val="002E4AD5"/>
    <w:rsid w:val="002E5092"/>
    <w:rsid w:val="002E58AA"/>
    <w:rsid w:val="002E72C3"/>
    <w:rsid w:val="002F1B5B"/>
    <w:rsid w:val="002F1EFA"/>
    <w:rsid w:val="002F22A4"/>
    <w:rsid w:val="002F3039"/>
    <w:rsid w:val="002F53AD"/>
    <w:rsid w:val="002F581F"/>
    <w:rsid w:val="002F5D56"/>
    <w:rsid w:val="00303D04"/>
    <w:rsid w:val="003052DD"/>
    <w:rsid w:val="003126C0"/>
    <w:rsid w:val="00312A65"/>
    <w:rsid w:val="00312DC3"/>
    <w:rsid w:val="00313D25"/>
    <w:rsid w:val="00314D86"/>
    <w:rsid w:val="00314FA4"/>
    <w:rsid w:val="00315C8F"/>
    <w:rsid w:val="00316A25"/>
    <w:rsid w:val="00316A52"/>
    <w:rsid w:val="00320887"/>
    <w:rsid w:val="00322127"/>
    <w:rsid w:val="003224D7"/>
    <w:rsid w:val="00322767"/>
    <w:rsid w:val="0032290A"/>
    <w:rsid w:val="00324961"/>
    <w:rsid w:val="00324C4E"/>
    <w:rsid w:val="00325949"/>
    <w:rsid w:val="00326819"/>
    <w:rsid w:val="00327BA8"/>
    <w:rsid w:val="00331192"/>
    <w:rsid w:val="0033161B"/>
    <w:rsid w:val="0033195E"/>
    <w:rsid w:val="003356D2"/>
    <w:rsid w:val="00340338"/>
    <w:rsid w:val="0034277A"/>
    <w:rsid w:val="003449D8"/>
    <w:rsid w:val="00346F5F"/>
    <w:rsid w:val="00347283"/>
    <w:rsid w:val="00347E01"/>
    <w:rsid w:val="00352D49"/>
    <w:rsid w:val="00353C0A"/>
    <w:rsid w:val="00353D29"/>
    <w:rsid w:val="0035534E"/>
    <w:rsid w:val="0036093A"/>
    <w:rsid w:val="00360C46"/>
    <w:rsid w:val="003614CB"/>
    <w:rsid w:val="003617A3"/>
    <w:rsid w:val="00361C36"/>
    <w:rsid w:val="0036589E"/>
    <w:rsid w:val="003679EB"/>
    <w:rsid w:val="00367BFD"/>
    <w:rsid w:val="003706B1"/>
    <w:rsid w:val="00373044"/>
    <w:rsid w:val="00376AB1"/>
    <w:rsid w:val="00377093"/>
    <w:rsid w:val="00381CD6"/>
    <w:rsid w:val="00382859"/>
    <w:rsid w:val="00384B11"/>
    <w:rsid w:val="00387A65"/>
    <w:rsid w:val="003919CE"/>
    <w:rsid w:val="00392F00"/>
    <w:rsid w:val="0039319C"/>
    <w:rsid w:val="003933FF"/>
    <w:rsid w:val="00393E48"/>
    <w:rsid w:val="00395165"/>
    <w:rsid w:val="003955D6"/>
    <w:rsid w:val="00395674"/>
    <w:rsid w:val="0039588E"/>
    <w:rsid w:val="00395A96"/>
    <w:rsid w:val="003A07C8"/>
    <w:rsid w:val="003A0E40"/>
    <w:rsid w:val="003A1847"/>
    <w:rsid w:val="003A18EA"/>
    <w:rsid w:val="003A1DFC"/>
    <w:rsid w:val="003A2B0B"/>
    <w:rsid w:val="003A3209"/>
    <w:rsid w:val="003A496B"/>
    <w:rsid w:val="003A6CFD"/>
    <w:rsid w:val="003B2747"/>
    <w:rsid w:val="003B2E7F"/>
    <w:rsid w:val="003B4D67"/>
    <w:rsid w:val="003B56C1"/>
    <w:rsid w:val="003B78BD"/>
    <w:rsid w:val="003C0697"/>
    <w:rsid w:val="003C093C"/>
    <w:rsid w:val="003C0BA5"/>
    <w:rsid w:val="003C157E"/>
    <w:rsid w:val="003C2881"/>
    <w:rsid w:val="003C3BB8"/>
    <w:rsid w:val="003C48D5"/>
    <w:rsid w:val="003C4E16"/>
    <w:rsid w:val="003C59F9"/>
    <w:rsid w:val="003C6711"/>
    <w:rsid w:val="003D0B3A"/>
    <w:rsid w:val="003D14DB"/>
    <w:rsid w:val="003D1BFA"/>
    <w:rsid w:val="003D2EB3"/>
    <w:rsid w:val="003D2F65"/>
    <w:rsid w:val="003D347C"/>
    <w:rsid w:val="003D3D7C"/>
    <w:rsid w:val="003D445A"/>
    <w:rsid w:val="003D55FC"/>
    <w:rsid w:val="003D73B6"/>
    <w:rsid w:val="003E33FD"/>
    <w:rsid w:val="003F0EC8"/>
    <w:rsid w:val="003F10C7"/>
    <w:rsid w:val="003F23DF"/>
    <w:rsid w:val="003F314E"/>
    <w:rsid w:val="003F6231"/>
    <w:rsid w:val="003F7A05"/>
    <w:rsid w:val="004006FC"/>
    <w:rsid w:val="004033C0"/>
    <w:rsid w:val="00403CA4"/>
    <w:rsid w:val="00404632"/>
    <w:rsid w:val="00407E9E"/>
    <w:rsid w:val="00407EB0"/>
    <w:rsid w:val="0041058F"/>
    <w:rsid w:val="00412DBF"/>
    <w:rsid w:val="00413A4C"/>
    <w:rsid w:val="00417630"/>
    <w:rsid w:val="00420646"/>
    <w:rsid w:val="00420AAD"/>
    <w:rsid w:val="00421217"/>
    <w:rsid w:val="00423A2E"/>
    <w:rsid w:val="00424C6D"/>
    <w:rsid w:val="00435D2F"/>
    <w:rsid w:val="00435F32"/>
    <w:rsid w:val="0043612B"/>
    <w:rsid w:val="004401EF"/>
    <w:rsid w:val="00442424"/>
    <w:rsid w:val="00444F92"/>
    <w:rsid w:val="004474DD"/>
    <w:rsid w:val="004504D5"/>
    <w:rsid w:val="0045296D"/>
    <w:rsid w:val="00452B18"/>
    <w:rsid w:val="00453AAD"/>
    <w:rsid w:val="00457B22"/>
    <w:rsid w:val="00457C2A"/>
    <w:rsid w:val="00460298"/>
    <w:rsid w:val="004615D5"/>
    <w:rsid w:val="00461B3B"/>
    <w:rsid w:val="00465A86"/>
    <w:rsid w:val="00466AB0"/>
    <w:rsid w:val="0047271F"/>
    <w:rsid w:val="0047332D"/>
    <w:rsid w:val="004751B8"/>
    <w:rsid w:val="00475E07"/>
    <w:rsid w:val="004805A6"/>
    <w:rsid w:val="00482D38"/>
    <w:rsid w:val="00483153"/>
    <w:rsid w:val="0048531D"/>
    <w:rsid w:val="00485E7B"/>
    <w:rsid w:val="00486D35"/>
    <w:rsid w:val="00487847"/>
    <w:rsid w:val="00492927"/>
    <w:rsid w:val="00493C46"/>
    <w:rsid w:val="004941D5"/>
    <w:rsid w:val="004962BE"/>
    <w:rsid w:val="00496D66"/>
    <w:rsid w:val="00497FBE"/>
    <w:rsid w:val="004A148D"/>
    <w:rsid w:val="004A247E"/>
    <w:rsid w:val="004A28A3"/>
    <w:rsid w:val="004A2980"/>
    <w:rsid w:val="004A3CD9"/>
    <w:rsid w:val="004A46CD"/>
    <w:rsid w:val="004A4EA4"/>
    <w:rsid w:val="004A5200"/>
    <w:rsid w:val="004A5620"/>
    <w:rsid w:val="004A6CD1"/>
    <w:rsid w:val="004B4ED5"/>
    <w:rsid w:val="004B51B1"/>
    <w:rsid w:val="004B648E"/>
    <w:rsid w:val="004B7CDC"/>
    <w:rsid w:val="004C0B65"/>
    <w:rsid w:val="004C4942"/>
    <w:rsid w:val="004C5CC2"/>
    <w:rsid w:val="004C6226"/>
    <w:rsid w:val="004C667D"/>
    <w:rsid w:val="004D0BC0"/>
    <w:rsid w:val="004D1590"/>
    <w:rsid w:val="004D286D"/>
    <w:rsid w:val="004D40AD"/>
    <w:rsid w:val="004D7043"/>
    <w:rsid w:val="004E002A"/>
    <w:rsid w:val="004E39F3"/>
    <w:rsid w:val="004E4398"/>
    <w:rsid w:val="004E5CDE"/>
    <w:rsid w:val="004E64DE"/>
    <w:rsid w:val="004E6565"/>
    <w:rsid w:val="004F06B5"/>
    <w:rsid w:val="004F07E6"/>
    <w:rsid w:val="004F1334"/>
    <w:rsid w:val="004F21FD"/>
    <w:rsid w:val="004F22DB"/>
    <w:rsid w:val="004F2E2B"/>
    <w:rsid w:val="004F572E"/>
    <w:rsid w:val="004F6523"/>
    <w:rsid w:val="004F6EB7"/>
    <w:rsid w:val="004F7593"/>
    <w:rsid w:val="004F7A07"/>
    <w:rsid w:val="005003AD"/>
    <w:rsid w:val="00500EBD"/>
    <w:rsid w:val="00502DD4"/>
    <w:rsid w:val="0050452C"/>
    <w:rsid w:val="00505263"/>
    <w:rsid w:val="00506C19"/>
    <w:rsid w:val="00507323"/>
    <w:rsid w:val="00511013"/>
    <w:rsid w:val="005110DE"/>
    <w:rsid w:val="00517E38"/>
    <w:rsid w:val="00517F12"/>
    <w:rsid w:val="005214B7"/>
    <w:rsid w:val="00521619"/>
    <w:rsid w:val="00521E04"/>
    <w:rsid w:val="00521FA6"/>
    <w:rsid w:val="00523A0A"/>
    <w:rsid w:val="00523FB1"/>
    <w:rsid w:val="00525858"/>
    <w:rsid w:val="00527061"/>
    <w:rsid w:val="005277CE"/>
    <w:rsid w:val="00531116"/>
    <w:rsid w:val="005313D3"/>
    <w:rsid w:val="00532241"/>
    <w:rsid w:val="00533714"/>
    <w:rsid w:val="00533EB5"/>
    <w:rsid w:val="00533EBF"/>
    <w:rsid w:val="00534539"/>
    <w:rsid w:val="0053490E"/>
    <w:rsid w:val="005349A4"/>
    <w:rsid w:val="00534D87"/>
    <w:rsid w:val="005351FB"/>
    <w:rsid w:val="005358E3"/>
    <w:rsid w:val="005359AA"/>
    <w:rsid w:val="00540795"/>
    <w:rsid w:val="00540857"/>
    <w:rsid w:val="00540891"/>
    <w:rsid w:val="00540C87"/>
    <w:rsid w:val="00541F99"/>
    <w:rsid w:val="00541FF3"/>
    <w:rsid w:val="00542D45"/>
    <w:rsid w:val="005476C5"/>
    <w:rsid w:val="00547AAF"/>
    <w:rsid w:val="00550EAB"/>
    <w:rsid w:val="00553337"/>
    <w:rsid w:val="005533D7"/>
    <w:rsid w:val="00555AFF"/>
    <w:rsid w:val="00557ADA"/>
    <w:rsid w:val="00562017"/>
    <w:rsid w:val="005636A7"/>
    <w:rsid w:val="00563AC3"/>
    <w:rsid w:val="00563B3D"/>
    <w:rsid w:val="00564D6E"/>
    <w:rsid w:val="00570BC2"/>
    <w:rsid w:val="00570C2D"/>
    <w:rsid w:val="005718B7"/>
    <w:rsid w:val="00573209"/>
    <w:rsid w:val="00575BF2"/>
    <w:rsid w:val="00575D01"/>
    <w:rsid w:val="00576206"/>
    <w:rsid w:val="0057725A"/>
    <w:rsid w:val="00581535"/>
    <w:rsid w:val="00581FCC"/>
    <w:rsid w:val="0058211C"/>
    <w:rsid w:val="00583A3C"/>
    <w:rsid w:val="00585224"/>
    <w:rsid w:val="005853B5"/>
    <w:rsid w:val="005866D6"/>
    <w:rsid w:val="005878E5"/>
    <w:rsid w:val="00591143"/>
    <w:rsid w:val="005913C8"/>
    <w:rsid w:val="00591E01"/>
    <w:rsid w:val="00591ECD"/>
    <w:rsid w:val="005923A1"/>
    <w:rsid w:val="00592B75"/>
    <w:rsid w:val="00592EC6"/>
    <w:rsid w:val="0059593E"/>
    <w:rsid w:val="00595E2B"/>
    <w:rsid w:val="00596862"/>
    <w:rsid w:val="00596A4A"/>
    <w:rsid w:val="005971DC"/>
    <w:rsid w:val="005974DA"/>
    <w:rsid w:val="005A0868"/>
    <w:rsid w:val="005A1103"/>
    <w:rsid w:val="005A3AFD"/>
    <w:rsid w:val="005A5244"/>
    <w:rsid w:val="005A64AB"/>
    <w:rsid w:val="005B1549"/>
    <w:rsid w:val="005B1ABD"/>
    <w:rsid w:val="005B3368"/>
    <w:rsid w:val="005B3B50"/>
    <w:rsid w:val="005B4053"/>
    <w:rsid w:val="005B4E1B"/>
    <w:rsid w:val="005B529F"/>
    <w:rsid w:val="005B65BD"/>
    <w:rsid w:val="005B79EE"/>
    <w:rsid w:val="005C0040"/>
    <w:rsid w:val="005C1901"/>
    <w:rsid w:val="005C1EA3"/>
    <w:rsid w:val="005C42ED"/>
    <w:rsid w:val="005C5DCD"/>
    <w:rsid w:val="005C7FDB"/>
    <w:rsid w:val="005D08BD"/>
    <w:rsid w:val="005E0ABB"/>
    <w:rsid w:val="005E2D03"/>
    <w:rsid w:val="005E4308"/>
    <w:rsid w:val="005E51ED"/>
    <w:rsid w:val="005F21C8"/>
    <w:rsid w:val="005F2406"/>
    <w:rsid w:val="005F404E"/>
    <w:rsid w:val="005F47B6"/>
    <w:rsid w:val="005F4C22"/>
    <w:rsid w:val="005F57FA"/>
    <w:rsid w:val="005F5E5B"/>
    <w:rsid w:val="005F6879"/>
    <w:rsid w:val="0060111D"/>
    <w:rsid w:val="00602877"/>
    <w:rsid w:val="00602952"/>
    <w:rsid w:val="00605437"/>
    <w:rsid w:val="00605C7A"/>
    <w:rsid w:val="006106FC"/>
    <w:rsid w:val="00611483"/>
    <w:rsid w:val="00612815"/>
    <w:rsid w:val="00612E67"/>
    <w:rsid w:val="00613ADA"/>
    <w:rsid w:val="006164F2"/>
    <w:rsid w:val="00616B3A"/>
    <w:rsid w:val="00617E09"/>
    <w:rsid w:val="0062062C"/>
    <w:rsid w:val="00620B2D"/>
    <w:rsid w:val="006230C5"/>
    <w:rsid w:val="006236B3"/>
    <w:rsid w:val="006250F5"/>
    <w:rsid w:val="0062520F"/>
    <w:rsid w:val="00625C7A"/>
    <w:rsid w:val="0062789E"/>
    <w:rsid w:val="006301FB"/>
    <w:rsid w:val="00640CA8"/>
    <w:rsid w:val="006418E3"/>
    <w:rsid w:val="00641B61"/>
    <w:rsid w:val="00641C6D"/>
    <w:rsid w:val="00642014"/>
    <w:rsid w:val="00644191"/>
    <w:rsid w:val="00644259"/>
    <w:rsid w:val="0065071A"/>
    <w:rsid w:val="00650A8C"/>
    <w:rsid w:val="00650C29"/>
    <w:rsid w:val="00651FA9"/>
    <w:rsid w:val="00652266"/>
    <w:rsid w:val="00653BCD"/>
    <w:rsid w:val="006542B8"/>
    <w:rsid w:val="006572D5"/>
    <w:rsid w:val="006577EE"/>
    <w:rsid w:val="00660310"/>
    <w:rsid w:val="00660E4A"/>
    <w:rsid w:val="006616FF"/>
    <w:rsid w:val="00662094"/>
    <w:rsid w:val="00665A06"/>
    <w:rsid w:val="00665B2E"/>
    <w:rsid w:val="006660C8"/>
    <w:rsid w:val="00672ABC"/>
    <w:rsid w:val="00674899"/>
    <w:rsid w:val="00674D90"/>
    <w:rsid w:val="0067612E"/>
    <w:rsid w:val="00677815"/>
    <w:rsid w:val="006837F2"/>
    <w:rsid w:val="006844D0"/>
    <w:rsid w:val="006874B4"/>
    <w:rsid w:val="006949AA"/>
    <w:rsid w:val="0069538B"/>
    <w:rsid w:val="006957BB"/>
    <w:rsid w:val="006976EC"/>
    <w:rsid w:val="006A10CA"/>
    <w:rsid w:val="006A25DA"/>
    <w:rsid w:val="006A2B7E"/>
    <w:rsid w:val="006A3604"/>
    <w:rsid w:val="006A615E"/>
    <w:rsid w:val="006B0C8D"/>
    <w:rsid w:val="006B3E41"/>
    <w:rsid w:val="006B4982"/>
    <w:rsid w:val="006B5A5E"/>
    <w:rsid w:val="006B6F01"/>
    <w:rsid w:val="006B71DC"/>
    <w:rsid w:val="006C08DE"/>
    <w:rsid w:val="006C1DFC"/>
    <w:rsid w:val="006C226D"/>
    <w:rsid w:val="006C28AA"/>
    <w:rsid w:val="006C3DD5"/>
    <w:rsid w:val="006C5669"/>
    <w:rsid w:val="006C5BE1"/>
    <w:rsid w:val="006C67D1"/>
    <w:rsid w:val="006D2116"/>
    <w:rsid w:val="006D493D"/>
    <w:rsid w:val="006D4AD1"/>
    <w:rsid w:val="006D5494"/>
    <w:rsid w:val="006D6347"/>
    <w:rsid w:val="006D7007"/>
    <w:rsid w:val="006D7035"/>
    <w:rsid w:val="006E107C"/>
    <w:rsid w:val="006E1C41"/>
    <w:rsid w:val="006E1E76"/>
    <w:rsid w:val="006E2111"/>
    <w:rsid w:val="006E2E42"/>
    <w:rsid w:val="006E50CF"/>
    <w:rsid w:val="006E53DE"/>
    <w:rsid w:val="006E577A"/>
    <w:rsid w:val="006F11D4"/>
    <w:rsid w:val="006F290C"/>
    <w:rsid w:val="006F31CF"/>
    <w:rsid w:val="006F498E"/>
    <w:rsid w:val="006F4E97"/>
    <w:rsid w:val="006F534C"/>
    <w:rsid w:val="006F6F56"/>
    <w:rsid w:val="006F6FA2"/>
    <w:rsid w:val="006F7FD1"/>
    <w:rsid w:val="007006EE"/>
    <w:rsid w:val="00700CA4"/>
    <w:rsid w:val="007017A0"/>
    <w:rsid w:val="007023FE"/>
    <w:rsid w:val="00702C57"/>
    <w:rsid w:val="00702FD1"/>
    <w:rsid w:val="007030CB"/>
    <w:rsid w:val="0070327D"/>
    <w:rsid w:val="00706469"/>
    <w:rsid w:val="007102B3"/>
    <w:rsid w:val="00710382"/>
    <w:rsid w:val="007114F2"/>
    <w:rsid w:val="00716E72"/>
    <w:rsid w:val="00720A70"/>
    <w:rsid w:val="00725E33"/>
    <w:rsid w:val="00725FB6"/>
    <w:rsid w:val="00726F77"/>
    <w:rsid w:val="00727F0B"/>
    <w:rsid w:val="00731DE0"/>
    <w:rsid w:val="00733328"/>
    <w:rsid w:val="007347EA"/>
    <w:rsid w:val="0074192D"/>
    <w:rsid w:val="007426B7"/>
    <w:rsid w:val="00742936"/>
    <w:rsid w:val="00743733"/>
    <w:rsid w:val="00744D06"/>
    <w:rsid w:val="00744D80"/>
    <w:rsid w:val="00746506"/>
    <w:rsid w:val="00750340"/>
    <w:rsid w:val="007504AF"/>
    <w:rsid w:val="0075337D"/>
    <w:rsid w:val="0075343B"/>
    <w:rsid w:val="007547A3"/>
    <w:rsid w:val="007561CA"/>
    <w:rsid w:val="00756CDB"/>
    <w:rsid w:val="00762E82"/>
    <w:rsid w:val="00763651"/>
    <w:rsid w:val="0076510A"/>
    <w:rsid w:val="0076548B"/>
    <w:rsid w:val="0076585A"/>
    <w:rsid w:val="007672B1"/>
    <w:rsid w:val="00767B04"/>
    <w:rsid w:val="007711F5"/>
    <w:rsid w:val="00773A31"/>
    <w:rsid w:val="00773B59"/>
    <w:rsid w:val="00777BA1"/>
    <w:rsid w:val="00777C57"/>
    <w:rsid w:val="0078032E"/>
    <w:rsid w:val="007805C0"/>
    <w:rsid w:val="0078064E"/>
    <w:rsid w:val="0078072D"/>
    <w:rsid w:val="00785616"/>
    <w:rsid w:val="0078779E"/>
    <w:rsid w:val="00787971"/>
    <w:rsid w:val="007900F1"/>
    <w:rsid w:val="00790D94"/>
    <w:rsid w:val="00790DD1"/>
    <w:rsid w:val="00791575"/>
    <w:rsid w:val="007917D8"/>
    <w:rsid w:val="00791AE0"/>
    <w:rsid w:val="00792E75"/>
    <w:rsid w:val="007942AC"/>
    <w:rsid w:val="0079464D"/>
    <w:rsid w:val="00794731"/>
    <w:rsid w:val="00794983"/>
    <w:rsid w:val="007955BE"/>
    <w:rsid w:val="00796511"/>
    <w:rsid w:val="0079651C"/>
    <w:rsid w:val="0079783C"/>
    <w:rsid w:val="007A1536"/>
    <w:rsid w:val="007A2D08"/>
    <w:rsid w:val="007A37D7"/>
    <w:rsid w:val="007A7CF2"/>
    <w:rsid w:val="007B048C"/>
    <w:rsid w:val="007B1725"/>
    <w:rsid w:val="007B453D"/>
    <w:rsid w:val="007B5C86"/>
    <w:rsid w:val="007B6249"/>
    <w:rsid w:val="007B65FC"/>
    <w:rsid w:val="007B75E9"/>
    <w:rsid w:val="007B7D44"/>
    <w:rsid w:val="007C30BE"/>
    <w:rsid w:val="007C4769"/>
    <w:rsid w:val="007C4928"/>
    <w:rsid w:val="007C4E5C"/>
    <w:rsid w:val="007C623A"/>
    <w:rsid w:val="007C6529"/>
    <w:rsid w:val="007C6B52"/>
    <w:rsid w:val="007D39C0"/>
    <w:rsid w:val="007D3E31"/>
    <w:rsid w:val="007E025D"/>
    <w:rsid w:val="007E155F"/>
    <w:rsid w:val="007E2D96"/>
    <w:rsid w:val="007E2FB8"/>
    <w:rsid w:val="007E38AB"/>
    <w:rsid w:val="007E4AAC"/>
    <w:rsid w:val="007E63A3"/>
    <w:rsid w:val="007E6F34"/>
    <w:rsid w:val="007E715D"/>
    <w:rsid w:val="007F177A"/>
    <w:rsid w:val="007F1B15"/>
    <w:rsid w:val="007F5FD5"/>
    <w:rsid w:val="00801919"/>
    <w:rsid w:val="00801B47"/>
    <w:rsid w:val="00801F25"/>
    <w:rsid w:val="0080213D"/>
    <w:rsid w:val="008031EB"/>
    <w:rsid w:val="00804656"/>
    <w:rsid w:val="0080469D"/>
    <w:rsid w:val="0080623E"/>
    <w:rsid w:val="00806470"/>
    <w:rsid w:val="0081196B"/>
    <w:rsid w:val="00811A04"/>
    <w:rsid w:val="0081337C"/>
    <w:rsid w:val="00813AD7"/>
    <w:rsid w:val="00813EE6"/>
    <w:rsid w:val="00814874"/>
    <w:rsid w:val="00816DF6"/>
    <w:rsid w:val="00820330"/>
    <w:rsid w:val="00820C54"/>
    <w:rsid w:val="00824C09"/>
    <w:rsid w:val="008266D8"/>
    <w:rsid w:val="008275FA"/>
    <w:rsid w:val="00827F07"/>
    <w:rsid w:val="00832A9C"/>
    <w:rsid w:val="00833395"/>
    <w:rsid w:val="0083357E"/>
    <w:rsid w:val="00834EEB"/>
    <w:rsid w:val="008356D5"/>
    <w:rsid w:val="00835A8C"/>
    <w:rsid w:val="00842416"/>
    <w:rsid w:val="008429C4"/>
    <w:rsid w:val="0084380E"/>
    <w:rsid w:val="0084398B"/>
    <w:rsid w:val="00844059"/>
    <w:rsid w:val="00844131"/>
    <w:rsid w:val="00846171"/>
    <w:rsid w:val="008464D2"/>
    <w:rsid w:val="0085094F"/>
    <w:rsid w:val="00850EDD"/>
    <w:rsid w:val="008536E9"/>
    <w:rsid w:val="00853B60"/>
    <w:rsid w:val="008567CE"/>
    <w:rsid w:val="008608E2"/>
    <w:rsid w:val="00860D0A"/>
    <w:rsid w:val="00860E83"/>
    <w:rsid w:val="0086359A"/>
    <w:rsid w:val="0086446B"/>
    <w:rsid w:val="00865DF3"/>
    <w:rsid w:val="0086601B"/>
    <w:rsid w:val="0086628E"/>
    <w:rsid w:val="008662E1"/>
    <w:rsid w:val="00867639"/>
    <w:rsid w:val="00867714"/>
    <w:rsid w:val="00870DF9"/>
    <w:rsid w:val="00871206"/>
    <w:rsid w:val="00883D06"/>
    <w:rsid w:val="00893A92"/>
    <w:rsid w:val="00893AF3"/>
    <w:rsid w:val="00895240"/>
    <w:rsid w:val="00895696"/>
    <w:rsid w:val="00895E62"/>
    <w:rsid w:val="00897435"/>
    <w:rsid w:val="00897848"/>
    <w:rsid w:val="00897868"/>
    <w:rsid w:val="008978F7"/>
    <w:rsid w:val="00897E8E"/>
    <w:rsid w:val="008A03D2"/>
    <w:rsid w:val="008A4E4E"/>
    <w:rsid w:val="008A7297"/>
    <w:rsid w:val="008A7AA5"/>
    <w:rsid w:val="008B0763"/>
    <w:rsid w:val="008B4634"/>
    <w:rsid w:val="008B51FC"/>
    <w:rsid w:val="008B62A5"/>
    <w:rsid w:val="008B75CB"/>
    <w:rsid w:val="008C165A"/>
    <w:rsid w:val="008C1926"/>
    <w:rsid w:val="008C3040"/>
    <w:rsid w:val="008C4B64"/>
    <w:rsid w:val="008C681E"/>
    <w:rsid w:val="008C6FC0"/>
    <w:rsid w:val="008D044F"/>
    <w:rsid w:val="008D09D2"/>
    <w:rsid w:val="008D580A"/>
    <w:rsid w:val="008D7492"/>
    <w:rsid w:val="008E3CC2"/>
    <w:rsid w:val="008E42CA"/>
    <w:rsid w:val="008E441E"/>
    <w:rsid w:val="008E4F1E"/>
    <w:rsid w:val="008E5DEF"/>
    <w:rsid w:val="008E690B"/>
    <w:rsid w:val="008F2F37"/>
    <w:rsid w:val="008F2F49"/>
    <w:rsid w:val="008F46EE"/>
    <w:rsid w:val="008F4E3E"/>
    <w:rsid w:val="008F5046"/>
    <w:rsid w:val="008F5CA0"/>
    <w:rsid w:val="008F5E9E"/>
    <w:rsid w:val="00900187"/>
    <w:rsid w:val="00901468"/>
    <w:rsid w:val="00903EFE"/>
    <w:rsid w:val="009057BA"/>
    <w:rsid w:val="00906C90"/>
    <w:rsid w:val="0091123C"/>
    <w:rsid w:val="0091441C"/>
    <w:rsid w:val="00914D20"/>
    <w:rsid w:val="00920715"/>
    <w:rsid w:val="0092089E"/>
    <w:rsid w:val="0092111B"/>
    <w:rsid w:val="00923786"/>
    <w:rsid w:val="00925000"/>
    <w:rsid w:val="0092598C"/>
    <w:rsid w:val="00926A58"/>
    <w:rsid w:val="00927C2E"/>
    <w:rsid w:val="00932789"/>
    <w:rsid w:val="00933281"/>
    <w:rsid w:val="0093337D"/>
    <w:rsid w:val="00933CFC"/>
    <w:rsid w:val="009349E4"/>
    <w:rsid w:val="009427BE"/>
    <w:rsid w:val="009435E2"/>
    <w:rsid w:val="0094386D"/>
    <w:rsid w:val="00947D8A"/>
    <w:rsid w:val="00947E19"/>
    <w:rsid w:val="00950E19"/>
    <w:rsid w:val="00950E4C"/>
    <w:rsid w:val="009527C2"/>
    <w:rsid w:val="00954BA5"/>
    <w:rsid w:val="00955CF2"/>
    <w:rsid w:val="00956CBE"/>
    <w:rsid w:val="009579D7"/>
    <w:rsid w:val="00962F7A"/>
    <w:rsid w:val="009634D5"/>
    <w:rsid w:val="00963662"/>
    <w:rsid w:val="009647C0"/>
    <w:rsid w:val="00965F45"/>
    <w:rsid w:val="009664D8"/>
    <w:rsid w:val="0097068B"/>
    <w:rsid w:val="00971EF3"/>
    <w:rsid w:val="00972423"/>
    <w:rsid w:val="009725D0"/>
    <w:rsid w:val="009726FF"/>
    <w:rsid w:val="0097358C"/>
    <w:rsid w:val="00973895"/>
    <w:rsid w:val="00974BD2"/>
    <w:rsid w:val="00976433"/>
    <w:rsid w:val="00981BD6"/>
    <w:rsid w:val="00984EC2"/>
    <w:rsid w:val="009855C4"/>
    <w:rsid w:val="00987CCC"/>
    <w:rsid w:val="0099169B"/>
    <w:rsid w:val="00991AB1"/>
    <w:rsid w:val="00991EEF"/>
    <w:rsid w:val="0099423B"/>
    <w:rsid w:val="009948A1"/>
    <w:rsid w:val="009959E8"/>
    <w:rsid w:val="00995B7E"/>
    <w:rsid w:val="00995FA3"/>
    <w:rsid w:val="009973FC"/>
    <w:rsid w:val="00997DA4"/>
    <w:rsid w:val="009A029E"/>
    <w:rsid w:val="009A0F38"/>
    <w:rsid w:val="009A1DBA"/>
    <w:rsid w:val="009A3D44"/>
    <w:rsid w:val="009A5068"/>
    <w:rsid w:val="009A52EA"/>
    <w:rsid w:val="009A5FCB"/>
    <w:rsid w:val="009A601E"/>
    <w:rsid w:val="009A7A8F"/>
    <w:rsid w:val="009B1B69"/>
    <w:rsid w:val="009B23F5"/>
    <w:rsid w:val="009B2974"/>
    <w:rsid w:val="009B312E"/>
    <w:rsid w:val="009B4314"/>
    <w:rsid w:val="009B4C0D"/>
    <w:rsid w:val="009B5FFA"/>
    <w:rsid w:val="009B7898"/>
    <w:rsid w:val="009B7C73"/>
    <w:rsid w:val="009C0EAC"/>
    <w:rsid w:val="009C31B4"/>
    <w:rsid w:val="009C6223"/>
    <w:rsid w:val="009C7103"/>
    <w:rsid w:val="009D0DC3"/>
    <w:rsid w:val="009D15CA"/>
    <w:rsid w:val="009D1624"/>
    <w:rsid w:val="009D2CD3"/>
    <w:rsid w:val="009D3981"/>
    <w:rsid w:val="009D515A"/>
    <w:rsid w:val="009D5EA8"/>
    <w:rsid w:val="009D6897"/>
    <w:rsid w:val="009D7AC7"/>
    <w:rsid w:val="009D7B4D"/>
    <w:rsid w:val="009D7DA4"/>
    <w:rsid w:val="009E0741"/>
    <w:rsid w:val="009E0B92"/>
    <w:rsid w:val="009E16A4"/>
    <w:rsid w:val="009E370E"/>
    <w:rsid w:val="009E3B1F"/>
    <w:rsid w:val="009E4417"/>
    <w:rsid w:val="009E5A5D"/>
    <w:rsid w:val="009E6B5A"/>
    <w:rsid w:val="009F05B6"/>
    <w:rsid w:val="009F0B83"/>
    <w:rsid w:val="009F1471"/>
    <w:rsid w:val="009F188D"/>
    <w:rsid w:val="009F3526"/>
    <w:rsid w:val="009F5C77"/>
    <w:rsid w:val="009F7A5F"/>
    <w:rsid w:val="00A009A6"/>
    <w:rsid w:val="00A01DCE"/>
    <w:rsid w:val="00A01E06"/>
    <w:rsid w:val="00A04052"/>
    <w:rsid w:val="00A04935"/>
    <w:rsid w:val="00A05CB0"/>
    <w:rsid w:val="00A05CFF"/>
    <w:rsid w:val="00A068D7"/>
    <w:rsid w:val="00A072C0"/>
    <w:rsid w:val="00A0759C"/>
    <w:rsid w:val="00A07CBC"/>
    <w:rsid w:val="00A10A29"/>
    <w:rsid w:val="00A1114D"/>
    <w:rsid w:val="00A13399"/>
    <w:rsid w:val="00A13ABA"/>
    <w:rsid w:val="00A174BA"/>
    <w:rsid w:val="00A17C3E"/>
    <w:rsid w:val="00A17F81"/>
    <w:rsid w:val="00A225C9"/>
    <w:rsid w:val="00A22C8E"/>
    <w:rsid w:val="00A2303D"/>
    <w:rsid w:val="00A25296"/>
    <w:rsid w:val="00A264BB"/>
    <w:rsid w:val="00A26AF4"/>
    <w:rsid w:val="00A30D61"/>
    <w:rsid w:val="00A32FF4"/>
    <w:rsid w:val="00A3386F"/>
    <w:rsid w:val="00A3400D"/>
    <w:rsid w:val="00A34380"/>
    <w:rsid w:val="00A35ACB"/>
    <w:rsid w:val="00A35E43"/>
    <w:rsid w:val="00A35EF7"/>
    <w:rsid w:val="00A36123"/>
    <w:rsid w:val="00A36536"/>
    <w:rsid w:val="00A40E0E"/>
    <w:rsid w:val="00A42F41"/>
    <w:rsid w:val="00A4410C"/>
    <w:rsid w:val="00A45F04"/>
    <w:rsid w:val="00A470AC"/>
    <w:rsid w:val="00A51081"/>
    <w:rsid w:val="00A51237"/>
    <w:rsid w:val="00A51C41"/>
    <w:rsid w:val="00A535AC"/>
    <w:rsid w:val="00A53716"/>
    <w:rsid w:val="00A57F43"/>
    <w:rsid w:val="00A60302"/>
    <w:rsid w:val="00A61429"/>
    <w:rsid w:val="00A618E0"/>
    <w:rsid w:val="00A6337F"/>
    <w:rsid w:val="00A6410E"/>
    <w:rsid w:val="00A66378"/>
    <w:rsid w:val="00A6696B"/>
    <w:rsid w:val="00A67188"/>
    <w:rsid w:val="00A67978"/>
    <w:rsid w:val="00A71F0B"/>
    <w:rsid w:val="00A729FE"/>
    <w:rsid w:val="00A72E14"/>
    <w:rsid w:val="00A759E1"/>
    <w:rsid w:val="00A77202"/>
    <w:rsid w:val="00A776C3"/>
    <w:rsid w:val="00A82707"/>
    <w:rsid w:val="00A84672"/>
    <w:rsid w:val="00A84FD1"/>
    <w:rsid w:val="00A861A9"/>
    <w:rsid w:val="00A91087"/>
    <w:rsid w:val="00A93B86"/>
    <w:rsid w:val="00A94610"/>
    <w:rsid w:val="00A96CC3"/>
    <w:rsid w:val="00A97023"/>
    <w:rsid w:val="00A9756F"/>
    <w:rsid w:val="00A97A1E"/>
    <w:rsid w:val="00AA18FC"/>
    <w:rsid w:val="00AA1AC9"/>
    <w:rsid w:val="00AA1F05"/>
    <w:rsid w:val="00AA2DB2"/>
    <w:rsid w:val="00AA2FE3"/>
    <w:rsid w:val="00AA3249"/>
    <w:rsid w:val="00AA3CDD"/>
    <w:rsid w:val="00AA485A"/>
    <w:rsid w:val="00AA5A0D"/>
    <w:rsid w:val="00AA73E3"/>
    <w:rsid w:val="00AB07E3"/>
    <w:rsid w:val="00AB082A"/>
    <w:rsid w:val="00AB1498"/>
    <w:rsid w:val="00AB7A38"/>
    <w:rsid w:val="00AC0150"/>
    <w:rsid w:val="00AC2497"/>
    <w:rsid w:val="00AC2AF7"/>
    <w:rsid w:val="00AC438E"/>
    <w:rsid w:val="00AC4611"/>
    <w:rsid w:val="00AC5678"/>
    <w:rsid w:val="00AC6278"/>
    <w:rsid w:val="00AC66D3"/>
    <w:rsid w:val="00AD18D5"/>
    <w:rsid w:val="00AD3763"/>
    <w:rsid w:val="00AD79D1"/>
    <w:rsid w:val="00AE06A0"/>
    <w:rsid w:val="00AE06D9"/>
    <w:rsid w:val="00AE1658"/>
    <w:rsid w:val="00AE291C"/>
    <w:rsid w:val="00AE4050"/>
    <w:rsid w:val="00AE4FB2"/>
    <w:rsid w:val="00AE5BFF"/>
    <w:rsid w:val="00AE6491"/>
    <w:rsid w:val="00AE64B2"/>
    <w:rsid w:val="00AE70AA"/>
    <w:rsid w:val="00AF4230"/>
    <w:rsid w:val="00AF5B15"/>
    <w:rsid w:val="00AF647E"/>
    <w:rsid w:val="00B007F9"/>
    <w:rsid w:val="00B013E8"/>
    <w:rsid w:val="00B015D8"/>
    <w:rsid w:val="00B01EE4"/>
    <w:rsid w:val="00B0210C"/>
    <w:rsid w:val="00B079C2"/>
    <w:rsid w:val="00B10B13"/>
    <w:rsid w:val="00B123C2"/>
    <w:rsid w:val="00B12528"/>
    <w:rsid w:val="00B1261B"/>
    <w:rsid w:val="00B137A8"/>
    <w:rsid w:val="00B1423C"/>
    <w:rsid w:val="00B15509"/>
    <w:rsid w:val="00B17F50"/>
    <w:rsid w:val="00B20388"/>
    <w:rsid w:val="00B2077A"/>
    <w:rsid w:val="00B21D84"/>
    <w:rsid w:val="00B270F0"/>
    <w:rsid w:val="00B27DBA"/>
    <w:rsid w:val="00B30B42"/>
    <w:rsid w:val="00B31054"/>
    <w:rsid w:val="00B3158A"/>
    <w:rsid w:val="00B31A62"/>
    <w:rsid w:val="00B34839"/>
    <w:rsid w:val="00B37878"/>
    <w:rsid w:val="00B44ABD"/>
    <w:rsid w:val="00B46F22"/>
    <w:rsid w:val="00B47101"/>
    <w:rsid w:val="00B53EA4"/>
    <w:rsid w:val="00B5452E"/>
    <w:rsid w:val="00B54F39"/>
    <w:rsid w:val="00B55E3F"/>
    <w:rsid w:val="00B5692D"/>
    <w:rsid w:val="00B5754D"/>
    <w:rsid w:val="00B57BCD"/>
    <w:rsid w:val="00B64D59"/>
    <w:rsid w:val="00B65518"/>
    <w:rsid w:val="00B6577D"/>
    <w:rsid w:val="00B73A3C"/>
    <w:rsid w:val="00B74C1F"/>
    <w:rsid w:val="00B758E5"/>
    <w:rsid w:val="00B75FF4"/>
    <w:rsid w:val="00B80792"/>
    <w:rsid w:val="00B81D05"/>
    <w:rsid w:val="00B81DE7"/>
    <w:rsid w:val="00B82F8E"/>
    <w:rsid w:val="00B85864"/>
    <w:rsid w:val="00B864A6"/>
    <w:rsid w:val="00B873BF"/>
    <w:rsid w:val="00B9055A"/>
    <w:rsid w:val="00B92004"/>
    <w:rsid w:val="00B93F44"/>
    <w:rsid w:val="00B97662"/>
    <w:rsid w:val="00B97BD5"/>
    <w:rsid w:val="00BA4C7A"/>
    <w:rsid w:val="00BA50CE"/>
    <w:rsid w:val="00BA6068"/>
    <w:rsid w:val="00BB0ACC"/>
    <w:rsid w:val="00BB2812"/>
    <w:rsid w:val="00BB3F41"/>
    <w:rsid w:val="00BB447D"/>
    <w:rsid w:val="00BB4DC9"/>
    <w:rsid w:val="00BB4EDE"/>
    <w:rsid w:val="00BB65DD"/>
    <w:rsid w:val="00BC29D7"/>
    <w:rsid w:val="00BC3B23"/>
    <w:rsid w:val="00BC488B"/>
    <w:rsid w:val="00BC7D89"/>
    <w:rsid w:val="00BD11CC"/>
    <w:rsid w:val="00BD15D9"/>
    <w:rsid w:val="00BD1B1B"/>
    <w:rsid w:val="00BD3778"/>
    <w:rsid w:val="00BD636C"/>
    <w:rsid w:val="00BE0317"/>
    <w:rsid w:val="00BE058B"/>
    <w:rsid w:val="00BE05A0"/>
    <w:rsid w:val="00BE2723"/>
    <w:rsid w:val="00BE2CAD"/>
    <w:rsid w:val="00BE54BE"/>
    <w:rsid w:val="00BE61D0"/>
    <w:rsid w:val="00BE6F26"/>
    <w:rsid w:val="00BF0CB3"/>
    <w:rsid w:val="00BF1F2A"/>
    <w:rsid w:val="00BF202F"/>
    <w:rsid w:val="00BF2149"/>
    <w:rsid w:val="00BF6A66"/>
    <w:rsid w:val="00C01AA9"/>
    <w:rsid w:val="00C040C2"/>
    <w:rsid w:val="00C04BAC"/>
    <w:rsid w:val="00C054B7"/>
    <w:rsid w:val="00C06938"/>
    <w:rsid w:val="00C1054E"/>
    <w:rsid w:val="00C13305"/>
    <w:rsid w:val="00C1348E"/>
    <w:rsid w:val="00C154F2"/>
    <w:rsid w:val="00C155C5"/>
    <w:rsid w:val="00C16B10"/>
    <w:rsid w:val="00C17503"/>
    <w:rsid w:val="00C21862"/>
    <w:rsid w:val="00C2244D"/>
    <w:rsid w:val="00C22C0D"/>
    <w:rsid w:val="00C23801"/>
    <w:rsid w:val="00C276AE"/>
    <w:rsid w:val="00C30246"/>
    <w:rsid w:val="00C30BF3"/>
    <w:rsid w:val="00C30ECE"/>
    <w:rsid w:val="00C31DE2"/>
    <w:rsid w:val="00C31F18"/>
    <w:rsid w:val="00C3208B"/>
    <w:rsid w:val="00C320B7"/>
    <w:rsid w:val="00C34166"/>
    <w:rsid w:val="00C3471B"/>
    <w:rsid w:val="00C3540C"/>
    <w:rsid w:val="00C354D1"/>
    <w:rsid w:val="00C4231D"/>
    <w:rsid w:val="00C4242F"/>
    <w:rsid w:val="00C426E0"/>
    <w:rsid w:val="00C42AE4"/>
    <w:rsid w:val="00C444C5"/>
    <w:rsid w:val="00C45EAC"/>
    <w:rsid w:val="00C467DE"/>
    <w:rsid w:val="00C472BE"/>
    <w:rsid w:val="00C476ED"/>
    <w:rsid w:val="00C53248"/>
    <w:rsid w:val="00C53735"/>
    <w:rsid w:val="00C547D0"/>
    <w:rsid w:val="00C56241"/>
    <w:rsid w:val="00C56B09"/>
    <w:rsid w:val="00C57B6C"/>
    <w:rsid w:val="00C62538"/>
    <w:rsid w:val="00C62A2F"/>
    <w:rsid w:val="00C65AFB"/>
    <w:rsid w:val="00C66EC4"/>
    <w:rsid w:val="00C66FDA"/>
    <w:rsid w:val="00C737F3"/>
    <w:rsid w:val="00C768F5"/>
    <w:rsid w:val="00C80363"/>
    <w:rsid w:val="00C81640"/>
    <w:rsid w:val="00C8205B"/>
    <w:rsid w:val="00C82385"/>
    <w:rsid w:val="00C82EB7"/>
    <w:rsid w:val="00C83326"/>
    <w:rsid w:val="00C839DB"/>
    <w:rsid w:val="00C84A0D"/>
    <w:rsid w:val="00C8508E"/>
    <w:rsid w:val="00C85AB9"/>
    <w:rsid w:val="00C85F06"/>
    <w:rsid w:val="00C921D5"/>
    <w:rsid w:val="00C93331"/>
    <w:rsid w:val="00C934A5"/>
    <w:rsid w:val="00C935C1"/>
    <w:rsid w:val="00C94063"/>
    <w:rsid w:val="00C97233"/>
    <w:rsid w:val="00C9730F"/>
    <w:rsid w:val="00C97E49"/>
    <w:rsid w:val="00CA2C78"/>
    <w:rsid w:val="00CA2ECC"/>
    <w:rsid w:val="00CA31DE"/>
    <w:rsid w:val="00CA33A6"/>
    <w:rsid w:val="00CA5B65"/>
    <w:rsid w:val="00CA5BE7"/>
    <w:rsid w:val="00CA5C2D"/>
    <w:rsid w:val="00CA7A0D"/>
    <w:rsid w:val="00CB000F"/>
    <w:rsid w:val="00CB042C"/>
    <w:rsid w:val="00CB043B"/>
    <w:rsid w:val="00CB06AF"/>
    <w:rsid w:val="00CB1100"/>
    <w:rsid w:val="00CB24AE"/>
    <w:rsid w:val="00CB4707"/>
    <w:rsid w:val="00CB671B"/>
    <w:rsid w:val="00CC61E2"/>
    <w:rsid w:val="00CC6275"/>
    <w:rsid w:val="00CD0121"/>
    <w:rsid w:val="00CD22E8"/>
    <w:rsid w:val="00CD332D"/>
    <w:rsid w:val="00CE079B"/>
    <w:rsid w:val="00CE1044"/>
    <w:rsid w:val="00CE1763"/>
    <w:rsid w:val="00CE218C"/>
    <w:rsid w:val="00CE3579"/>
    <w:rsid w:val="00CE426F"/>
    <w:rsid w:val="00CE6D59"/>
    <w:rsid w:val="00CF0709"/>
    <w:rsid w:val="00CF252F"/>
    <w:rsid w:val="00CF4AC4"/>
    <w:rsid w:val="00D00000"/>
    <w:rsid w:val="00D02C9C"/>
    <w:rsid w:val="00D06B5D"/>
    <w:rsid w:val="00D06B89"/>
    <w:rsid w:val="00D070D2"/>
    <w:rsid w:val="00D07263"/>
    <w:rsid w:val="00D077DA"/>
    <w:rsid w:val="00D1301A"/>
    <w:rsid w:val="00D13E2F"/>
    <w:rsid w:val="00D14E13"/>
    <w:rsid w:val="00D160E2"/>
    <w:rsid w:val="00D179AB"/>
    <w:rsid w:val="00D206DC"/>
    <w:rsid w:val="00D22A48"/>
    <w:rsid w:val="00D23AE1"/>
    <w:rsid w:val="00D272FC"/>
    <w:rsid w:val="00D37CB7"/>
    <w:rsid w:val="00D40044"/>
    <w:rsid w:val="00D4182C"/>
    <w:rsid w:val="00D41C1E"/>
    <w:rsid w:val="00D41F6E"/>
    <w:rsid w:val="00D4284F"/>
    <w:rsid w:val="00D44E81"/>
    <w:rsid w:val="00D452BC"/>
    <w:rsid w:val="00D46043"/>
    <w:rsid w:val="00D4748F"/>
    <w:rsid w:val="00D50E5D"/>
    <w:rsid w:val="00D5294A"/>
    <w:rsid w:val="00D53780"/>
    <w:rsid w:val="00D54525"/>
    <w:rsid w:val="00D573FC"/>
    <w:rsid w:val="00D574CD"/>
    <w:rsid w:val="00D6001E"/>
    <w:rsid w:val="00D62AB6"/>
    <w:rsid w:val="00D62D93"/>
    <w:rsid w:val="00D661C8"/>
    <w:rsid w:val="00D6662A"/>
    <w:rsid w:val="00D672DF"/>
    <w:rsid w:val="00D707E6"/>
    <w:rsid w:val="00D72D47"/>
    <w:rsid w:val="00D7610D"/>
    <w:rsid w:val="00D76B30"/>
    <w:rsid w:val="00D8249E"/>
    <w:rsid w:val="00D82C70"/>
    <w:rsid w:val="00D82D39"/>
    <w:rsid w:val="00D836C8"/>
    <w:rsid w:val="00D84137"/>
    <w:rsid w:val="00D843DD"/>
    <w:rsid w:val="00D8641F"/>
    <w:rsid w:val="00D87BC4"/>
    <w:rsid w:val="00D87C7B"/>
    <w:rsid w:val="00D91FE8"/>
    <w:rsid w:val="00D9220F"/>
    <w:rsid w:val="00D94076"/>
    <w:rsid w:val="00D95B98"/>
    <w:rsid w:val="00D9676A"/>
    <w:rsid w:val="00D968B0"/>
    <w:rsid w:val="00D96D61"/>
    <w:rsid w:val="00D97E41"/>
    <w:rsid w:val="00DA0F04"/>
    <w:rsid w:val="00DA189B"/>
    <w:rsid w:val="00DA2B33"/>
    <w:rsid w:val="00DA33C0"/>
    <w:rsid w:val="00DA5020"/>
    <w:rsid w:val="00DA54B4"/>
    <w:rsid w:val="00DA5D09"/>
    <w:rsid w:val="00DA60EF"/>
    <w:rsid w:val="00DA6114"/>
    <w:rsid w:val="00DA6DDF"/>
    <w:rsid w:val="00DB1202"/>
    <w:rsid w:val="00DB25AC"/>
    <w:rsid w:val="00DB49F7"/>
    <w:rsid w:val="00DB5142"/>
    <w:rsid w:val="00DB5FAC"/>
    <w:rsid w:val="00DB6253"/>
    <w:rsid w:val="00DC1F6B"/>
    <w:rsid w:val="00DC2FBF"/>
    <w:rsid w:val="00DC33DB"/>
    <w:rsid w:val="00DC4A8C"/>
    <w:rsid w:val="00DC4C9F"/>
    <w:rsid w:val="00DC4EBA"/>
    <w:rsid w:val="00DC6CF2"/>
    <w:rsid w:val="00DD0F73"/>
    <w:rsid w:val="00DD2E54"/>
    <w:rsid w:val="00DD3ECE"/>
    <w:rsid w:val="00DD4904"/>
    <w:rsid w:val="00DD5DD5"/>
    <w:rsid w:val="00DD6E1C"/>
    <w:rsid w:val="00DE2361"/>
    <w:rsid w:val="00DE5B23"/>
    <w:rsid w:val="00DE5D89"/>
    <w:rsid w:val="00DE7042"/>
    <w:rsid w:val="00DE7155"/>
    <w:rsid w:val="00DE75D4"/>
    <w:rsid w:val="00DE77F4"/>
    <w:rsid w:val="00DE79C3"/>
    <w:rsid w:val="00DF105E"/>
    <w:rsid w:val="00DF119B"/>
    <w:rsid w:val="00DF228D"/>
    <w:rsid w:val="00DF2B86"/>
    <w:rsid w:val="00DF345C"/>
    <w:rsid w:val="00DF5015"/>
    <w:rsid w:val="00DF5428"/>
    <w:rsid w:val="00E01635"/>
    <w:rsid w:val="00E02757"/>
    <w:rsid w:val="00E0376E"/>
    <w:rsid w:val="00E13DD8"/>
    <w:rsid w:val="00E15E53"/>
    <w:rsid w:val="00E15F12"/>
    <w:rsid w:val="00E15F9B"/>
    <w:rsid w:val="00E161BB"/>
    <w:rsid w:val="00E1744A"/>
    <w:rsid w:val="00E17AE4"/>
    <w:rsid w:val="00E206C3"/>
    <w:rsid w:val="00E22731"/>
    <w:rsid w:val="00E24C00"/>
    <w:rsid w:val="00E253F3"/>
    <w:rsid w:val="00E2665C"/>
    <w:rsid w:val="00E27D25"/>
    <w:rsid w:val="00E30B24"/>
    <w:rsid w:val="00E35BAC"/>
    <w:rsid w:val="00E36AEE"/>
    <w:rsid w:val="00E37232"/>
    <w:rsid w:val="00E378AB"/>
    <w:rsid w:val="00E37FA6"/>
    <w:rsid w:val="00E40329"/>
    <w:rsid w:val="00E408AA"/>
    <w:rsid w:val="00E41F69"/>
    <w:rsid w:val="00E43DD9"/>
    <w:rsid w:val="00E44C8A"/>
    <w:rsid w:val="00E52712"/>
    <w:rsid w:val="00E52F54"/>
    <w:rsid w:val="00E5356B"/>
    <w:rsid w:val="00E53CA6"/>
    <w:rsid w:val="00E53EF5"/>
    <w:rsid w:val="00E54197"/>
    <w:rsid w:val="00E54337"/>
    <w:rsid w:val="00E55FC2"/>
    <w:rsid w:val="00E60857"/>
    <w:rsid w:val="00E60ECC"/>
    <w:rsid w:val="00E61929"/>
    <w:rsid w:val="00E64546"/>
    <w:rsid w:val="00E668FF"/>
    <w:rsid w:val="00E66BC0"/>
    <w:rsid w:val="00E6719B"/>
    <w:rsid w:val="00E671E8"/>
    <w:rsid w:val="00E67ED6"/>
    <w:rsid w:val="00E715ED"/>
    <w:rsid w:val="00E72CA2"/>
    <w:rsid w:val="00E74E38"/>
    <w:rsid w:val="00E769D6"/>
    <w:rsid w:val="00E77420"/>
    <w:rsid w:val="00E80A2E"/>
    <w:rsid w:val="00E843C7"/>
    <w:rsid w:val="00E852BE"/>
    <w:rsid w:val="00E87942"/>
    <w:rsid w:val="00E87F3F"/>
    <w:rsid w:val="00E90BE5"/>
    <w:rsid w:val="00E90C1C"/>
    <w:rsid w:val="00E92687"/>
    <w:rsid w:val="00E92843"/>
    <w:rsid w:val="00E951B0"/>
    <w:rsid w:val="00E964FC"/>
    <w:rsid w:val="00E96BBB"/>
    <w:rsid w:val="00E972DF"/>
    <w:rsid w:val="00EA008A"/>
    <w:rsid w:val="00EA0102"/>
    <w:rsid w:val="00EA01CA"/>
    <w:rsid w:val="00EA0AD0"/>
    <w:rsid w:val="00EA3904"/>
    <w:rsid w:val="00EA5256"/>
    <w:rsid w:val="00EA6208"/>
    <w:rsid w:val="00EB1087"/>
    <w:rsid w:val="00EB1987"/>
    <w:rsid w:val="00EB3D95"/>
    <w:rsid w:val="00EB71E0"/>
    <w:rsid w:val="00EC0E67"/>
    <w:rsid w:val="00EC15CE"/>
    <w:rsid w:val="00EC332F"/>
    <w:rsid w:val="00EC38CC"/>
    <w:rsid w:val="00EC4DF6"/>
    <w:rsid w:val="00EC4F66"/>
    <w:rsid w:val="00EC5566"/>
    <w:rsid w:val="00EC5BA5"/>
    <w:rsid w:val="00EC6EBE"/>
    <w:rsid w:val="00ED0144"/>
    <w:rsid w:val="00ED28DB"/>
    <w:rsid w:val="00ED30E0"/>
    <w:rsid w:val="00ED395F"/>
    <w:rsid w:val="00ED5DA7"/>
    <w:rsid w:val="00EE05E1"/>
    <w:rsid w:val="00EE258C"/>
    <w:rsid w:val="00EE3C61"/>
    <w:rsid w:val="00EE7B6E"/>
    <w:rsid w:val="00EF0321"/>
    <w:rsid w:val="00EF0815"/>
    <w:rsid w:val="00EF13DE"/>
    <w:rsid w:val="00EF1506"/>
    <w:rsid w:val="00EF1AAA"/>
    <w:rsid w:val="00EF1BA5"/>
    <w:rsid w:val="00EF1BBC"/>
    <w:rsid w:val="00EF21B1"/>
    <w:rsid w:val="00EF2BDC"/>
    <w:rsid w:val="00EF4898"/>
    <w:rsid w:val="00EF4AA7"/>
    <w:rsid w:val="00EF7C46"/>
    <w:rsid w:val="00F00530"/>
    <w:rsid w:val="00F01FE9"/>
    <w:rsid w:val="00F03DB0"/>
    <w:rsid w:val="00F063A7"/>
    <w:rsid w:val="00F06886"/>
    <w:rsid w:val="00F07377"/>
    <w:rsid w:val="00F07457"/>
    <w:rsid w:val="00F0777D"/>
    <w:rsid w:val="00F079C8"/>
    <w:rsid w:val="00F103C8"/>
    <w:rsid w:val="00F14051"/>
    <w:rsid w:val="00F16636"/>
    <w:rsid w:val="00F16D54"/>
    <w:rsid w:val="00F17C5C"/>
    <w:rsid w:val="00F20FD7"/>
    <w:rsid w:val="00F228E0"/>
    <w:rsid w:val="00F22E78"/>
    <w:rsid w:val="00F24633"/>
    <w:rsid w:val="00F2470A"/>
    <w:rsid w:val="00F27E8C"/>
    <w:rsid w:val="00F303F7"/>
    <w:rsid w:val="00F30D9E"/>
    <w:rsid w:val="00F322C6"/>
    <w:rsid w:val="00F33218"/>
    <w:rsid w:val="00F37D3B"/>
    <w:rsid w:val="00F40610"/>
    <w:rsid w:val="00F4255D"/>
    <w:rsid w:val="00F4362F"/>
    <w:rsid w:val="00F4479C"/>
    <w:rsid w:val="00F447B4"/>
    <w:rsid w:val="00F44900"/>
    <w:rsid w:val="00F44CE3"/>
    <w:rsid w:val="00F45859"/>
    <w:rsid w:val="00F4777C"/>
    <w:rsid w:val="00F50309"/>
    <w:rsid w:val="00F504C5"/>
    <w:rsid w:val="00F51750"/>
    <w:rsid w:val="00F5437E"/>
    <w:rsid w:val="00F553FA"/>
    <w:rsid w:val="00F55BAA"/>
    <w:rsid w:val="00F5689E"/>
    <w:rsid w:val="00F60A28"/>
    <w:rsid w:val="00F60D05"/>
    <w:rsid w:val="00F61ABE"/>
    <w:rsid w:val="00F65011"/>
    <w:rsid w:val="00F6747C"/>
    <w:rsid w:val="00F716EA"/>
    <w:rsid w:val="00F7282B"/>
    <w:rsid w:val="00F72A72"/>
    <w:rsid w:val="00F75AD0"/>
    <w:rsid w:val="00F760AC"/>
    <w:rsid w:val="00F761A9"/>
    <w:rsid w:val="00F8226E"/>
    <w:rsid w:val="00F86350"/>
    <w:rsid w:val="00F86A41"/>
    <w:rsid w:val="00F8748D"/>
    <w:rsid w:val="00F91916"/>
    <w:rsid w:val="00F927F3"/>
    <w:rsid w:val="00F93A1D"/>
    <w:rsid w:val="00F93CC8"/>
    <w:rsid w:val="00F93D88"/>
    <w:rsid w:val="00F95335"/>
    <w:rsid w:val="00F9598E"/>
    <w:rsid w:val="00F9655F"/>
    <w:rsid w:val="00F97081"/>
    <w:rsid w:val="00FA1877"/>
    <w:rsid w:val="00FA22D2"/>
    <w:rsid w:val="00FA2748"/>
    <w:rsid w:val="00FA27C1"/>
    <w:rsid w:val="00FA6573"/>
    <w:rsid w:val="00FA725A"/>
    <w:rsid w:val="00FA7852"/>
    <w:rsid w:val="00FB1699"/>
    <w:rsid w:val="00FB16F0"/>
    <w:rsid w:val="00FB2161"/>
    <w:rsid w:val="00FB4A8E"/>
    <w:rsid w:val="00FB75F1"/>
    <w:rsid w:val="00FC01E6"/>
    <w:rsid w:val="00FC195D"/>
    <w:rsid w:val="00FC1F0F"/>
    <w:rsid w:val="00FC2338"/>
    <w:rsid w:val="00FC286C"/>
    <w:rsid w:val="00FC38F1"/>
    <w:rsid w:val="00FC64BB"/>
    <w:rsid w:val="00FD10DB"/>
    <w:rsid w:val="00FD18AA"/>
    <w:rsid w:val="00FD1B8C"/>
    <w:rsid w:val="00FD38C0"/>
    <w:rsid w:val="00FD42D9"/>
    <w:rsid w:val="00FD57AC"/>
    <w:rsid w:val="00FD6E6D"/>
    <w:rsid w:val="00FE03CC"/>
    <w:rsid w:val="00FE2610"/>
    <w:rsid w:val="00FE42A9"/>
    <w:rsid w:val="00FF016D"/>
    <w:rsid w:val="00FF1291"/>
    <w:rsid w:val="00FF1B8E"/>
    <w:rsid w:val="00FF20C1"/>
    <w:rsid w:val="00FF23B2"/>
    <w:rsid w:val="00FF2941"/>
    <w:rsid w:val="00FF5BCF"/>
    <w:rsid w:val="00FF6807"/>
    <w:rsid w:val="00FF69C5"/>
    <w:rsid w:val="00FF6A25"/>
    <w:rsid w:val="00FF7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D94C56"/>
  <w15:chartTrackingRefBased/>
  <w15:docId w15:val="{96A2D248-D70B-9144-8F5A-024583DEC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7FDB"/>
    <w:rPr>
      <w:color w:val="0563C1" w:themeColor="hyperlink"/>
      <w:u w:val="single"/>
    </w:rPr>
  </w:style>
  <w:style w:type="character" w:styleId="UnresolvedMention">
    <w:name w:val="Unresolved Mention"/>
    <w:basedOn w:val="DefaultParagraphFont"/>
    <w:uiPriority w:val="99"/>
    <w:semiHidden/>
    <w:unhideWhenUsed/>
    <w:rsid w:val="005C7FDB"/>
    <w:rPr>
      <w:color w:val="605E5C"/>
      <w:shd w:val="clear" w:color="auto" w:fill="E1DFDD"/>
    </w:rPr>
  </w:style>
  <w:style w:type="paragraph" w:styleId="Header">
    <w:name w:val="header"/>
    <w:basedOn w:val="Normal"/>
    <w:link w:val="HeaderChar"/>
    <w:uiPriority w:val="99"/>
    <w:unhideWhenUsed/>
    <w:rsid w:val="00CD01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0121"/>
  </w:style>
  <w:style w:type="paragraph" w:styleId="Footer">
    <w:name w:val="footer"/>
    <w:basedOn w:val="Normal"/>
    <w:link w:val="FooterChar"/>
    <w:uiPriority w:val="99"/>
    <w:unhideWhenUsed/>
    <w:rsid w:val="00CD01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0121"/>
  </w:style>
  <w:style w:type="character" w:styleId="FollowedHyperlink">
    <w:name w:val="FollowedHyperlink"/>
    <w:basedOn w:val="DefaultParagraphFont"/>
    <w:uiPriority w:val="99"/>
    <w:semiHidden/>
    <w:unhideWhenUsed/>
    <w:rsid w:val="00EF2B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rissmith.co.uk/blog/easement-the-basics-explained/" TargetMode="External" /><Relationship Id="rId13" Type="http://schemas.openxmlformats.org/officeDocument/2006/relationships/hyperlink" Target="https://www.hughes-paddison.co.uk/site/blog/commercial_property/car-parkinga-legal-right" TargetMode="External" /><Relationship Id="rId18" Type="http://schemas.openxmlformats.org/officeDocument/2006/relationships/hyperlink" Target="http://www.lawcom.gov.uk/app/uploads/2015/03/lc327_easements_analysis_of_responses.pdf" TargetMode="External" /><Relationship Id="rId26" Type="http://schemas.openxmlformats.org/officeDocument/2006/relationships/hyperlink" Target="https://uk.practicallaw.thomsonreuters.com/7-101-5276?transitionType=Default&amp;contextData=(sc.Default)&amp;firstPage=true" TargetMode="External" /><Relationship Id="rId3" Type="http://schemas.openxmlformats.org/officeDocument/2006/relationships/webSettings" Target="webSettings.xml" /><Relationship Id="rId21" Type="http://schemas.openxmlformats.org/officeDocument/2006/relationships/hyperlink" Target="https://www.bateswells.co.uk/wp-content/uploads/2019/ob/bwb-pu-easements-oct13-pdf.pdf" TargetMode="External" /><Relationship Id="rId7" Type="http://schemas.openxmlformats.org/officeDocument/2006/relationships/hyperlink" Target="https://www.adams-harrison,co,uk/prescriptive-easements-what-are-they/" TargetMode="External" /><Relationship Id="rId12" Type="http://schemas.openxmlformats.org/officeDocument/2006/relationships/hyperlink" Target="https://doi.org/10.1017/S0008197300095489" TargetMode="External" /><Relationship Id="rId17" Type="http://schemas.openxmlformats.org/officeDocument/2006/relationships/hyperlink" Target="https://www.landregistry-titledeeds.co.uk/frequently-asked-questions/information/private-rights-of-way.asp" TargetMode="External" /><Relationship Id="rId25" Type="http://schemas.openxmlformats.org/officeDocument/2006/relationships/hyperlink" Target="https://www.tanfieldchambers.co.uk/2017/11/10/can-a-parking-right-be-an-easement/" TargetMode="External" /><Relationship Id="rId2" Type="http://schemas.openxmlformats.org/officeDocument/2006/relationships/settings" Target="settings.xml" /><Relationship Id="rId16" Type="http://schemas.openxmlformats.org/officeDocument/2006/relationships/hyperlink" Target="https://www.birketts.co.uk/insights/legal-updates/what-is-an-easement" TargetMode="External" /><Relationship Id="rId20" Type="http://schemas.openxmlformats.org/officeDocument/2006/relationships/hyperlink" Target="https://www.lawsblog.london.ac.uk/wp-content/uploads/2019/04/transcript-5.pdf" TargetMode="External" /><Relationship Id="rId29" Type="http://schemas.openxmlformats.org/officeDocument/2006/relationships/hyperlink" Target="https://vardags.com/law-guide/basic-principles-property-law/what-is-an-easement-on-a-property" TargetMode="External" /><Relationship Id="rId1" Type="http://schemas.openxmlformats.org/officeDocument/2006/relationships/styles" Target="styles.xml" /><Relationship Id="rId6" Type="http://schemas.openxmlformats.org/officeDocument/2006/relationships/hyperlink" Target="https://doi.org/10.1017/S0008197300113509" TargetMode="External" /><Relationship Id="rId11" Type="http://schemas.openxmlformats.org/officeDocument/2006/relationships/hyperlink" Target="https://doi.org/10.1017/S0008197308000238" TargetMode="External" /><Relationship Id="rId24" Type="http://schemas.openxmlformats.org/officeDocument/2006/relationships/hyperlink" Target="https://www.tanfieldchambers.co.uk/2016/02/16/what-is-an-easement-and-how-are-they-created-and-used/" TargetMode="External" /><Relationship Id="rId32" Type="http://schemas.openxmlformats.org/officeDocument/2006/relationships/theme" Target="theme/theme1.xml" /><Relationship Id="rId5" Type="http://schemas.openxmlformats.org/officeDocument/2006/relationships/endnotes" Target="endnotes.xml" /><Relationship Id="rId15" Type="http://schemas.openxmlformats.org/officeDocument/2006/relationships/hyperlink" Target="https://scholarship.kentlaw.iit.edu/cgi/viewcontent.cgi?article=1835&amp;context=cklawreview" TargetMode="External" /><Relationship Id="rId23" Type="http://schemas.openxmlformats.org/officeDocument/2006/relationships/hyperlink" Target="https://swarb.co.uk/metropolitan-railway-co-v-fowler-ca-1892/" TargetMode="External" /><Relationship Id="rId28" Type="http://schemas.openxmlformats.org/officeDocument/2006/relationships/hyperlink" Target="https://www.inbrief.co.uk/land-law/claiming-easement/" TargetMode="External" /><Relationship Id="rId10" Type="http://schemas.openxmlformats.org/officeDocument/2006/relationships/hyperlink" Target="https://www.proquest.com/decoview/2173843619?accountid=130472&amp;pq-origsite=primo" TargetMode="External" /><Relationship Id="rId19" Type="http://schemas.openxmlformats.org/officeDocument/2006/relationships/hyperlink" Target="https://www.frettens.co.uk/site/library/frettensnews/a-guide-to-easements-solicitors-bournemouth" TargetMode="External" /><Relationship Id="rId31"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hyperlink" Target="https://www.stjohnschambers.co.uk/wp-content/uploads/2018/10/Parking-as-an-easement-or-as-a-basis-for-adverse-possessions.pdf" TargetMode="External" /><Relationship Id="rId14" Type="http://schemas.openxmlformats.org/officeDocument/2006/relationships/hyperlink" Target="https://www.gov.uk/government/publications/easements-claimed-by-prescription/practice-guide-52-easements-claimed-by-prescription" TargetMode="External" /><Relationship Id="rId22" Type="http://schemas.openxmlformats.org/officeDocument/2006/relationships/hyperlink" Target="https://www.wrighthassall.co.uk/knowledge-base/claiming-a-right-of-way-by-prescription" TargetMode="External" /><Relationship Id="rId27" Type="http://schemas.openxmlformats.org/officeDocument/2006/relationships/hyperlink" Target="https://uk.practicallaw.thomsonreuters.com/0-202-2726?transitionType=Default&amp;contextData=(sc.Default)&amp;firstPage=true" TargetMode="External" /><Relationship Id="rId30" Type="http://schemas.openxmlformats.org/officeDocument/2006/relationships/hyperlink" Target="https://eprints.lancs.ac.uk/id/eprint/70628/1/Easement_of_Parking_Conv_post_print.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4218</TotalTime>
  <Pages>16</Pages>
  <Words>3955</Words>
  <Characters>22546</Characters>
  <Application>Microsoft Office Word</Application>
  <DocSecurity>0</DocSecurity>
  <Lines>187</Lines>
  <Paragraphs>52</Paragraphs>
  <ScaleCrop>false</ScaleCrop>
  <Company/>
  <LinksUpToDate>false</LinksUpToDate>
  <CharactersWithSpaces>26449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cp:lastModifiedBy>
  <cp:revision>1599</cp:revision>
  <dcterms:created xsi:type="dcterms:W3CDTF">2021-11-01T08:36:00Z</dcterms:created>
  <dcterms:modified xsi:type="dcterms:W3CDTF">2021-11-07T10:11:00Z</dcterms:modified>
</cp:coreProperties>
</file>