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8B018B" w14:textId="77777777" w:rsidR="0033515C" w:rsidRDefault="0033515C">
      <w:pPr>
        <w:rPr>
          <w:rFonts w:ascii="Arial" w:hAnsi="Arial" w:cs="Arial"/>
          <w:sz w:val="22"/>
          <w:szCs w:val="22"/>
        </w:rPr>
      </w:pPr>
    </w:p>
    <w:p w14:paraId="483C9A20" w14:textId="707805FF" w:rsidR="00DC14D9" w:rsidRDefault="0033515C">
      <w:pPr>
        <w:rPr>
          <w:rFonts w:ascii="Arial" w:hAnsi="Arial" w:cs="Arial"/>
          <w:sz w:val="22"/>
          <w:szCs w:val="22"/>
        </w:rPr>
      </w:pPr>
      <w:r>
        <w:rPr>
          <w:rFonts w:ascii="Arial" w:hAnsi="Arial" w:cs="Arial"/>
          <w:sz w:val="22"/>
          <w:szCs w:val="22"/>
        </w:rPr>
        <w:t xml:space="preserve">Student Name: </w:t>
      </w:r>
      <w:r w:rsidRPr="0033515C">
        <w:rPr>
          <w:rFonts w:ascii="Arial" w:hAnsi="Arial" w:cs="Arial"/>
          <w:sz w:val="22"/>
          <w:szCs w:val="22"/>
        </w:rPr>
        <w:t>Sarah-May Dobinson</w:t>
      </w:r>
      <w:r>
        <w:rPr>
          <w:rFonts w:ascii="Arial" w:hAnsi="Arial" w:cs="Arial"/>
          <w:sz w:val="22"/>
          <w:szCs w:val="22"/>
        </w:rPr>
        <w:t xml:space="preserve"> </w:t>
      </w:r>
    </w:p>
    <w:p w14:paraId="268E2303" w14:textId="77777777" w:rsidR="00EA76E6" w:rsidRDefault="00EA76E6">
      <w:pPr>
        <w:rPr>
          <w:rFonts w:ascii="Arial" w:hAnsi="Arial" w:cs="Arial"/>
          <w:sz w:val="22"/>
          <w:szCs w:val="22"/>
        </w:rPr>
      </w:pPr>
    </w:p>
    <w:p w14:paraId="045B878C" w14:textId="49363584" w:rsidR="0033515C" w:rsidRDefault="0033515C">
      <w:pPr>
        <w:rPr>
          <w:rFonts w:ascii="Arial" w:hAnsi="Arial" w:cs="Arial"/>
          <w:sz w:val="22"/>
          <w:szCs w:val="22"/>
        </w:rPr>
      </w:pPr>
      <w:r>
        <w:rPr>
          <w:rFonts w:ascii="Arial" w:hAnsi="Arial" w:cs="Arial"/>
          <w:sz w:val="22"/>
          <w:szCs w:val="22"/>
        </w:rPr>
        <w:t>Student Number: 2441437</w:t>
      </w:r>
    </w:p>
    <w:p w14:paraId="5CA47480" w14:textId="602E427A" w:rsidR="0033515C" w:rsidRDefault="0033515C">
      <w:pPr>
        <w:rPr>
          <w:rFonts w:ascii="Arial" w:hAnsi="Arial" w:cs="Arial"/>
          <w:sz w:val="22"/>
          <w:szCs w:val="22"/>
        </w:rPr>
      </w:pPr>
      <w:r>
        <w:rPr>
          <w:rFonts w:ascii="Arial" w:hAnsi="Arial" w:cs="Arial"/>
          <w:sz w:val="22"/>
          <w:szCs w:val="22"/>
        </w:rPr>
        <w:t>Module Code: BMHP5016</w:t>
      </w:r>
    </w:p>
    <w:p w14:paraId="38D4E91E" w14:textId="77777777" w:rsidR="00EA76E6" w:rsidRDefault="00EA76E6">
      <w:pPr>
        <w:rPr>
          <w:rFonts w:ascii="Arial" w:hAnsi="Arial" w:cs="Arial"/>
          <w:sz w:val="22"/>
          <w:szCs w:val="22"/>
        </w:rPr>
      </w:pPr>
    </w:p>
    <w:p w14:paraId="041890BE" w14:textId="7F88EE43" w:rsidR="0033515C" w:rsidRDefault="0033515C">
      <w:pPr>
        <w:rPr>
          <w:rFonts w:ascii="Arial" w:hAnsi="Arial" w:cs="Arial"/>
          <w:sz w:val="22"/>
          <w:szCs w:val="22"/>
        </w:rPr>
      </w:pPr>
      <w:r>
        <w:rPr>
          <w:rFonts w:ascii="Arial" w:hAnsi="Arial" w:cs="Arial"/>
          <w:sz w:val="22"/>
          <w:szCs w:val="22"/>
        </w:rPr>
        <w:t xml:space="preserve">Module Title: Principles of Health and Social care Practice </w:t>
      </w:r>
    </w:p>
    <w:p w14:paraId="007C7FE9" w14:textId="3701BB6E" w:rsidR="0033515C" w:rsidRDefault="0033515C">
      <w:pPr>
        <w:rPr>
          <w:rFonts w:ascii="Arial" w:hAnsi="Arial" w:cs="Arial"/>
          <w:sz w:val="22"/>
          <w:szCs w:val="22"/>
        </w:rPr>
      </w:pPr>
      <w:r>
        <w:rPr>
          <w:rFonts w:ascii="Arial" w:hAnsi="Arial" w:cs="Arial"/>
          <w:sz w:val="22"/>
          <w:szCs w:val="22"/>
        </w:rPr>
        <w:t xml:space="preserve">Lecturer: Dr Itse Olaoye </w:t>
      </w:r>
    </w:p>
    <w:p w14:paraId="44D8F09D" w14:textId="77777777" w:rsidR="00EA76E6" w:rsidRDefault="00EA76E6">
      <w:pPr>
        <w:rPr>
          <w:rFonts w:ascii="Arial" w:hAnsi="Arial" w:cs="Arial"/>
          <w:sz w:val="22"/>
          <w:szCs w:val="22"/>
        </w:rPr>
      </w:pPr>
    </w:p>
    <w:p w14:paraId="4983792C" w14:textId="672D02FF" w:rsidR="0033515C" w:rsidRDefault="0033515C">
      <w:pPr>
        <w:rPr>
          <w:rFonts w:ascii="Arial" w:hAnsi="Arial" w:cs="Arial"/>
          <w:sz w:val="22"/>
          <w:szCs w:val="22"/>
        </w:rPr>
      </w:pPr>
      <w:r>
        <w:rPr>
          <w:rFonts w:ascii="Arial" w:hAnsi="Arial" w:cs="Arial"/>
          <w:sz w:val="22"/>
          <w:szCs w:val="22"/>
        </w:rPr>
        <w:t>Assignment title: Written assignment component 2</w:t>
      </w:r>
      <w:r w:rsidR="00EA76E6">
        <w:rPr>
          <w:rFonts w:ascii="Arial" w:hAnsi="Arial" w:cs="Arial"/>
          <w:sz w:val="22"/>
          <w:szCs w:val="22"/>
        </w:rPr>
        <w:t xml:space="preserve"> </w:t>
      </w:r>
    </w:p>
    <w:p w14:paraId="2C76EC2D" w14:textId="77777777" w:rsidR="0033515C" w:rsidRDefault="0033515C">
      <w:pPr>
        <w:rPr>
          <w:rFonts w:ascii="Arial" w:hAnsi="Arial" w:cs="Arial"/>
          <w:sz w:val="22"/>
          <w:szCs w:val="22"/>
        </w:rPr>
      </w:pPr>
    </w:p>
    <w:p w14:paraId="37DE2741" w14:textId="77777777" w:rsidR="00855D98" w:rsidRDefault="00855D98">
      <w:pPr>
        <w:rPr>
          <w:rFonts w:ascii="Arial" w:hAnsi="Arial" w:cs="Arial"/>
          <w:sz w:val="22"/>
          <w:szCs w:val="22"/>
        </w:rPr>
      </w:pPr>
    </w:p>
    <w:p w14:paraId="4384E9E0" w14:textId="77777777" w:rsidR="00855D98" w:rsidRDefault="00855D98">
      <w:pPr>
        <w:rPr>
          <w:rFonts w:ascii="Arial" w:hAnsi="Arial" w:cs="Arial"/>
          <w:sz w:val="22"/>
          <w:szCs w:val="22"/>
        </w:rPr>
      </w:pPr>
    </w:p>
    <w:p w14:paraId="5AEBABDD" w14:textId="77777777" w:rsidR="00855D98" w:rsidRDefault="00855D98">
      <w:pPr>
        <w:rPr>
          <w:rFonts w:ascii="Arial" w:hAnsi="Arial" w:cs="Arial"/>
          <w:sz w:val="22"/>
          <w:szCs w:val="22"/>
        </w:rPr>
      </w:pPr>
    </w:p>
    <w:p w14:paraId="460A73B3" w14:textId="77777777" w:rsidR="00855D98" w:rsidRDefault="00855D98">
      <w:pPr>
        <w:rPr>
          <w:rFonts w:ascii="Arial" w:hAnsi="Arial" w:cs="Arial"/>
          <w:sz w:val="22"/>
          <w:szCs w:val="22"/>
        </w:rPr>
      </w:pPr>
    </w:p>
    <w:p w14:paraId="5BDC589B" w14:textId="77777777" w:rsidR="00855D98" w:rsidRDefault="00855D98">
      <w:pPr>
        <w:rPr>
          <w:rFonts w:ascii="Arial" w:hAnsi="Arial" w:cs="Arial"/>
          <w:sz w:val="22"/>
          <w:szCs w:val="22"/>
        </w:rPr>
      </w:pPr>
    </w:p>
    <w:p w14:paraId="4AE1D427" w14:textId="77777777" w:rsidR="00855D98" w:rsidRDefault="00855D98">
      <w:pPr>
        <w:rPr>
          <w:rFonts w:ascii="Arial" w:hAnsi="Arial" w:cs="Arial"/>
          <w:sz w:val="22"/>
          <w:szCs w:val="22"/>
        </w:rPr>
      </w:pPr>
    </w:p>
    <w:p w14:paraId="681A1C44" w14:textId="77777777" w:rsidR="00855D98" w:rsidRDefault="00855D98">
      <w:pPr>
        <w:rPr>
          <w:rFonts w:ascii="Arial" w:hAnsi="Arial" w:cs="Arial"/>
          <w:sz w:val="22"/>
          <w:szCs w:val="22"/>
        </w:rPr>
      </w:pPr>
    </w:p>
    <w:p w14:paraId="4A38A9D7" w14:textId="77777777" w:rsidR="00855D98" w:rsidRDefault="00855D98">
      <w:pPr>
        <w:rPr>
          <w:rFonts w:ascii="Arial" w:hAnsi="Arial" w:cs="Arial"/>
          <w:sz w:val="22"/>
          <w:szCs w:val="22"/>
        </w:rPr>
      </w:pPr>
    </w:p>
    <w:p w14:paraId="60742FC3" w14:textId="77777777" w:rsidR="00855D98" w:rsidRDefault="00855D98">
      <w:pPr>
        <w:rPr>
          <w:rFonts w:ascii="Arial" w:hAnsi="Arial" w:cs="Arial"/>
          <w:sz w:val="22"/>
          <w:szCs w:val="22"/>
        </w:rPr>
      </w:pPr>
    </w:p>
    <w:p w14:paraId="4C60465D" w14:textId="77777777" w:rsidR="00855D98" w:rsidRDefault="00855D98">
      <w:pPr>
        <w:rPr>
          <w:rFonts w:ascii="Arial" w:hAnsi="Arial" w:cs="Arial"/>
          <w:sz w:val="22"/>
          <w:szCs w:val="22"/>
        </w:rPr>
      </w:pPr>
    </w:p>
    <w:p w14:paraId="338A8055" w14:textId="77777777" w:rsidR="00855D98" w:rsidRDefault="00855D98">
      <w:pPr>
        <w:rPr>
          <w:rFonts w:ascii="Arial" w:hAnsi="Arial" w:cs="Arial"/>
          <w:sz w:val="22"/>
          <w:szCs w:val="22"/>
        </w:rPr>
      </w:pPr>
    </w:p>
    <w:p w14:paraId="75C2FBDC" w14:textId="77777777" w:rsidR="00855D98" w:rsidRDefault="00855D98">
      <w:pPr>
        <w:rPr>
          <w:rFonts w:ascii="Arial" w:hAnsi="Arial" w:cs="Arial"/>
          <w:sz w:val="22"/>
          <w:szCs w:val="22"/>
        </w:rPr>
      </w:pPr>
    </w:p>
    <w:p w14:paraId="7C3A0586" w14:textId="77777777" w:rsidR="00855D98" w:rsidRDefault="00855D98">
      <w:pPr>
        <w:rPr>
          <w:rFonts w:ascii="Arial" w:hAnsi="Arial" w:cs="Arial"/>
          <w:sz w:val="22"/>
          <w:szCs w:val="22"/>
        </w:rPr>
      </w:pPr>
    </w:p>
    <w:p w14:paraId="784D4D93" w14:textId="77777777" w:rsidR="00855D98" w:rsidRDefault="00855D98">
      <w:pPr>
        <w:rPr>
          <w:rFonts w:ascii="Arial" w:hAnsi="Arial" w:cs="Arial"/>
          <w:sz w:val="22"/>
          <w:szCs w:val="22"/>
        </w:rPr>
      </w:pPr>
    </w:p>
    <w:p w14:paraId="21474518" w14:textId="77777777" w:rsidR="00855D98" w:rsidRDefault="00855D98">
      <w:pPr>
        <w:rPr>
          <w:rFonts w:ascii="Arial" w:hAnsi="Arial" w:cs="Arial"/>
          <w:sz w:val="22"/>
          <w:szCs w:val="22"/>
        </w:rPr>
      </w:pPr>
    </w:p>
    <w:p w14:paraId="15A9B347" w14:textId="77777777" w:rsidR="00855D98" w:rsidRDefault="00855D98">
      <w:pPr>
        <w:rPr>
          <w:rFonts w:ascii="Arial" w:hAnsi="Arial" w:cs="Arial"/>
          <w:sz w:val="22"/>
          <w:szCs w:val="22"/>
        </w:rPr>
      </w:pPr>
    </w:p>
    <w:p w14:paraId="43FF964C" w14:textId="77777777" w:rsidR="00855D98" w:rsidRDefault="00855D98">
      <w:pPr>
        <w:rPr>
          <w:rFonts w:ascii="Arial" w:hAnsi="Arial" w:cs="Arial"/>
          <w:sz w:val="22"/>
          <w:szCs w:val="22"/>
        </w:rPr>
      </w:pPr>
    </w:p>
    <w:p w14:paraId="09963146" w14:textId="77777777" w:rsidR="00855D98" w:rsidRDefault="00855D98">
      <w:pPr>
        <w:rPr>
          <w:rFonts w:ascii="Arial" w:hAnsi="Arial" w:cs="Arial"/>
          <w:sz w:val="22"/>
          <w:szCs w:val="22"/>
        </w:rPr>
      </w:pPr>
    </w:p>
    <w:p w14:paraId="5D764C33" w14:textId="77777777" w:rsidR="00855D98" w:rsidRDefault="00855D98">
      <w:pPr>
        <w:rPr>
          <w:rFonts w:ascii="Arial" w:hAnsi="Arial" w:cs="Arial"/>
          <w:sz w:val="22"/>
          <w:szCs w:val="22"/>
        </w:rPr>
      </w:pPr>
    </w:p>
    <w:p w14:paraId="6A9CDE88" w14:textId="77777777" w:rsidR="00855D98" w:rsidRDefault="00855D98">
      <w:pPr>
        <w:rPr>
          <w:rFonts w:ascii="Arial" w:hAnsi="Arial" w:cs="Arial"/>
          <w:sz w:val="22"/>
          <w:szCs w:val="22"/>
        </w:rPr>
      </w:pPr>
    </w:p>
    <w:p w14:paraId="0DD54A39" w14:textId="77777777" w:rsidR="00855D98" w:rsidRDefault="00855D98">
      <w:pPr>
        <w:rPr>
          <w:rFonts w:ascii="Arial" w:hAnsi="Arial" w:cs="Arial"/>
          <w:sz w:val="22"/>
          <w:szCs w:val="22"/>
        </w:rPr>
      </w:pPr>
    </w:p>
    <w:p w14:paraId="249C8B4A" w14:textId="77777777" w:rsidR="00855D98" w:rsidRDefault="00855D98">
      <w:pPr>
        <w:rPr>
          <w:rFonts w:ascii="Arial" w:hAnsi="Arial" w:cs="Arial"/>
          <w:sz w:val="22"/>
          <w:szCs w:val="22"/>
        </w:rPr>
      </w:pPr>
    </w:p>
    <w:p w14:paraId="040EDFE5" w14:textId="77777777" w:rsidR="00855D98" w:rsidRDefault="00855D98">
      <w:pPr>
        <w:rPr>
          <w:rFonts w:ascii="Arial" w:hAnsi="Arial" w:cs="Arial"/>
          <w:sz w:val="22"/>
          <w:szCs w:val="22"/>
        </w:rPr>
      </w:pPr>
    </w:p>
    <w:sdt>
      <w:sdtPr>
        <w:rPr>
          <w:rFonts w:ascii="Arial" w:hAnsi="Arial" w:cs="Arial"/>
        </w:rPr>
        <w:id w:val="-826212636"/>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ACFAAE7" w14:textId="7FE3F5FB" w:rsidR="007C79A3" w:rsidRPr="00EA76E6" w:rsidRDefault="007C79A3">
          <w:pPr>
            <w:pStyle w:val="TOCHeading"/>
            <w:rPr>
              <w:rFonts w:ascii="Arial" w:hAnsi="Arial" w:cs="Arial"/>
            </w:rPr>
          </w:pPr>
          <w:r w:rsidRPr="00EA76E6">
            <w:rPr>
              <w:rFonts w:ascii="Arial" w:hAnsi="Arial" w:cs="Arial"/>
            </w:rPr>
            <w:t>Contents</w:t>
          </w:r>
        </w:p>
        <w:p w14:paraId="267B8D62" w14:textId="5EC52604" w:rsidR="007C79A3" w:rsidRPr="00EA76E6" w:rsidRDefault="007C79A3" w:rsidP="00EA76E6">
          <w:pPr>
            <w:pStyle w:val="TOC1"/>
            <w:rPr>
              <w:b w:val="0"/>
              <w:bCs w:val="0"/>
            </w:rPr>
          </w:pPr>
          <w:r w:rsidRPr="00EA76E6">
            <w:rPr>
              <w:b w:val="0"/>
              <w:bCs w:val="0"/>
            </w:rPr>
            <w:fldChar w:fldCharType="begin"/>
          </w:r>
          <w:r w:rsidRPr="00EA76E6">
            <w:rPr>
              <w:b w:val="0"/>
              <w:bCs w:val="0"/>
            </w:rPr>
            <w:instrText xml:space="preserve"> TOC \o "1-3" \h \z \u </w:instrText>
          </w:r>
          <w:r w:rsidRPr="00EA76E6">
            <w:rPr>
              <w:b w:val="0"/>
              <w:bCs w:val="0"/>
            </w:rPr>
            <w:fldChar w:fldCharType="separate"/>
          </w:r>
          <w:hyperlink w:anchor="_Toc237426537" w:history="1">
            <w:r w:rsidRPr="00EA76E6">
              <w:rPr>
                <w:rStyle w:val="Hyperlink"/>
                <w:b w:val="0"/>
                <w:bCs w:val="0"/>
              </w:rPr>
              <w:t>Introduction</w:t>
            </w:r>
            <w:r w:rsidRPr="00EA76E6">
              <w:rPr>
                <w:b w:val="0"/>
                <w:bCs w:val="0"/>
                <w:webHidden/>
              </w:rPr>
              <w:tab/>
            </w:r>
            <w:r w:rsidRPr="00EA76E6">
              <w:rPr>
                <w:b w:val="0"/>
                <w:bCs w:val="0"/>
                <w:webHidden/>
              </w:rPr>
              <w:fldChar w:fldCharType="begin"/>
            </w:r>
            <w:r w:rsidRPr="00EA76E6">
              <w:rPr>
                <w:b w:val="0"/>
                <w:bCs w:val="0"/>
                <w:webHidden/>
              </w:rPr>
              <w:instrText xml:space="preserve"> PAGEREF _Toc237426537 \h </w:instrText>
            </w:r>
            <w:r w:rsidRPr="00EA76E6">
              <w:rPr>
                <w:b w:val="0"/>
                <w:bCs w:val="0"/>
                <w:webHidden/>
              </w:rPr>
            </w:r>
            <w:r w:rsidRPr="00EA76E6">
              <w:rPr>
                <w:b w:val="0"/>
                <w:bCs w:val="0"/>
                <w:webHidden/>
              </w:rPr>
              <w:fldChar w:fldCharType="separate"/>
            </w:r>
            <w:r w:rsidRPr="00EA76E6">
              <w:rPr>
                <w:b w:val="0"/>
                <w:bCs w:val="0"/>
                <w:webHidden/>
              </w:rPr>
              <w:t>3</w:t>
            </w:r>
            <w:r w:rsidRPr="00EA76E6">
              <w:rPr>
                <w:b w:val="0"/>
                <w:bCs w:val="0"/>
                <w:webHidden/>
              </w:rPr>
              <w:fldChar w:fldCharType="end"/>
            </w:r>
          </w:hyperlink>
        </w:p>
        <w:p w14:paraId="6CEBB673" w14:textId="40EDE001" w:rsidR="007C79A3" w:rsidRPr="00EA76E6" w:rsidRDefault="007C79A3" w:rsidP="00EA76E6">
          <w:pPr>
            <w:pStyle w:val="TOC1"/>
            <w:rPr>
              <w:b w:val="0"/>
              <w:bCs w:val="0"/>
            </w:rPr>
          </w:pPr>
          <w:hyperlink w:anchor="_Toc237426538" w:history="1">
            <w:r w:rsidRPr="00EA76E6">
              <w:rPr>
                <w:rStyle w:val="Hyperlink"/>
                <w:b w:val="0"/>
                <w:bCs w:val="0"/>
              </w:rPr>
              <w:t>The Development of Ethics of Care</w:t>
            </w:r>
            <w:r w:rsidRPr="00EA76E6">
              <w:rPr>
                <w:b w:val="0"/>
                <w:bCs w:val="0"/>
                <w:webHidden/>
              </w:rPr>
              <w:tab/>
            </w:r>
            <w:r w:rsidRPr="00EA76E6">
              <w:rPr>
                <w:b w:val="0"/>
                <w:bCs w:val="0"/>
                <w:webHidden/>
              </w:rPr>
              <w:fldChar w:fldCharType="begin"/>
            </w:r>
            <w:r w:rsidRPr="00EA76E6">
              <w:rPr>
                <w:b w:val="0"/>
                <w:bCs w:val="0"/>
                <w:webHidden/>
              </w:rPr>
              <w:instrText xml:space="preserve"> PAGEREF _Toc237426538 \h </w:instrText>
            </w:r>
            <w:r w:rsidRPr="00EA76E6">
              <w:rPr>
                <w:b w:val="0"/>
                <w:bCs w:val="0"/>
                <w:webHidden/>
              </w:rPr>
            </w:r>
            <w:r w:rsidRPr="00EA76E6">
              <w:rPr>
                <w:b w:val="0"/>
                <w:bCs w:val="0"/>
                <w:webHidden/>
              </w:rPr>
              <w:fldChar w:fldCharType="separate"/>
            </w:r>
            <w:r w:rsidRPr="00EA76E6">
              <w:rPr>
                <w:b w:val="0"/>
                <w:bCs w:val="0"/>
                <w:webHidden/>
              </w:rPr>
              <w:t>4</w:t>
            </w:r>
            <w:r w:rsidRPr="00EA76E6">
              <w:rPr>
                <w:b w:val="0"/>
                <w:bCs w:val="0"/>
                <w:webHidden/>
              </w:rPr>
              <w:fldChar w:fldCharType="end"/>
            </w:r>
          </w:hyperlink>
        </w:p>
        <w:p w14:paraId="29C34F6B" w14:textId="147FAD40" w:rsidR="007C79A3" w:rsidRPr="00EA76E6" w:rsidRDefault="007C79A3" w:rsidP="00EA76E6">
          <w:pPr>
            <w:pStyle w:val="TOC1"/>
            <w:rPr>
              <w:b w:val="0"/>
              <w:bCs w:val="0"/>
            </w:rPr>
          </w:pPr>
          <w:hyperlink w:anchor="_Toc237426539" w:history="1">
            <w:r w:rsidRPr="00EA76E6">
              <w:rPr>
                <w:rStyle w:val="Hyperlink"/>
                <w:b w:val="0"/>
                <w:bCs w:val="0"/>
              </w:rPr>
              <w:t>Application of Ethics of Care</w:t>
            </w:r>
            <w:r w:rsidRPr="00EA76E6">
              <w:rPr>
                <w:b w:val="0"/>
                <w:bCs w:val="0"/>
                <w:webHidden/>
              </w:rPr>
              <w:tab/>
            </w:r>
            <w:r w:rsidRPr="00EA76E6">
              <w:rPr>
                <w:b w:val="0"/>
                <w:bCs w:val="0"/>
                <w:webHidden/>
              </w:rPr>
              <w:fldChar w:fldCharType="begin"/>
            </w:r>
            <w:r w:rsidRPr="00EA76E6">
              <w:rPr>
                <w:b w:val="0"/>
                <w:bCs w:val="0"/>
                <w:webHidden/>
              </w:rPr>
              <w:instrText xml:space="preserve"> PAGEREF _Toc237426539 \h </w:instrText>
            </w:r>
            <w:r w:rsidRPr="00EA76E6">
              <w:rPr>
                <w:b w:val="0"/>
                <w:bCs w:val="0"/>
                <w:webHidden/>
              </w:rPr>
            </w:r>
            <w:r w:rsidRPr="00EA76E6">
              <w:rPr>
                <w:b w:val="0"/>
                <w:bCs w:val="0"/>
                <w:webHidden/>
              </w:rPr>
              <w:fldChar w:fldCharType="separate"/>
            </w:r>
            <w:r w:rsidRPr="00EA76E6">
              <w:rPr>
                <w:b w:val="0"/>
                <w:bCs w:val="0"/>
                <w:webHidden/>
              </w:rPr>
              <w:t>4</w:t>
            </w:r>
            <w:r w:rsidRPr="00EA76E6">
              <w:rPr>
                <w:b w:val="0"/>
                <w:bCs w:val="0"/>
                <w:webHidden/>
              </w:rPr>
              <w:fldChar w:fldCharType="end"/>
            </w:r>
          </w:hyperlink>
        </w:p>
        <w:p w14:paraId="44CA763E" w14:textId="2E525DF6" w:rsidR="007C79A3" w:rsidRPr="00EA76E6" w:rsidRDefault="007C79A3" w:rsidP="00EA76E6">
          <w:pPr>
            <w:pStyle w:val="TOC1"/>
            <w:rPr>
              <w:b w:val="0"/>
              <w:bCs w:val="0"/>
            </w:rPr>
          </w:pPr>
          <w:hyperlink w:anchor="_Toc237426540" w:history="1">
            <w:r w:rsidRPr="00EA76E6">
              <w:rPr>
                <w:rStyle w:val="Hyperlink"/>
                <w:b w:val="0"/>
                <w:bCs w:val="0"/>
              </w:rPr>
              <w:t>Application of Ethics of Care to Health and Social Care</w:t>
            </w:r>
            <w:r w:rsidRPr="00EA76E6">
              <w:rPr>
                <w:b w:val="0"/>
                <w:bCs w:val="0"/>
                <w:webHidden/>
              </w:rPr>
              <w:tab/>
            </w:r>
            <w:r w:rsidRPr="00EA76E6">
              <w:rPr>
                <w:b w:val="0"/>
                <w:bCs w:val="0"/>
                <w:webHidden/>
              </w:rPr>
              <w:fldChar w:fldCharType="begin"/>
            </w:r>
            <w:r w:rsidRPr="00EA76E6">
              <w:rPr>
                <w:b w:val="0"/>
                <w:bCs w:val="0"/>
                <w:webHidden/>
              </w:rPr>
              <w:instrText xml:space="preserve"> PAGEREF _Toc237426540 \h </w:instrText>
            </w:r>
            <w:r w:rsidRPr="00EA76E6">
              <w:rPr>
                <w:b w:val="0"/>
                <w:bCs w:val="0"/>
                <w:webHidden/>
              </w:rPr>
            </w:r>
            <w:r w:rsidRPr="00EA76E6">
              <w:rPr>
                <w:b w:val="0"/>
                <w:bCs w:val="0"/>
                <w:webHidden/>
              </w:rPr>
              <w:fldChar w:fldCharType="separate"/>
            </w:r>
            <w:r w:rsidRPr="00EA76E6">
              <w:rPr>
                <w:b w:val="0"/>
                <w:bCs w:val="0"/>
                <w:webHidden/>
              </w:rPr>
              <w:t>5</w:t>
            </w:r>
            <w:r w:rsidRPr="00EA76E6">
              <w:rPr>
                <w:b w:val="0"/>
                <w:bCs w:val="0"/>
                <w:webHidden/>
              </w:rPr>
              <w:fldChar w:fldCharType="end"/>
            </w:r>
          </w:hyperlink>
        </w:p>
        <w:p w14:paraId="2626EF1C" w14:textId="6CCF07EE" w:rsidR="007C79A3" w:rsidRPr="00EA76E6" w:rsidRDefault="007C79A3" w:rsidP="00EA76E6">
          <w:pPr>
            <w:pStyle w:val="TOC1"/>
            <w:rPr>
              <w:b w:val="0"/>
              <w:bCs w:val="0"/>
            </w:rPr>
          </w:pPr>
          <w:hyperlink w:anchor="_Toc237426541" w:history="1">
            <w:r w:rsidRPr="00EA76E6">
              <w:rPr>
                <w:rStyle w:val="Hyperlink"/>
                <w:b w:val="0"/>
                <w:bCs w:val="0"/>
              </w:rPr>
              <w:t>Recommendations for Health and Social Care Policy and Practice</w:t>
            </w:r>
            <w:r w:rsidRPr="00EA76E6">
              <w:rPr>
                <w:b w:val="0"/>
                <w:bCs w:val="0"/>
                <w:webHidden/>
              </w:rPr>
              <w:tab/>
            </w:r>
            <w:r w:rsidRPr="00EA76E6">
              <w:rPr>
                <w:b w:val="0"/>
                <w:bCs w:val="0"/>
                <w:webHidden/>
              </w:rPr>
              <w:fldChar w:fldCharType="begin"/>
            </w:r>
            <w:r w:rsidRPr="00EA76E6">
              <w:rPr>
                <w:b w:val="0"/>
                <w:bCs w:val="0"/>
                <w:webHidden/>
              </w:rPr>
              <w:instrText xml:space="preserve"> PAGEREF _Toc237426541 \h </w:instrText>
            </w:r>
            <w:r w:rsidRPr="00EA76E6">
              <w:rPr>
                <w:b w:val="0"/>
                <w:bCs w:val="0"/>
                <w:webHidden/>
              </w:rPr>
            </w:r>
            <w:r w:rsidRPr="00EA76E6">
              <w:rPr>
                <w:b w:val="0"/>
                <w:bCs w:val="0"/>
                <w:webHidden/>
              </w:rPr>
              <w:fldChar w:fldCharType="separate"/>
            </w:r>
            <w:r w:rsidRPr="00EA76E6">
              <w:rPr>
                <w:b w:val="0"/>
                <w:bCs w:val="0"/>
                <w:webHidden/>
              </w:rPr>
              <w:t>7</w:t>
            </w:r>
            <w:r w:rsidRPr="00EA76E6">
              <w:rPr>
                <w:b w:val="0"/>
                <w:bCs w:val="0"/>
                <w:webHidden/>
              </w:rPr>
              <w:fldChar w:fldCharType="end"/>
            </w:r>
          </w:hyperlink>
        </w:p>
        <w:p w14:paraId="3EAFBCB2" w14:textId="336E9C06" w:rsidR="007C79A3" w:rsidRPr="00EA76E6" w:rsidRDefault="007C79A3" w:rsidP="00EA76E6">
          <w:pPr>
            <w:pStyle w:val="TOC1"/>
            <w:rPr>
              <w:b w:val="0"/>
              <w:bCs w:val="0"/>
            </w:rPr>
          </w:pPr>
          <w:hyperlink w:anchor="_Toc237426542" w:history="1">
            <w:r w:rsidRPr="00EA76E6">
              <w:rPr>
                <w:rStyle w:val="Hyperlink"/>
                <w:b w:val="0"/>
                <w:bCs w:val="0"/>
              </w:rPr>
              <w:t>Conclusion</w:t>
            </w:r>
            <w:r w:rsidRPr="00EA76E6">
              <w:rPr>
                <w:b w:val="0"/>
                <w:bCs w:val="0"/>
                <w:webHidden/>
              </w:rPr>
              <w:tab/>
            </w:r>
            <w:r w:rsidRPr="00EA76E6">
              <w:rPr>
                <w:b w:val="0"/>
                <w:bCs w:val="0"/>
                <w:webHidden/>
              </w:rPr>
              <w:fldChar w:fldCharType="begin"/>
            </w:r>
            <w:r w:rsidRPr="00EA76E6">
              <w:rPr>
                <w:b w:val="0"/>
                <w:bCs w:val="0"/>
                <w:webHidden/>
              </w:rPr>
              <w:instrText xml:space="preserve"> PAGEREF _Toc237426542 \h </w:instrText>
            </w:r>
            <w:r w:rsidRPr="00EA76E6">
              <w:rPr>
                <w:b w:val="0"/>
                <w:bCs w:val="0"/>
                <w:webHidden/>
              </w:rPr>
            </w:r>
            <w:r w:rsidRPr="00EA76E6">
              <w:rPr>
                <w:b w:val="0"/>
                <w:bCs w:val="0"/>
                <w:webHidden/>
              </w:rPr>
              <w:fldChar w:fldCharType="separate"/>
            </w:r>
            <w:r w:rsidRPr="00EA76E6">
              <w:rPr>
                <w:b w:val="0"/>
                <w:bCs w:val="0"/>
                <w:webHidden/>
              </w:rPr>
              <w:t>8</w:t>
            </w:r>
            <w:r w:rsidRPr="00EA76E6">
              <w:rPr>
                <w:b w:val="0"/>
                <w:bCs w:val="0"/>
                <w:webHidden/>
              </w:rPr>
              <w:fldChar w:fldCharType="end"/>
            </w:r>
          </w:hyperlink>
        </w:p>
        <w:p w14:paraId="76E6C2FD" w14:textId="68E9E97A" w:rsidR="007C79A3" w:rsidRPr="00EA76E6" w:rsidRDefault="007C79A3" w:rsidP="00EA76E6">
          <w:pPr>
            <w:pStyle w:val="TOC1"/>
            <w:rPr>
              <w:b w:val="0"/>
              <w:bCs w:val="0"/>
            </w:rPr>
          </w:pPr>
          <w:hyperlink w:anchor="_Toc237426543" w:history="1">
            <w:r w:rsidRPr="00EA76E6">
              <w:rPr>
                <w:rStyle w:val="Hyperlink"/>
                <w:b w:val="0"/>
                <w:bCs w:val="0"/>
              </w:rPr>
              <w:t>References</w:t>
            </w:r>
            <w:r w:rsidRPr="00EA76E6">
              <w:rPr>
                <w:b w:val="0"/>
                <w:bCs w:val="0"/>
                <w:webHidden/>
              </w:rPr>
              <w:tab/>
            </w:r>
            <w:r w:rsidRPr="00EA76E6">
              <w:rPr>
                <w:b w:val="0"/>
                <w:bCs w:val="0"/>
                <w:webHidden/>
              </w:rPr>
              <w:fldChar w:fldCharType="begin"/>
            </w:r>
            <w:r w:rsidRPr="00EA76E6">
              <w:rPr>
                <w:b w:val="0"/>
                <w:bCs w:val="0"/>
                <w:webHidden/>
              </w:rPr>
              <w:instrText xml:space="preserve"> PAGEREF _Toc237426543 \h </w:instrText>
            </w:r>
            <w:r w:rsidRPr="00EA76E6">
              <w:rPr>
                <w:b w:val="0"/>
                <w:bCs w:val="0"/>
                <w:webHidden/>
              </w:rPr>
            </w:r>
            <w:r w:rsidRPr="00EA76E6">
              <w:rPr>
                <w:b w:val="0"/>
                <w:bCs w:val="0"/>
                <w:webHidden/>
              </w:rPr>
              <w:fldChar w:fldCharType="separate"/>
            </w:r>
            <w:r w:rsidRPr="00EA76E6">
              <w:rPr>
                <w:b w:val="0"/>
                <w:bCs w:val="0"/>
                <w:webHidden/>
              </w:rPr>
              <w:t>9</w:t>
            </w:r>
            <w:r w:rsidRPr="00EA76E6">
              <w:rPr>
                <w:b w:val="0"/>
                <w:bCs w:val="0"/>
                <w:webHidden/>
              </w:rPr>
              <w:fldChar w:fldCharType="end"/>
            </w:r>
          </w:hyperlink>
        </w:p>
        <w:p w14:paraId="1BDC48D2" w14:textId="70AEE068" w:rsidR="007C79A3" w:rsidRDefault="007C79A3">
          <w:r w:rsidRPr="00EA76E6">
            <w:rPr>
              <w:rFonts w:ascii="Arial" w:hAnsi="Arial" w:cs="Arial"/>
              <w:noProof/>
            </w:rPr>
            <w:fldChar w:fldCharType="end"/>
          </w:r>
        </w:p>
      </w:sdtContent>
    </w:sdt>
    <w:p w14:paraId="02848CE4" w14:textId="77777777" w:rsidR="00855D98" w:rsidRDefault="00855D98">
      <w:pPr>
        <w:rPr>
          <w:rFonts w:ascii="Arial" w:hAnsi="Arial" w:cs="Arial"/>
          <w:sz w:val="22"/>
          <w:szCs w:val="22"/>
        </w:rPr>
      </w:pPr>
    </w:p>
    <w:p w14:paraId="383682E2" w14:textId="77777777" w:rsidR="00855D98" w:rsidRDefault="00855D98">
      <w:pPr>
        <w:rPr>
          <w:rFonts w:ascii="Arial" w:hAnsi="Arial" w:cs="Arial"/>
          <w:sz w:val="22"/>
          <w:szCs w:val="22"/>
        </w:rPr>
      </w:pPr>
    </w:p>
    <w:p w14:paraId="48C3401A" w14:textId="77777777" w:rsidR="00855D98" w:rsidRDefault="00855D98">
      <w:pPr>
        <w:rPr>
          <w:rFonts w:ascii="Arial" w:hAnsi="Arial" w:cs="Arial"/>
          <w:sz w:val="22"/>
          <w:szCs w:val="22"/>
        </w:rPr>
      </w:pPr>
    </w:p>
    <w:p w14:paraId="754AD739" w14:textId="77777777" w:rsidR="00855D98" w:rsidRDefault="00855D98">
      <w:pPr>
        <w:rPr>
          <w:rFonts w:ascii="Arial" w:hAnsi="Arial" w:cs="Arial"/>
          <w:sz w:val="22"/>
          <w:szCs w:val="22"/>
        </w:rPr>
      </w:pPr>
    </w:p>
    <w:p w14:paraId="627615FF" w14:textId="77777777" w:rsidR="00855D98" w:rsidRDefault="00855D98">
      <w:pPr>
        <w:rPr>
          <w:rFonts w:ascii="Arial" w:hAnsi="Arial" w:cs="Arial"/>
          <w:sz w:val="22"/>
          <w:szCs w:val="22"/>
        </w:rPr>
      </w:pPr>
    </w:p>
    <w:p w14:paraId="3D708B60" w14:textId="77777777" w:rsidR="00855D98" w:rsidRDefault="00855D98">
      <w:pPr>
        <w:rPr>
          <w:rFonts w:ascii="Arial" w:hAnsi="Arial" w:cs="Arial"/>
          <w:sz w:val="22"/>
          <w:szCs w:val="22"/>
        </w:rPr>
      </w:pPr>
    </w:p>
    <w:p w14:paraId="04E07076" w14:textId="77777777" w:rsidR="00855D98" w:rsidRDefault="00855D98">
      <w:pPr>
        <w:rPr>
          <w:rFonts w:ascii="Arial" w:hAnsi="Arial" w:cs="Arial"/>
          <w:sz w:val="22"/>
          <w:szCs w:val="22"/>
        </w:rPr>
      </w:pPr>
    </w:p>
    <w:p w14:paraId="106656D3" w14:textId="77777777" w:rsidR="00855D98" w:rsidRDefault="00855D98">
      <w:pPr>
        <w:rPr>
          <w:rFonts w:ascii="Arial" w:hAnsi="Arial" w:cs="Arial"/>
          <w:sz w:val="22"/>
          <w:szCs w:val="22"/>
        </w:rPr>
      </w:pPr>
    </w:p>
    <w:p w14:paraId="246BC7F7" w14:textId="77777777" w:rsidR="00855D98" w:rsidRDefault="00855D98">
      <w:pPr>
        <w:rPr>
          <w:rFonts w:ascii="Arial" w:hAnsi="Arial" w:cs="Arial"/>
          <w:sz w:val="22"/>
          <w:szCs w:val="22"/>
        </w:rPr>
      </w:pPr>
    </w:p>
    <w:p w14:paraId="05C0A46A" w14:textId="77777777" w:rsidR="00855D98" w:rsidRDefault="00855D98">
      <w:pPr>
        <w:rPr>
          <w:rFonts w:ascii="Arial" w:hAnsi="Arial" w:cs="Arial"/>
          <w:sz w:val="22"/>
          <w:szCs w:val="22"/>
        </w:rPr>
      </w:pPr>
    </w:p>
    <w:p w14:paraId="4C49973E" w14:textId="77777777" w:rsidR="00855D98" w:rsidRDefault="00855D98">
      <w:pPr>
        <w:rPr>
          <w:rFonts w:ascii="Arial" w:hAnsi="Arial" w:cs="Arial"/>
          <w:sz w:val="22"/>
          <w:szCs w:val="22"/>
        </w:rPr>
      </w:pPr>
    </w:p>
    <w:p w14:paraId="21BA2230" w14:textId="77777777" w:rsidR="00855D98" w:rsidRDefault="00855D98">
      <w:pPr>
        <w:rPr>
          <w:rFonts w:ascii="Arial" w:hAnsi="Arial" w:cs="Arial"/>
          <w:sz w:val="22"/>
          <w:szCs w:val="22"/>
        </w:rPr>
      </w:pPr>
    </w:p>
    <w:p w14:paraId="2C7FE627" w14:textId="77777777" w:rsidR="00855D98" w:rsidRDefault="00855D98">
      <w:pPr>
        <w:rPr>
          <w:rFonts w:ascii="Arial" w:hAnsi="Arial" w:cs="Arial"/>
          <w:sz w:val="22"/>
          <w:szCs w:val="22"/>
        </w:rPr>
      </w:pPr>
    </w:p>
    <w:p w14:paraId="2A83CC2E" w14:textId="77777777" w:rsidR="00855D98" w:rsidRDefault="00855D98">
      <w:pPr>
        <w:rPr>
          <w:rFonts w:ascii="Arial" w:hAnsi="Arial" w:cs="Arial"/>
          <w:sz w:val="22"/>
          <w:szCs w:val="22"/>
        </w:rPr>
      </w:pPr>
    </w:p>
    <w:p w14:paraId="42B023DC" w14:textId="77777777" w:rsidR="00855D98" w:rsidRDefault="00855D98">
      <w:pPr>
        <w:rPr>
          <w:rFonts w:ascii="Arial" w:hAnsi="Arial" w:cs="Arial"/>
          <w:sz w:val="22"/>
          <w:szCs w:val="22"/>
        </w:rPr>
      </w:pPr>
    </w:p>
    <w:p w14:paraId="4CC90705" w14:textId="77777777" w:rsidR="00EF3A21" w:rsidRDefault="00EF3A21">
      <w:pPr>
        <w:rPr>
          <w:rFonts w:ascii="Arial" w:hAnsi="Arial" w:cs="Arial"/>
          <w:sz w:val="22"/>
          <w:szCs w:val="22"/>
        </w:rPr>
      </w:pPr>
    </w:p>
    <w:p w14:paraId="61102FBA" w14:textId="77777777" w:rsidR="00EF3A21" w:rsidRDefault="00EF3A21">
      <w:pPr>
        <w:rPr>
          <w:rFonts w:ascii="Arial" w:hAnsi="Arial" w:cs="Arial"/>
          <w:sz w:val="22"/>
          <w:szCs w:val="22"/>
        </w:rPr>
      </w:pPr>
    </w:p>
    <w:p w14:paraId="40BF678C" w14:textId="77777777" w:rsidR="00EF3A21" w:rsidRDefault="00EF3A21">
      <w:pPr>
        <w:rPr>
          <w:rFonts w:ascii="Arial" w:hAnsi="Arial" w:cs="Arial"/>
          <w:sz w:val="22"/>
          <w:szCs w:val="22"/>
        </w:rPr>
      </w:pPr>
    </w:p>
    <w:p w14:paraId="777C4762" w14:textId="77777777" w:rsidR="00EF3A21" w:rsidRDefault="00EF3A21">
      <w:pPr>
        <w:rPr>
          <w:rFonts w:ascii="Arial" w:hAnsi="Arial" w:cs="Arial"/>
          <w:sz w:val="22"/>
          <w:szCs w:val="22"/>
        </w:rPr>
      </w:pPr>
    </w:p>
    <w:p w14:paraId="1636906C" w14:textId="77777777" w:rsidR="00EF3A21" w:rsidRDefault="00EF3A21">
      <w:pPr>
        <w:rPr>
          <w:rFonts w:ascii="Arial" w:hAnsi="Arial" w:cs="Arial"/>
          <w:sz w:val="22"/>
          <w:szCs w:val="22"/>
        </w:rPr>
      </w:pPr>
    </w:p>
    <w:p w14:paraId="68113983" w14:textId="77777777" w:rsidR="00EF3A21" w:rsidRDefault="00EF3A21">
      <w:pPr>
        <w:rPr>
          <w:rFonts w:ascii="Arial" w:hAnsi="Arial" w:cs="Arial"/>
          <w:sz w:val="22"/>
          <w:szCs w:val="22"/>
        </w:rPr>
      </w:pPr>
    </w:p>
    <w:p w14:paraId="3C6D7622" w14:textId="77777777" w:rsidR="00EF3A21" w:rsidRDefault="00EF3A21">
      <w:pPr>
        <w:rPr>
          <w:rFonts w:ascii="Arial" w:hAnsi="Arial" w:cs="Arial"/>
          <w:sz w:val="22"/>
          <w:szCs w:val="22"/>
        </w:rPr>
      </w:pPr>
    </w:p>
    <w:p w14:paraId="65304982" w14:textId="77777777" w:rsidR="00EF3A21" w:rsidRDefault="00EF3A21">
      <w:pPr>
        <w:rPr>
          <w:rFonts w:ascii="Arial" w:hAnsi="Arial" w:cs="Arial"/>
          <w:sz w:val="22"/>
          <w:szCs w:val="22"/>
        </w:rPr>
      </w:pPr>
    </w:p>
    <w:p w14:paraId="5400BB6A" w14:textId="77777777" w:rsidR="00EF3A21" w:rsidRDefault="00EF3A21">
      <w:pPr>
        <w:rPr>
          <w:rFonts w:ascii="Arial" w:hAnsi="Arial" w:cs="Arial"/>
          <w:sz w:val="22"/>
          <w:szCs w:val="22"/>
        </w:rPr>
      </w:pPr>
    </w:p>
    <w:p w14:paraId="3C2B45F8" w14:textId="77777777" w:rsidR="00EF3A21" w:rsidRDefault="00EF3A21">
      <w:pPr>
        <w:rPr>
          <w:rFonts w:ascii="Arial" w:hAnsi="Arial" w:cs="Arial"/>
          <w:sz w:val="22"/>
          <w:szCs w:val="22"/>
        </w:rPr>
      </w:pPr>
    </w:p>
    <w:p w14:paraId="14759DF7" w14:textId="77777777" w:rsidR="00EF3A21" w:rsidRDefault="00EF3A21">
      <w:pPr>
        <w:rPr>
          <w:rFonts w:ascii="Arial" w:hAnsi="Arial" w:cs="Arial"/>
          <w:sz w:val="22"/>
          <w:szCs w:val="22"/>
        </w:rPr>
      </w:pPr>
    </w:p>
    <w:p w14:paraId="64FA09A6" w14:textId="77777777" w:rsidR="00EF3A21" w:rsidRDefault="00EF3A21">
      <w:pPr>
        <w:rPr>
          <w:rFonts w:ascii="Arial" w:hAnsi="Arial" w:cs="Arial"/>
          <w:sz w:val="22"/>
          <w:szCs w:val="22"/>
        </w:rPr>
      </w:pPr>
    </w:p>
    <w:p w14:paraId="2CABD9D6" w14:textId="77777777" w:rsidR="00EF3A21" w:rsidRDefault="00EF3A21">
      <w:pPr>
        <w:rPr>
          <w:rFonts w:ascii="Arial" w:hAnsi="Arial" w:cs="Arial"/>
          <w:sz w:val="22"/>
          <w:szCs w:val="22"/>
        </w:rPr>
      </w:pPr>
    </w:p>
    <w:p w14:paraId="79D2DB57" w14:textId="77777777" w:rsidR="00EF3A21" w:rsidRPr="00EF3A21" w:rsidRDefault="00EF3A21">
      <w:pPr>
        <w:rPr>
          <w:rFonts w:ascii="Arial" w:hAnsi="Arial" w:cs="Arial"/>
          <w:sz w:val="22"/>
          <w:szCs w:val="22"/>
        </w:rPr>
      </w:pPr>
    </w:p>
    <w:p w14:paraId="657838F7" w14:textId="77777777" w:rsidR="00EF3A21" w:rsidRPr="00EF3A21" w:rsidRDefault="00EF3A21">
      <w:pPr>
        <w:rPr>
          <w:rFonts w:ascii="Arial" w:hAnsi="Arial" w:cs="Arial"/>
          <w:sz w:val="22"/>
          <w:szCs w:val="22"/>
        </w:rPr>
      </w:pPr>
    </w:p>
    <w:p w14:paraId="2EF8F023" w14:textId="77777777" w:rsidR="00EF3A21" w:rsidRPr="00EF3A21" w:rsidRDefault="00EF3A21">
      <w:pPr>
        <w:rPr>
          <w:rFonts w:ascii="Arial" w:hAnsi="Arial" w:cs="Arial"/>
          <w:sz w:val="22"/>
          <w:szCs w:val="22"/>
        </w:rPr>
      </w:pPr>
    </w:p>
    <w:p w14:paraId="72974613" w14:textId="77777777" w:rsidR="00EF3A21" w:rsidRPr="003005C6" w:rsidRDefault="00EF3A21" w:rsidP="007C79A3">
      <w:pPr>
        <w:pStyle w:val="Heading1"/>
        <w:rPr>
          <w:rFonts w:ascii="Arial" w:eastAsia="Times New Roman" w:hAnsi="Arial" w:cs="Arial"/>
          <w:color w:val="auto"/>
          <w:sz w:val="28"/>
          <w:szCs w:val="28"/>
          <w:lang w:eastAsia="en-GB"/>
        </w:rPr>
      </w:pPr>
      <w:bookmarkStart w:id="0" w:name="_Toc237426537"/>
      <w:r w:rsidRPr="003005C6">
        <w:rPr>
          <w:rFonts w:ascii="Arial" w:eastAsia="Times New Roman" w:hAnsi="Arial" w:cs="Arial"/>
          <w:color w:val="auto"/>
          <w:sz w:val="28"/>
          <w:szCs w:val="28"/>
          <w:lang w:eastAsia="en-GB"/>
        </w:rPr>
        <w:t>Introduction</w:t>
      </w:r>
      <w:bookmarkEnd w:id="0"/>
    </w:p>
    <w:p w14:paraId="30683652" w14:textId="77777777" w:rsidR="00EF3A21" w:rsidRPr="00EF3A21" w:rsidRDefault="00EF3A21" w:rsidP="00EF3A21">
      <w:pPr>
        <w:shd w:val="clear" w:color="auto" w:fill="FFFFFF"/>
        <w:spacing w:after="0" w:line="360" w:lineRule="auto"/>
        <w:textAlignment w:val="baseline"/>
        <w:rPr>
          <w:rFonts w:ascii="Segoe UI" w:eastAsia="Times New Roman" w:hAnsi="Segoe UI" w:cs="Segoe UI"/>
          <w:color w:val="242424"/>
          <w:kern w:val="0"/>
          <w:sz w:val="22"/>
          <w:szCs w:val="22"/>
          <w:lang w:eastAsia="en-GB"/>
          <w14:ligatures w14:val="none"/>
        </w:rPr>
      </w:pPr>
    </w:p>
    <w:p w14:paraId="28F8C587"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Person-centred care is an important part of health and social care because every person has different needs, choices and circumstances. Care should not just focus on someone’s condition or what support they need, but also on who they are as a person and what matters to them. Ethics of Care links closely with this as it focuses on relationships, empathy and understanding the individual rather than only relying on rules when making decisions.</w:t>
      </w:r>
    </w:p>
    <w:p w14:paraId="6ABE886F"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2A84F39A"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Carol Gilligan was one of the main people who helped develop the ideas behind Ethics of Care. She believed that care and relationships also play a part in the way people make moral decisions (Gilligan, 1982). This can be seen within health and social care because professionals often work closely with people who rely on them for care and support. The way professionals communicate, listen and respond to people’s needs can therefore have an impact on their experience of care.</w:t>
      </w:r>
    </w:p>
    <w:p w14:paraId="4982164A"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1E9DE954"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This essay will look at how Ethics of Care developed and some of the criticisms that have been made about the theory. It will then look at how it can be used within health and social care, some of the problems that can make this difficult in practice and what could be improved.</w:t>
      </w:r>
    </w:p>
    <w:p w14:paraId="2B0D0A31"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2E4CC900" w14:textId="6FF4191B" w:rsidR="00EF3A21" w:rsidRPr="00EA76E6" w:rsidRDefault="00C11F11" w:rsidP="007C79A3">
      <w:pPr>
        <w:pStyle w:val="Heading1"/>
        <w:rPr>
          <w:rFonts w:ascii="Arial" w:eastAsia="Times New Roman" w:hAnsi="Arial" w:cs="Arial"/>
          <w:color w:val="auto"/>
          <w:sz w:val="28"/>
          <w:szCs w:val="28"/>
          <w:lang w:eastAsia="en-GB"/>
        </w:rPr>
      </w:pPr>
      <w:bookmarkStart w:id="1" w:name="_Toc237426538"/>
      <w:r w:rsidRPr="00EA76E6">
        <w:rPr>
          <w:rFonts w:ascii="Arial" w:eastAsia="Times New Roman" w:hAnsi="Arial" w:cs="Arial"/>
          <w:color w:val="auto"/>
          <w:sz w:val="28"/>
          <w:szCs w:val="28"/>
          <w:lang w:eastAsia="en-GB"/>
        </w:rPr>
        <w:lastRenderedPageBreak/>
        <w:t xml:space="preserve">The </w:t>
      </w:r>
      <w:r w:rsidR="00EF3A21" w:rsidRPr="00EA76E6">
        <w:rPr>
          <w:rFonts w:ascii="Arial" w:eastAsia="Times New Roman" w:hAnsi="Arial" w:cs="Arial"/>
          <w:color w:val="auto"/>
          <w:sz w:val="28"/>
          <w:szCs w:val="28"/>
          <w:lang w:eastAsia="en-GB"/>
        </w:rPr>
        <w:t>Development of Ethics of Care</w:t>
      </w:r>
      <w:bookmarkEnd w:id="1"/>
    </w:p>
    <w:p w14:paraId="52C7DE9D"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58B4102A" w14:textId="0629067A"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 xml:space="preserve">Ethics of Care became more recognised during the 1980s and offered a different way of thinking about moral decisions. Rather than only looking at rules or deciding what is right and wrong, it brought more attention to </w:t>
      </w:r>
      <w:r w:rsidR="00CD4A71" w:rsidRPr="00EA76E6">
        <w:rPr>
          <w:rFonts w:ascii="Arial" w:eastAsia="Times New Roman" w:hAnsi="Arial" w:cs="Arial"/>
          <w:color w:val="242424"/>
          <w:kern w:val="0"/>
          <w:sz w:val="22"/>
          <w:szCs w:val="22"/>
          <w:lang w:eastAsia="en-GB"/>
          <w14:ligatures w14:val="none"/>
        </w:rPr>
        <w:t>relationships,</w:t>
      </w:r>
      <w:r w:rsidRPr="00EA76E6">
        <w:rPr>
          <w:rFonts w:ascii="Arial" w:eastAsia="Times New Roman" w:hAnsi="Arial" w:cs="Arial"/>
          <w:color w:val="242424"/>
          <w:kern w:val="0"/>
          <w:sz w:val="22"/>
          <w:szCs w:val="22"/>
          <w:lang w:eastAsia="en-GB"/>
          <w14:ligatures w14:val="none"/>
        </w:rPr>
        <w:t xml:space="preserve"> and the responsibility people may feel towards others.</w:t>
      </w:r>
    </w:p>
    <w:p w14:paraId="0EDD0104"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4F7C9D31" w14:textId="29C5181A"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 xml:space="preserve">Gilligan played an important part in this because she questioned some of Lawrence Kohlberg’s ideas about moral development. She felt that his approach focused heavily on justice and rules and did not give enough attention to care and relationships (Gilligan, 1982). Flanagan and Jackson (1987) also looked at the differences between Kohlberg and Gilligan, particularly around care, justice and gender. This shows that people may not all think about moral situations in </w:t>
      </w:r>
      <w:r w:rsidR="00CD4A71" w:rsidRPr="00EA76E6">
        <w:rPr>
          <w:rFonts w:ascii="Arial" w:eastAsia="Times New Roman" w:hAnsi="Arial" w:cs="Arial"/>
          <w:color w:val="242424"/>
          <w:kern w:val="0"/>
          <w:sz w:val="22"/>
          <w:szCs w:val="22"/>
          <w:lang w:eastAsia="en-GB"/>
          <w14:ligatures w14:val="none"/>
        </w:rPr>
        <w:t>the same</w:t>
      </w:r>
      <w:r w:rsidRPr="00EA76E6">
        <w:rPr>
          <w:rFonts w:ascii="Arial" w:eastAsia="Times New Roman" w:hAnsi="Arial" w:cs="Arial"/>
          <w:color w:val="242424"/>
          <w:kern w:val="0"/>
          <w:sz w:val="22"/>
          <w:szCs w:val="22"/>
          <w:lang w:eastAsia="en-GB"/>
          <w14:ligatures w14:val="none"/>
        </w:rPr>
        <w:t xml:space="preserve"> way.</w:t>
      </w:r>
    </w:p>
    <w:p w14:paraId="7AA7371D"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7BFA5D53"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For example, when someone is making a difficult decision, they may think about the effect it could have on another person as well as what they believe is technically right or wrong. Gilligan (1982) brought more attention to relationships and responsibilities when looking at these decisions. This helped develop Ethics of Care because it showed why a person’s circumstances and relationships can be important when deciding how to respond to them.</w:t>
      </w:r>
    </w:p>
    <w:p w14:paraId="4EDB3ADA"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4B6DA738"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The theory has also changed over time. Ethics of Care is no longer only about the relationship between two people, as wider issues can also affect how care is given. Nguyen, Zavoretti and Tronto (2017) discuss how care can be affected by social and political circumstances. This is relevant to health and social care because professionals may want to provide a certain level of care but can be restricted by the service they work in. Therefore, responsibility for good care cannot always be placed on the individual professional.</w:t>
      </w:r>
    </w:p>
    <w:p w14:paraId="48B4EA02"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35AFDFDE" w14:textId="2F4AEA51" w:rsidR="00940EEA" w:rsidRPr="00EA76E6" w:rsidRDefault="00CD4A71" w:rsidP="007C79A3">
      <w:pPr>
        <w:pStyle w:val="Heading1"/>
        <w:rPr>
          <w:rFonts w:ascii="Arial" w:eastAsia="Times New Roman" w:hAnsi="Arial" w:cs="Arial"/>
          <w:color w:val="auto"/>
          <w:sz w:val="28"/>
          <w:szCs w:val="28"/>
          <w:lang w:eastAsia="en-GB"/>
        </w:rPr>
      </w:pPr>
      <w:bookmarkStart w:id="2" w:name="_Toc237426539"/>
      <w:r w:rsidRPr="00EA76E6">
        <w:rPr>
          <w:rFonts w:ascii="Arial" w:eastAsia="Times New Roman" w:hAnsi="Arial" w:cs="Arial"/>
          <w:color w:val="auto"/>
          <w:sz w:val="28"/>
          <w:szCs w:val="28"/>
          <w:lang w:eastAsia="en-GB"/>
        </w:rPr>
        <w:t xml:space="preserve">Application of Ethics </w:t>
      </w:r>
      <w:r w:rsidR="00940EEA" w:rsidRPr="00EA76E6">
        <w:rPr>
          <w:rFonts w:ascii="Arial" w:eastAsia="Times New Roman" w:hAnsi="Arial" w:cs="Arial"/>
          <w:color w:val="auto"/>
          <w:sz w:val="28"/>
          <w:szCs w:val="28"/>
          <w:lang w:eastAsia="en-GB"/>
        </w:rPr>
        <w:t>of Care</w:t>
      </w:r>
      <w:bookmarkEnd w:id="2"/>
      <w:r w:rsidR="00940EEA" w:rsidRPr="00EA76E6">
        <w:rPr>
          <w:rFonts w:ascii="Arial" w:eastAsia="Times New Roman" w:hAnsi="Arial" w:cs="Arial"/>
          <w:color w:val="auto"/>
          <w:sz w:val="28"/>
          <w:szCs w:val="28"/>
          <w:lang w:eastAsia="en-GB"/>
        </w:rPr>
        <w:t xml:space="preserve"> </w:t>
      </w:r>
    </w:p>
    <w:p w14:paraId="21E6F3C0"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Although Ethics of Care has many useful ideas, there have also been criticisms. One of the main concerns is its early connection with gender. As a lot of the earlier discussion focused on women’s experiences, this could support the idea that women are naturally more caring or should be expected to take on caring roles. Menkel-Meadow (1996) looks at the relationship between gender and care and how wider expectations of women can affect the way caring is understood. This is important because caring should not automatically be seen as a woman’s responsibility.</w:t>
      </w:r>
    </w:p>
    <w:p w14:paraId="3421D821"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116D397E"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There are also problems with focusing too much on the relationship between the person giving care and the person receiving it. A professional might genuinely want to give someone more time and attention but may not have the opportunity to do this. For example, they could be dealing with staff shortages, a high workload or limited resources. In this situation, simply expecting the professional to be more caring would not solve the wider problem.</w:t>
      </w:r>
    </w:p>
    <w:p w14:paraId="26433F89"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7CE93D69" w14:textId="02F1FEB5"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 xml:space="preserve">Some of these criticisms have led to Ethics of Care being developed further. Tronto looked at care from a wider social and political point of view rather than mainly linking it to women and personal relationships. Kaufman-Osborn et al. (2018) discuss how </w:t>
      </w:r>
      <w:proofErr w:type="spellStart"/>
      <w:r w:rsidRPr="00EA76E6">
        <w:rPr>
          <w:rFonts w:ascii="Arial" w:eastAsia="Times New Roman" w:hAnsi="Arial" w:cs="Arial"/>
          <w:color w:val="242424"/>
          <w:kern w:val="0"/>
          <w:sz w:val="22"/>
          <w:szCs w:val="22"/>
          <w:lang w:eastAsia="en-GB"/>
          <w14:ligatures w14:val="none"/>
        </w:rPr>
        <w:t>Tronto’s</w:t>
      </w:r>
      <w:proofErr w:type="spellEnd"/>
      <w:r w:rsidRPr="00EA76E6">
        <w:rPr>
          <w:rFonts w:ascii="Arial" w:eastAsia="Times New Roman" w:hAnsi="Arial" w:cs="Arial"/>
          <w:color w:val="242424"/>
          <w:kern w:val="0"/>
          <w:sz w:val="22"/>
          <w:szCs w:val="22"/>
          <w:lang w:eastAsia="en-GB"/>
          <w14:ligatures w14:val="none"/>
        </w:rPr>
        <w:t xml:space="preserve"> approach looks at the circumstances in which care happens and who is expected to provide it. This is useful when thinking about health and social care because the organisation around a professional can have a big effect on the </w:t>
      </w:r>
      <w:r w:rsidR="00940EEA" w:rsidRPr="00EA76E6">
        <w:rPr>
          <w:rFonts w:ascii="Arial" w:eastAsia="Times New Roman" w:hAnsi="Arial" w:cs="Arial"/>
          <w:color w:val="242424"/>
          <w:kern w:val="0"/>
          <w:sz w:val="22"/>
          <w:szCs w:val="22"/>
          <w:lang w:eastAsia="en-GB"/>
          <w14:ligatures w14:val="none"/>
        </w:rPr>
        <w:t>care,</w:t>
      </w:r>
      <w:r w:rsidRPr="00EA76E6">
        <w:rPr>
          <w:rFonts w:ascii="Arial" w:eastAsia="Times New Roman" w:hAnsi="Arial" w:cs="Arial"/>
          <w:color w:val="242424"/>
          <w:kern w:val="0"/>
          <w:sz w:val="22"/>
          <w:szCs w:val="22"/>
          <w:lang w:eastAsia="en-GB"/>
          <w14:ligatures w14:val="none"/>
        </w:rPr>
        <w:t xml:space="preserve"> they are able to give.</w:t>
      </w:r>
    </w:p>
    <w:p w14:paraId="1AE5F2C3" w14:textId="77777777" w:rsidR="00EF3A21" w:rsidRPr="00EA76E6" w:rsidRDefault="00EF3A21" w:rsidP="007C79A3">
      <w:pPr>
        <w:pStyle w:val="Heading1"/>
        <w:rPr>
          <w:rFonts w:ascii="Arial" w:eastAsia="Times New Roman" w:hAnsi="Arial" w:cs="Arial"/>
          <w:lang w:eastAsia="en-GB"/>
        </w:rPr>
      </w:pPr>
    </w:p>
    <w:p w14:paraId="029EE202" w14:textId="77777777" w:rsidR="00EF3A21" w:rsidRPr="00EA76E6" w:rsidRDefault="00EF3A21" w:rsidP="007C79A3">
      <w:pPr>
        <w:pStyle w:val="Heading1"/>
        <w:rPr>
          <w:rFonts w:ascii="Arial" w:eastAsia="Times New Roman" w:hAnsi="Arial" w:cs="Arial"/>
          <w:color w:val="auto"/>
          <w:sz w:val="28"/>
          <w:szCs w:val="28"/>
          <w:lang w:eastAsia="en-GB"/>
        </w:rPr>
      </w:pPr>
      <w:bookmarkStart w:id="3" w:name="_Toc237426540"/>
      <w:r w:rsidRPr="00EA76E6">
        <w:rPr>
          <w:rFonts w:ascii="Arial" w:eastAsia="Times New Roman" w:hAnsi="Arial" w:cs="Arial"/>
          <w:color w:val="auto"/>
          <w:sz w:val="28"/>
          <w:szCs w:val="28"/>
          <w:lang w:eastAsia="en-GB"/>
        </w:rPr>
        <w:t>Application of Ethics of Care to Health and Social Care</w:t>
      </w:r>
      <w:bookmarkEnd w:id="3"/>
    </w:p>
    <w:p w14:paraId="24511EED"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571C266B"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Ethics of Care can be seen in everyday health and social care practice. Supporting someone is not only about completing care tasks or treating their condition. Professionals also need to understand what the person wants, what is important to them and how their circumstances may affect the support they need. Barnes (2012) links care with wellbeing and considers its place within everyday practice and social policy. This is important because two people with similar care needs may still want completely different things from their support.</w:t>
      </w:r>
    </w:p>
    <w:p w14:paraId="6DFAA9D0"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445193B0"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There is also a strong link with person-centred care. The Care Act 2014 places importance on wellbeing, dignity and having control over everyday life (Care Act 2014). This means people should be involved in decisions about their own support rather than care simply being decided for them. NICE (2021) also supports shared decision-making, where professionals work with individuals and consider their preferences and values. This fits with Ethics of Care because it gives the person a voice and recognises that professionals should understand what matters to them.</w:t>
      </w:r>
    </w:p>
    <w:p w14:paraId="089B9BFC"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54BBCC3E"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 xml:space="preserve">Having a voice in care can be particularly important for someone who relies on professionals for ongoing support. Although professionals may have more knowledge about certain areas of care, this does not mean they know everything about the person’s life or what they want. </w:t>
      </w:r>
      <w:r w:rsidRPr="00EA76E6">
        <w:rPr>
          <w:rFonts w:ascii="Arial" w:eastAsia="Times New Roman" w:hAnsi="Arial" w:cs="Arial"/>
          <w:color w:val="242424"/>
          <w:kern w:val="0"/>
          <w:sz w:val="22"/>
          <w:szCs w:val="22"/>
          <w:lang w:eastAsia="en-GB"/>
          <w14:ligatures w14:val="none"/>
        </w:rPr>
        <w:lastRenderedPageBreak/>
        <w:t>Hickmann, Richter and Schlieter (2022) discuss the importance of people being actively involved in their own healthcare through involvement and empowerment. Giving people the chance to express their views can make care feel more like something they are part of rather than something that is simply being done to them.</w:t>
      </w:r>
    </w:p>
    <w:p w14:paraId="43973B1E"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1BC3CA83"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Relationships can also affect how comfortable someone feels when receiving support. If a person trusts the professional working with them, they may find it easier to talk about their concerns or say when something is not working. However, building this type of relationship takes time. Nguyen, Zavoretti and Tronto (2017) show that care can also be affected by wider organisational and social circumstances. A professional could understand the importance of listening to someone but still struggle to do this properly if they are under pressure.</w:t>
      </w:r>
    </w:p>
    <w:p w14:paraId="413CCA8C"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54333739" w14:textId="21E5B850"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 xml:space="preserve">For example, a support worker may want to sit down with someone who is upset and give them time to talk, but they may also be responsible for several other people who need support. This does not necessarily mean that the worker does not care. Instead, it shows how the working environment can affect their ability to provide individual care. Ethics of Care is therefore useful in practice, but organisations also need to give professionals enough time and support to </w:t>
      </w:r>
      <w:r w:rsidR="00940EEA" w:rsidRPr="00EA76E6">
        <w:rPr>
          <w:rFonts w:ascii="Arial" w:eastAsia="Times New Roman" w:hAnsi="Arial" w:cs="Arial"/>
          <w:color w:val="242424"/>
          <w:kern w:val="0"/>
          <w:sz w:val="22"/>
          <w:szCs w:val="22"/>
          <w:lang w:eastAsia="en-GB"/>
          <w14:ligatures w14:val="none"/>
        </w:rPr>
        <w:t>use</w:t>
      </w:r>
      <w:r w:rsidRPr="00EA76E6">
        <w:rPr>
          <w:rFonts w:ascii="Arial" w:eastAsia="Times New Roman" w:hAnsi="Arial" w:cs="Arial"/>
          <w:color w:val="242424"/>
          <w:kern w:val="0"/>
          <w:sz w:val="22"/>
          <w:szCs w:val="22"/>
          <w:lang w:eastAsia="en-GB"/>
          <w14:ligatures w14:val="none"/>
        </w:rPr>
        <w:t xml:space="preserve"> this approach.</w:t>
      </w:r>
    </w:p>
    <w:p w14:paraId="0E885685"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1F6BDF6B" w14:textId="1BED621E"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 xml:space="preserve">Using Ethics of Care in practice is not always straightforward. One difficulty is that professionals often have responsibilities towards several people at the same time. They may know what would be best for one individual but still </w:t>
      </w:r>
      <w:r w:rsidR="00940EEA" w:rsidRPr="00EA76E6">
        <w:rPr>
          <w:rFonts w:ascii="Arial" w:eastAsia="Times New Roman" w:hAnsi="Arial" w:cs="Arial"/>
          <w:color w:val="242424"/>
          <w:kern w:val="0"/>
          <w:sz w:val="22"/>
          <w:szCs w:val="22"/>
          <w:lang w:eastAsia="en-GB"/>
          <w14:ligatures w14:val="none"/>
        </w:rPr>
        <w:t>must</w:t>
      </w:r>
      <w:r w:rsidRPr="00EA76E6">
        <w:rPr>
          <w:rFonts w:ascii="Arial" w:eastAsia="Times New Roman" w:hAnsi="Arial" w:cs="Arial"/>
          <w:color w:val="242424"/>
          <w:kern w:val="0"/>
          <w:sz w:val="22"/>
          <w:szCs w:val="22"/>
          <w:lang w:eastAsia="en-GB"/>
          <w14:ligatures w14:val="none"/>
        </w:rPr>
        <w:t xml:space="preserve"> make sure other people receive fair care and support. Nortvedt, Hem and Skirbekk (2011) discuss this issue and consider the difficulty of giving particular attention to one patient while still meeting wider professional responsibilities. This shows why focusing only on one caring relationship may sometimes create problems.</w:t>
      </w:r>
    </w:p>
    <w:p w14:paraId="0866E111"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6DD510CE" w14:textId="4C037F3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 xml:space="preserve">Resources can also affect the decisions professionals make. Health and social care services have limits on staff, funding and treatments, meaning it is not always possible to give everyone everything that could benefit them. Bognar and Hirose (2014) discuss the ethical problems involved when limited healthcare resources </w:t>
      </w:r>
      <w:r w:rsidR="00940EEA" w:rsidRPr="00EA76E6">
        <w:rPr>
          <w:rFonts w:ascii="Arial" w:eastAsia="Times New Roman" w:hAnsi="Arial" w:cs="Arial"/>
          <w:color w:val="242424"/>
          <w:kern w:val="0"/>
          <w:sz w:val="22"/>
          <w:szCs w:val="22"/>
          <w:lang w:eastAsia="en-GB"/>
          <w14:ligatures w14:val="none"/>
        </w:rPr>
        <w:t>must</w:t>
      </w:r>
      <w:r w:rsidRPr="00EA76E6">
        <w:rPr>
          <w:rFonts w:ascii="Arial" w:eastAsia="Times New Roman" w:hAnsi="Arial" w:cs="Arial"/>
          <w:color w:val="242424"/>
          <w:kern w:val="0"/>
          <w:sz w:val="22"/>
          <w:szCs w:val="22"/>
          <w:lang w:eastAsia="en-GB"/>
          <w14:ligatures w14:val="none"/>
        </w:rPr>
        <w:t xml:space="preserve"> be shared. This can be difficult when using Ethics of Care because the most caring option for one person may use resources that are also needed by other people.</w:t>
      </w:r>
    </w:p>
    <w:p w14:paraId="21F2A18E"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742C7BA8"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 xml:space="preserve">Another difficult situation can happen when a person’s choice is different from what a professional thinks would be best for them. A professional should listen to the individual, but </w:t>
      </w:r>
      <w:r w:rsidRPr="00EA76E6">
        <w:rPr>
          <w:rFonts w:ascii="Arial" w:eastAsia="Times New Roman" w:hAnsi="Arial" w:cs="Arial"/>
          <w:color w:val="242424"/>
          <w:kern w:val="0"/>
          <w:sz w:val="22"/>
          <w:szCs w:val="22"/>
          <w:lang w:eastAsia="en-GB"/>
          <w14:ligatures w14:val="none"/>
        </w:rPr>
        <w:lastRenderedPageBreak/>
        <w:t xml:space="preserve">they also have responsibilities around safety and appropriate care. NICE (2021) supports shared decision-making where professional knowledge is considered alongside the person’s own preferences and values. This can help, although there may still be situations where a difficult decision </w:t>
      </w:r>
      <w:proofErr w:type="gramStart"/>
      <w:r w:rsidRPr="00EA76E6">
        <w:rPr>
          <w:rFonts w:ascii="Arial" w:eastAsia="Times New Roman" w:hAnsi="Arial" w:cs="Arial"/>
          <w:color w:val="242424"/>
          <w:kern w:val="0"/>
          <w:sz w:val="22"/>
          <w:szCs w:val="22"/>
          <w:lang w:eastAsia="en-GB"/>
          <w14:ligatures w14:val="none"/>
        </w:rPr>
        <w:t>has to</w:t>
      </w:r>
      <w:proofErr w:type="gramEnd"/>
      <w:r w:rsidRPr="00EA76E6">
        <w:rPr>
          <w:rFonts w:ascii="Arial" w:eastAsia="Times New Roman" w:hAnsi="Arial" w:cs="Arial"/>
          <w:color w:val="242424"/>
          <w:kern w:val="0"/>
          <w:sz w:val="22"/>
          <w:szCs w:val="22"/>
          <w:lang w:eastAsia="en-GB"/>
          <w14:ligatures w14:val="none"/>
        </w:rPr>
        <w:t xml:space="preserve"> be made. Being caring does not always mean agreeing with every decision, particularly if there are serious concerns about someone’s safety.</w:t>
      </w:r>
    </w:p>
    <w:p w14:paraId="6990C946"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72867C56"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These problems do not mean that Ethics of Care should not be used. Instead, they show why it cannot always be the only approach used when making decisions. Professionals still need to consider policies, professional guidance, fairness and their responsibilities towards other people. Ethics of Care can help make sure the individual is not forgotten within these decisions, while other approaches can help when there are competing needs or risks to consider.</w:t>
      </w:r>
    </w:p>
    <w:p w14:paraId="2C5CDD63" w14:textId="77777777" w:rsidR="00EF3A21" w:rsidRPr="00EA76E6" w:rsidRDefault="00EF3A21" w:rsidP="007C79A3">
      <w:pPr>
        <w:pStyle w:val="Heading1"/>
        <w:rPr>
          <w:rFonts w:ascii="Arial" w:eastAsia="Times New Roman" w:hAnsi="Arial" w:cs="Arial"/>
          <w:lang w:eastAsia="en-GB"/>
        </w:rPr>
      </w:pPr>
    </w:p>
    <w:p w14:paraId="01A5F968" w14:textId="77777777" w:rsidR="00EF3A21" w:rsidRPr="00EA76E6" w:rsidRDefault="00EF3A21" w:rsidP="007C79A3">
      <w:pPr>
        <w:pStyle w:val="Heading1"/>
        <w:rPr>
          <w:rFonts w:ascii="Arial" w:eastAsia="Times New Roman" w:hAnsi="Arial" w:cs="Arial"/>
          <w:color w:val="auto"/>
          <w:sz w:val="28"/>
          <w:szCs w:val="28"/>
          <w:lang w:eastAsia="en-GB"/>
        </w:rPr>
      </w:pPr>
      <w:bookmarkStart w:id="4" w:name="_Toc237426541"/>
      <w:r w:rsidRPr="00EA76E6">
        <w:rPr>
          <w:rFonts w:ascii="Arial" w:eastAsia="Times New Roman" w:hAnsi="Arial" w:cs="Arial"/>
          <w:color w:val="auto"/>
          <w:sz w:val="28"/>
          <w:szCs w:val="28"/>
          <w:lang w:eastAsia="en-GB"/>
        </w:rPr>
        <w:t>Recommendations for Health and Social Care Policy and Practice</w:t>
      </w:r>
      <w:bookmarkEnd w:id="4"/>
    </w:p>
    <w:p w14:paraId="575DC779"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43BA4BBE" w14:textId="1B2B34A6"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 xml:space="preserve">One way Ethics of Care could be better supported is by giving professionals more opportunity to </w:t>
      </w:r>
      <w:r w:rsidR="00940EEA" w:rsidRPr="00EA76E6">
        <w:rPr>
          <w:rFonts w:ascii="Arial" w:eastAsia="Times New Roman" w:hAnsi="Arial" w:cs="Arial"/>
          <w:color w:val="242424"/>
          <w:kern w:val="0"/>
          <w:sz w:val="22"/>
          <w:szCs w:val="22"/>
          <w:lang w:eastAsia="en-GB"/>
          <w14:ligatures w14:val="none"/>
        </w:rPr>
        <w:t>get</w:t>
      </w:r>
      <w:r w:rsidRPr="00EA76E6">
        <w:rPr>
          <w:rFonts w:ascii="Arial" w:eastAsia="Times New Roman" w:hAnsi="Arial" w:cs="Arial"/>
          <w:color w:val="242424"/>
          <w:kern w:val="0"/>
          <w:sz w:val="22"/>
          <w:szCs w:val="22"/>
          <w:lang w:eastAsia="en-GB"/>
          <w14:ligatures w14:val="none"/>
        </w:rPr>
        <w:t xml:space="preserve"> to know the people they work with. Care can easily become focused on completing tasks, especially when services are busy. Giving individuals time to speak about what matters to them and involving them in decisions would support both Ethics of Care and the person-centred approach within the Care Act 2014. NICE (2021) also supports involving people through shared decision-making.</w:t>
      </w:r>
    </w:p>
    <w:p w14:paraId="5CF894B5"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476DD80B"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Services also need to look at the pressure being placed on professionals. Nguyen, Zavoretti and Tronto (2017) show that care is affected by wider circumstances, which means the responsibility cannot always sit with individual workers. Having enough staff, more manageable workloads and enough time with the people being supported could make it easier for professionals to build relationships rather than feeling that they are moving from one task to another.</w:t>
      </w:r>
    </w:p>
    <w:p w14:paraId="5C05F43D"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6B77A49F"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Training could also help professionals understand how to use Ethics of Care when situations are not straightforward. Nortvedt, Hem and Skirbekk (2011) show some of the difficulties professionals can face when trying to balance individual relationships with their wider responsibilities. Training around these situations could help staff remain person-centred while still thinking about fairness, safety and the needs of other people.</w:t>
      </w:r>
    </w:p>
    <w:p w14:paraId="67F34725"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7AFD391E" w14:textId="77777777" w:rsidR="00EF3A21" w:rsidRPr="00EA76E6" w:rsidRDefault="00EF3A21" w:rsidP="007C79A3">
      <w:pPr>
        <w:pStyle w:val="Heading1"/>
        <w:rPr>
          <w:rFonts w:ascii="Arial" w:eastAsia="Times New Roman" w:hAnsi="Arial" w:cs="Arial"/>
          <w:color w:val="auto"/>
          <w:sz w:val="28"/>
          <w:szCs w:val="28"/>
          <w:lang w:eastAsia="en-GB"/>
        </w:rPr>
      </w:pPr>
      <w:bookmarkStart w:id="5" w:name="_Toc237426542"/>
      <w:r w:rsidRPr="00EA76E6">
        <w:rPr>
          <w:rFonts w:ascii="Arial" w:eastAsia="Times New Roman" w:hAnsi="Arial" w:cs="Arial"/>
          <w:color w:val="auto"/>
          <w:sz w:val="28"/>
          <w:szCs w:val="28"/>
          <w:lang w:eastAsia="en-GB"/>
        </w:rPr>
        <w:t>Conclusion</w:t>
      </w:r>
      <w:bookmarkEnd w:id="5"/>
    </w:p>
    <w:p w14:paraId="5F853C91"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15716C82"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Overall, Ethics of Care is useful within health and social care because it reminds professionals to look at the person rather than only focusing on their condition or the tasks that need to be completed. Relationships, listening and understanding what matters to someone can all make a difference to their experience of care.</w:t>
      </w:r>
    </w:p>
    <w:p w14:paraId="3B5C64EF"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6298F705"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 xml:space="preserve">At the same time, there are limitations. The early link between women and caring has been criticised, and professionals can also face difficult situations where one person’s needs </w:t>
      </w:r>
      <w:proofErr w:type="gramStart"/>
      <w:r w:rsidRPr="00EA76E6">
        <w:rPr>
          <w:rFonts w:ascii="Arial" w:eastAsia="Times New Roman" w:hAnsi="Arial" w:cs="Arial"/>
          <w:color w:val="242424"/>
          <w:kern w:val="0"/>
          <w:sz w:val="22"/>
          <w:szCs w:val="22"/>
          <w:lang w:eastAsia="en-GB"/>
          <w14:ligatures w14:val="none"/>
        </w:rPr>
        <w:t>have to</w:t>
      </w:r>
      <w:proofErr w:type="gramEnd"/>
      <w:r w:rsidRPr="00EA76E6">
        <w:rPr>
          <w:rFonts w:ascii="Arial" w:eastAsia="Times New Roman" w:hAnsi="Arial" w:cs="Arial"/>
          <w:color w:val="242424"/>
          <w:kern w:val="0"/>
          <w:sz w:val="22"/>
          <w:szCs w:val="22"/>
          <w:lang w:eastAsia="en-GB"/>
          <w14:ligatures w14:val="none"/>
        </w:rPr>
        <w:t xml:space="preserve"> be balanced against the needs of others. Time pressures, staffing and limited resources can make this harder.</w:t>
      </w:r>
    </w:p>
    <w:p w14:paraId="21495EA0"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p>
    <w:p w14:paraId="16BFD181" w14:textId="77777777" w:rsidR="00EF3A21" w:rsidRPr="00EA76E6" w:rsidRDefault="00EF3A21" w:rsidP="00EF3A21">
      <w:pPr>
        <w:shd w:val="clear" w:color="auto" w:fill="FFFFFF"/>
        <w:spacing w:after="0" w:line="360" w:lineRule="auto"/>
        <w:textAlignment w:val="baseline"/>
        <w:rPr>
          <w:rFonts w:ascii="Arial" w:eastAsia="Times New Roman" w:hAnsi="Arial" w:cs="Arial"/>
          <w:color w:val="242424"/>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t>Despite this, Ethics of Care can still play an important part in person-centred practice. It may work best alongside professional guidance and other ethical approaches rather than being used on its own. Organisations also have a part to play by giving staff enough support and time to build relationships with the people they care for. This could help people feel more involved, listened to and respected when receiving health and social care.</w:t>
      </w:r>
    </w:p>
    <w:p w14:paraId="5ABB4353" w14:textId="77777777" w:rsidR="00EF3A21" w:rsidRPr="00EA76E6" w:rsidRDefault="00EF3A21" w:rsidP="00EF3A21">
      <w:pPr>
        <w:spacing w:line="360" w:lineRule="auto"/>
        <w:rPr>
          <w:rFonts w:ascii="Arial" w:hAnsi="Arial" w:cs="Arial"/>
          <w:sz w:val="22"/>
          <w:szCs w:val="22"/>
        </w:rPr>
      </w:pPr>
    </w:p>
    <w:p w14:paraId="32C79321" w14:textId="77777777" w:rsidR="00EF3A21" w:rsidRPr="00EA76E6" w:rsidRDefault="00EF3A21" w:rsidP="00EF3A21">
      <w:pPr>
        <w:spacing w:line="360" w:lineRule="auto"/>
        <w:rPr>
          <w:rFonts w:ascii="Arial" w:hAnsi="Arial" w:cs="Arial"/>
          <w:sz w:val="22"/>
          <w:szCs w:val="22"/>
        </w:rPr>
      </w:pPr>
    </w:p>
    <w:p w14:paraId="057D87A8" w14:textId="77777777" w:rsidR="0033515C" w:rsidRPr="00EA76E6" w:rsidRDefault="0033515C" w:rsidP="00EF3A21">
      <w:pPr>
        <w:spacing w:line="360" w:lineRule="auto"/>
        <w:rPr>
          <w:rFonts w:ascii="Arial" w:hAnsi="Arial" w:cs="Arial"/>
          <w:sz w:val="22"/>
          <w:szCs w:val="22"/>
        </w:rPr>
      </w:pPr>
    </w:p>
    <w:p w14:paraId="711CC6D0" w14:textId="77777777" w:rsidR="007C79A3" w:rsidRPr="00EA76E6" w:rsidRDefault="007C79A3" w:rsidP="00EF3A21">
      <w:pPr>
        <w:spacing w:line="360" w:lineRule="auto"/>
        <w:rPr>
          <w:rFonts w:ascii="Arial" w:hAnsi="Arial" w:cs="Arial"/>
          <w:sz w:val="22"/>
          <w:szCs w:val="22"/>
        </w:rPr>
      </w:pPr>
    </w:p>
    <w:p w14:paraId="50436730" w14:textId="77777777" w:rsidR="007C79A3" w:rsidRPr="00EA76E6" w:rsidRDefault="007C79A3" w:rsidP="00EF3A21">
      <w:pPr>
        <w:spacing w:line="360" w:lineRule="auto"/>
        <w:rPr>
          <w:rFonts w:ascii="Arial" w:hAnsi="Arial" w:cs="Arial"/>
          <w:sz w:val="22"/>
          <w:szCs w:val="22"/>
        </w:rPr>
      </w:pPr>
    </w:p>
    <w:p w14:paraId="0DCFBE42" w14:textId="77777777" w:rsidR="007C79A3" w:rsidRPr="00EA76E6" w:rsidRDefault="007C79A3" w:rsidP="00EF3A21">
      <w:pPr>
        <w:spacing w:line="360" w:lineRule="auto"/>
        <w:rPr>
          <w:rFonts w:ascii="Arial" w:hAnsi="Arial" w:cs="Arial"/>
          <w:sz w:val="22"/>
          <w:szCs w:val="22"/>
        </w:rPr>
      </w:pPr>
    </w:p>
    <w:p w14:paraId="4841643E" w14:textId="77777777" w:rsidR="007C79A3" w:rsidRPr="00EA76E6" w:rsidRDefault="007C79A3" w:rsidP="00EF3A21">
      <w:pPr>
        <w:spacing w:line="360" w:lineRule="auto"/>
        <w:rPr>
          <w:rFonts w:ascii="Arial" w:hAnsi="Arial" w:cs="Arial"/>
          <w:sz w:val="22"/>
          <w:szCs w:val="22"/>
        </w:rPr>
      </w:pPr>
    </w:p>
    <w:p w14:paraId="573C7564" w14:textId="77777777" w:rsidR="007C79A3" w:rsidRPr="00EA76E6" w:rsidRDefault="007C79A3" w:rsidP="00EF3A21">
      <w:pPr>
        <w:spacing w:line="360" w:lineRule="auto"/>
        <w:rPr>
          <w:rFonts w:ascii="Arial" w:hAnsi="Arial" w:cs="Arial"/>
          <w:sz w:val="22"/>
          <w:szCs w:val="22"/>
        </w:rPr>
      </w:pPr>
    </w:p>
    <w:p w14:paraId="40F24CBB" w14:textId="77777777" w:rsidR="00D05056" w:rsidRPr="00EA76E6" w:rsidRDefault="00D05056" w:rsidP="007C79A3">
      <w:pPr>
        <w:pStyle w:val="Heading1"/>
        <w:rPr>
          <w:rFonts w:ascii="Arial" w:hAnsi="Arial" w:cs="Arial"/>
          <w:color w:val="auto"/>
          <w:sz w:val="28"/>
          <w:szCs w:val="28"/>
        </w:rPr>
      </w:pPr>
      <w:bookmarkStart w:id="6" w:name="_Toc237426543"/>
    </w:p>
    <w:p w14:paraId="1E408F10" w14:textId="77777777" w:rsidR="00D05056" w:rsidRPr="00EA76E6" w:rsidRDefault="00D05056" w:rsidP="007C79A3">
      <w:pPr>
        <w:pStyle w:val="Heading1"/>
        <w:rPr>
          <w:rFonts w:ascii="Arial" w:hAnsi="Arial" w:cs="Arial"/>
          <w:color w:val="auto"/>
          <w:sz w:val="28"/>
          <w:szCs w:val="28"/>
        </w:rPr>
      </w:pPr>
    </w:p>
    <w:p w14:paraId="48B8629D" w14:textId="77777777" w:rsidR="00D05056" w:rsidRPr="00EA76E6" w:rsidRDefault="00D05056" w:rsidP="007C79A3">
      <w:pPr>
        <w:pStyle w:val="Heading1"/>
        <w:rPr>
          <w:rFonts w:ascii="Arial" w:hAnsi="Arial" w:cs="Arial"/>
          <w:color w:val="auto"/>
          <w:sz w:val="28"/>
          <w:szCs w:val="28"/>
        </w:rPr>
      </w:pPr>
    </w:p>
    <w:p w14:paraId="36EEFC16" w14:textId="77777777" w:rsidR="00D05056" w:rsidRPr="00EA76E6" w:rsidRDefault="00D05056" w:rsidP="007C79A3">
      <w:pPr>
        <w:pStyle w:val="Heading1"/>
        <w:rPr>
          <w:rFonts w:ascii="Arial" w:hAnsi="Arial" w:cs="Arial"/>
          <w:color w:val="auto"/>
          <w:sz w:val="28"/>
          <w:szCs w:val="28"/>
        </w:rPr>
      </w:pPr>
    </w:p>
    <w:p w14:paraId="6CB0991B" w14:textId="77777777" w:rsidR="00D05056" w:rsidRPr="00EA76E6" w:rsidRDefault="00D05056" w:rsidP="007C79A3">
      <w:pPr>
        <w:pStyle w:val="Heading1"/>
        <w:rPr>
          <w:rFonts w:ascii="Arial" w:hAnsi="Arial" w:cs="Arial"/>
          <w:color w:val="auto"/>
          <w:sz w:val="28"/>
          <w:szCs w:val="28"/>
        </w:rPr>
      </w:pPr>
    </w:p>
    <w:p w14:paraId="56282752" w14:textId="77777777" w:rsidR="00D05056" w:rsidRPr="00EA76E6" w:rsidRDefault="00D05056" w:rsidP="007C79A3">
      <w:pPr>
        <w:pStyle w:val="Heading1"/>
        <w:rPr>
          <w:rFonts w:ascii="Arial" w:hAnsi="Arial" w:cs="Arial"/>
          <w:color w:val="auto"/>
          <w:sz w:val="28"/>
          <w:szCs w:val="28"/>
        </w:rPr>
      </w:pPr>
    </w:p>
    <w:p w14:paraId="15483FF1" w14:textId="77777777" w:rsidR="00D05056" w:rsidRPr="00EA76E6" w:rsidRDefault="00D05056" w:rsidP="007C79A3">
      <w:pPr>
        <w:pStyle w:val="Heading1"/>
        <w:rPr>
          <w:rFonts w:ascii="Arial" w:hAnsi="Arial" w:cs="Arial"/>
          <w:color w:val="auto"/>
          <w:sz w:val="28"/>
          <w:szCs w:val="28"/>
        </w:rPr>
      </w:pPr>
    </w:p>
    <w:p w14:paraId="3DB262B3" w14:textId="77777777" w:rsidR="00D05056" w:rsidRPr="00EA76E6" w:rsidRDefault="00D05056" w:rsidP="007C79A3">
      <w:pPr>
        <w:pStyle w:val="Heading1"/>
        <w:rPr>
          <w:rFonts w:ascii="Arial" w:hAnsi="Arial" w:cs="Arial"/>
          <w:color w:val="auto"/>
          <w:sz w:val="28"/>
          <w:szCs w:val="28"/>
        </w:rPr>
      </w:pPr>
    </w:p>
    <w:bookmarkEnd w:id="6"/>
    <w:p w14:paraId="110F7D2A" w14:textId="77777777" w:rsidR="00D05056" w:rsidRPr="00EA76E6" w:rsidRDefault="00D05056" w:rsidP="00D05056">
      <w:pPr>
        <w:shd w:val="clear" w:color="auto" w:fill="FFFFFF"/>
        <w:spacing w:after="0" w:line="240" w:lineRule="auto"/>
        <w:textAlignment w:val="baseline"/>
        <w:rPr>
          <w:rFonts w:ascii="Arial" w:eastAsia="Times New Roman" w:hAnsi="Arial" w:cs="Arial"/>
          <w:color w:val="242424"/>
          <w:kern w:val="0"/>
          <w:sz w:val="22"/>
          <w:szCs w:val="22"/>
          <w:lang w:eastAsia="en-GB"/>
          <w14:ligatures w14:val="none"/>
        </w:rPr>
      </w:pPr>
    </w:p>
    <w:p w14:paraId="5BF5D4CB" w14:textId="77777777" w:rsidR="00D05056" w:rsidRPr="00EA76E6" w:rsidRDefault="00D05056" w:rsidP="00D05056">
      <w:pPr>
        <w:shd w:val="clear" w:color="auto" w:fill="FFFFFF"/>
        <w:spacing w:after="0" w:line="240" w:lineRule="auto"/>
        <w:textAlignment w:val="baseline"/>
        <w:rPr>
          <w:rFonts w:ascii="Arial" w:eastAsia="Times New Roman" w:hAnsi="Arial" w:cs="Arial"/>
          <w:color w:val="242424"/>
          <w:kern w:val="0"/>
          <w:sz w:val="22"/>
          <w:szCs w:val="22"/>
          <w:lang w:eastAsia="en-GB"/>
          <w14:ligatures w14:val="none"/>
        </w:rPr>
      </w:pPr>
    </w:p>
    <w:p w14:paraId="44F401E7" w14:textId="77777777" w:rsidR="00D05056" w:rsidRPr="00EA76E6" w:rsidRDefault="00D05056" w:rsidP="00D05056">
      <w:pPr>
        <w:shd w:val="clear" w:color="auto" w:fill="FFFFFF"/>
        <w:spacing w:after="0" w:line="240" w:lineRule="auto"/>
        <w:textAlignment w:val="baseline"/>
        <w:rPr>
          <w:rFonts w:ascii="Arial" w:eastAsia="Times New Roman" w:hAnsi="Arial" w:cs="Arial"/>
          <w:color w:val="242424"/>
          <w:kern w:val="0"/>
          <w:sz w:val="22"/>
          <w:szCs w:val="22"/>
          <w:lang w:eastAsia="en-GB"/>
          <w14:ligatures w14:val="none"/>
        </w:rPr>
      </w:pPr>
    </w:p>
    <w:p w14:paraId="102FDEEC" w14:textId="77777777" w:rsidR="00D05056" w:rsidRPr="00EA76E6" w:rsidRDefault="00D05056" w:rsidP="00D05056">
      <w:pPr>
        <w:shd w:val="clear" w:color="auto" w:fill="FFFFFF"/>
        <w:spacing w:after="0" w:line="240" w:lineRule="auto"/>
        <w:textAlignment w:val="baseline"/>
        <w:rPr>
          <w:rFonts w:ascii="Arial" w:eastAsia="Times New Roman" w:hAnsi="Arial" w:cs="Arial"/>
          <w:color w:val="242424"/>
          <w:kern w:val="0"/>
          <w:sz w:val="22"/>
          <w:szCs w:val="22"/>
          <w:lang w:eastAsia="en-GB"/>
          <w14:ligatures w14:val="none"/>
        </w:rPr>
      </w:pPr>
    </w:p>
    <w:p w14:paraId="4FF35D1A" w14:textId="5A3CE3C3" w:rsidR="00D05056" w:rsidRPr="00EA76E6" w:rsidRDefault="00D05056" w:rsidP="00D05056">
      <w:pPr>
        <w:pStyle w:val="Heading1"/>
        <w:rPr>
          <w:rFonts w:ascii="Arial" w:eastAsia="Times New Roman" w:hAnsi="Arial" w:cs="Arial"/>
          <w:color w:val="auto"/>
          <w:sz w:val="28"/>
          <w:szCs w:val="28"/>
          <w:lang w:eastAsia="en-GB"/>
        </w:rPr>
      </w:pPr>
      <w:r w:rsidRPr="00EA76E6">
        <w:rPr>
          <w:rFonts w:ascii="Arial" w:eastAsia="Times New Roman" w:hAnsi="Arial" w:cs="Arial"/>
          <w:color w:val="auto"/>
          <w:sz w:val="28"/>
          <w:szCs w:val="28"/>
          <w:lang w:eastAsia="en-GB"/>
        </w:rPr>
        <w:t xml:space="preserve">References </w:t>
      </w:r>
    </w:p>
    <w:p w14:paraId="43CAED18" w14:textId="77777777" w:rsidR="00D05056" w:rsidRPr="00EA76E6" w:rsidRDefault="00D05056" w:rsidP="00D05056">
      <w:pPr>
        <w:shd w:val="clear" w:color="auto" w:fill="FFFFFF"/>
        <w:spacing w:after="0" w:line="240" w:lineRule="auto"/>
        <w:textAlignment w:val="baseline"/>
        <w:rPr>
          <w:rFonts w:ascii="Arial" w:eastAsia="Times New Roman" w:hAnsi="Arial" w:cs="Arial"/>
          <w:color w:val="242424"/>
          <w:kern w:val="0"/>
          <w:sz w:val="22"/>
          <w:szCs w:val="22"/>
          <w:lang w:eastAsia="en-GB"/>
          <w14:ligatures w14:val="none"/>
        </w:rPr>
      </w:pPr>
    </w:p>
    <w:p w14:paraId="3E496AA6" w14:textId="77777777" w:rsidR="00D05056" w:rsidRPr="00EA76E6" w:rsidRDefault="00D05056" w:rsidP="00D05056">
      <w:pPr>
        <w:shd w:val="clear" w:color="auto" w:fill="FFFFFF"/>
        <w:spacing w:after="0" w:line="240" w:lineRule="auto"/>
        <w:textAlignment w:val="baseline"/>
        <w:rPr>
          <w:rFonts w:ascii="Arial" w:eastAsia="Times New Roman" w:hAnsi="Arial" w:cs="Arial"/>
          <w:color w:val="242424"/>
          <w:kern w:val="0"/>
          <w:sz w:val="22"/>
          <w:szCs w:val="22"/>
          <w:lang w:eastAsia="en-GB"/>
          <w14:ligatures w14:val="none"/>
        </w:rPr>
      </w:pPr>
    </w:p>
    <w:p w14:paraId="640A6A86" w14:textId="0AEE852D" w:rsidR="00D05056" w:rsidRPr="00EA76E6" w:rsidRDefault="00D05056" w:rsidP="00D05056">
      <w:pPr>
        <w:shd w:val="clear" w:color="auto" w:fill="FFFFFF"/>
        <w:spacing w:after="0" w:line="240" w:lineRule="auto"/>
        <w:textAlignment w:val="baseline"/>
        <w:rPr>
          <w:rStyle w:val="Hyperlink"/>
          <w:rFonts w:ascii="Arial" w:eastAsia="Times New Roman" w:hAnsi="Arial" w:cs="Arial"/>
          <w:kern w:val="0"/>
          <w:sz w:val="22"/>
          <w:szCs w:val="22"/>
          <w:lang w:eastAsia="en-GB"/>
          <w14:ligatures w14:val="none"/>
        </w:rPr>
      </w:pPr>
      <w:r w:rsidRPr="00EA76E6">
        <w:rPr>
          <w:rFonts w:ascii="Arial" w:eastAsia="Times New Roman" w:hAnsi="Arial" w:cs="Arial"/>
          <w:color w:val="242424"/>
          <w:kern w:val="0"/>
          <w:sz w:val="22"/>
          <w:szCs w:val="22"/>
          <w:lang w:eastAsia="en-GB"/>
          <w14:ligatures w14:val="none"/>
        </w:rPr>
        <w:fldChar w:fldCharType="begin"/>
      </w:r>
      <w:r w:rsidR="00FE7597">
        <w:rPr>
          <w:rFonts w:ascii="Arial" w:eastAsia="Times New Roman" w:hAnsi="Arial" w:cs="Arial"/>
          <w:color w:val="242424"/>
          <w:kern w:val="0"/>
          <w:sz w:val="22"/>
          <w:szCs w:val="22"/>
          <w:lang w:eastAsia="en-GB"/>
          <w14:ligatures w14:val="none"/>
        </w:rPr>
        <w:instrText>HYPERLINK "https://d.docs.live.net/5F3B0524E35E3ABA/Documents/Flanagan, O. and Jackson, K. (1987) ‘Justice, care, and gender: The Kohlberg-Gilligan debate revisited’, Ethics, 97(3), pp. 622–637."</w:instrText>
      </w:r>
      <w:r w:rsidR="00FE7597" w:rsidRPr="00EA76E6">
        <w:rPr>
          <w:rFonts w:ascii="Arial" w:eastAsia="Times New Roman" w:hAnsi="Arial" w:cs="Arial"/>
          <w:color w:val="242424"/>
          <w:kern w:val="0"/>
          <w:sz w:val="22"/>
          <w:szCs w:val="22"/>
          <w:lang w:eastAsia="en-GB"/>
          <w14:ligatures w14:val="none"/>
        </w:rPr>
      </w:r>
      <w:r w:rsidRPr="00EA76E6">
        <w:rPr>
          <w:rFonts w:ascii="Arial" w:eastAsia="Times New Roman" w:hAnsi="Arial" w:cs="Arial"/>
          <w:color w:val="242424"/>
          <w:kern w:val="0"/>
          <w:sz w:val="22"/>
          <w:szCs w:val="22"/>
          <w:lang w:eastAsia="en-GB"/>
          <w14:ligatures w14:val="none"/>
        </w:rPr>
        <w:fldChar w:fldCharType="separate"/>
      </w:r>
      <w:r w:rsidRPr="00EA76E6">
        <w:rPr>
          <w:rStyle w:val="Hyperlink"/>
          <w:rFonts w:ascii="Arial" w:eastAsia="Times New Roman" w:hAnsi="Arial" w:cs="Arial"/>
          <w:kern w:val="0"/>
          <w:sz w:val="22"/>
          <w:szCs w:val="22"/>
          <w:lang w:eastAsia="en-GB"/>
          <w14:ligatures w14:val="none"/>
        </w:rPr>
        <w:t>Flanagan, O. and Jackson, K. (1987) ‘Justice, care, and gender: The Kohlberg-Gilligan debate revisited’, </w:t>
      </w:r>
      <w:r w:rsidRPr="00EA76E6">
        <w:rPr>
          <w:rStyle w:val="Hyperlink"/>
          <w:rFonts w:ascii="Arial" w:eastAsia="Times New Roman" w:hAnsi="Arial" w:cs="Arial"/>
          <w:i/>
          <w:iCs/>
          <w:kern w:val="0"/>
          <w:sz w:val="22"/>
          <w:szCs w:val="22"/>
          <w:lang w:eastAsia="en-GB"/>
          <w14:ligatures w14:val="none"/>
        </w:rPr>
        <w:t>Ethics</w:t>
      </w:r>
      <w:r w:rsidRPr="00EA76E6">
        <w:rPr>
          <w:rStyle w:val="Hyperlink"/>
          <w:rFonts w:ascii="Arial" w:eastAsia="Times New Roman" w:hAnsi="Arial" w:cs="Arial"/>
          <w:kern w:val="0"/>
          <w:sz w:val="22"/>
          <w:szCs w:val="22"/>
          <w:lang w:eastAsia="en-GB"/>
          <w14:ligatures w14:val="none"/>
        </w:rPr>
        <w:t>, 97(3), pp. 622–637.</w:t>
      </w:r>
    </w:p>
    <w:p w14:paraId="7EA58E56" w14:textId="77777777" w:rsidR="00D05056" w:rsidRPr="00EA76E6" w:rsidRDefault="00D05056" w:rsidP="00D05056">
      <w:pPr>
        <w:shd w:val="clear" w:color="auto" w:fill="FFFFFF"/>
        <w:spacing w:after="0" w:line="240" w:lineRule="auto"/>
        <w:textAlignment w:val="baseline"/>
        <w:rPr>
          <w:rStyle w:val="Hyperlink"/>
          <w:rFonts w:ascii="Arial" w:eastAsia="Times New Roman" w:hAnsi="Arial" w:cs="Arial"/>
          <w:kern w:val="0"/>
          <w:sz w:val="22"/>
          <w:szCs w:val="22"/>
          <w:lang w:eastAsia="en-GB"/>
          <w14:ligatures w14:val="none"/>
        </w:rPr>
      </w:pPr>
    </w:p>
    <w:p w14:paraId="30527C85" w14:textId="77777777" w:rsidR="00D05056" w:rsidRPr="00EA76E6" w:rsidRDefault="00D05056" w:rsidP="00D05056">
      <w:pPr>
        <w:shd w:val="clear" w:color="auto" w:fill="FFFFFF"/>
        <w:spacing w:after="0" w:line="240" w:lineRule="auto"/>
        <w:textAlignment w:val="baseline"/>
        <w:rPr>
          <w:rStyle w:val="Hyperlink"/>
          <w:rFonts w:ascii="Arial" w:eastAsia="Times New Roman" w:hAnsi="Arial" w:cs="Arial"/>
          <w:kern w:val="0"/>
          <w:sz w:val="22"/>
          <w:szCs w:val="22"/>
          <w:lang w:eastAsia="en-GB"/>
          <w14:ligatures w14:val="none"/>
        </w:rPr>
      </w:pPr>
      <w:r w:rsidRPr="00EA76E6">
        <w:rPr>
          <w:rStyle w:val="Hyperlink"/>
          <w:rFonts w:ascii="Arial" w:eastAsia="Times New Roman" w:hAnsi="Arial" w:cs="Arial"/>
          <w:kern w:val="0"/>
          <w:sz w:val="22"/>
          <w:szCs w:val="22"/>
          <w:lang w:eastAsia="en-GB"/>
          <w14:ligatures w14:val="none"/>
        </w:rPr>
        <w:t>Gilligan, C. (1982) </w:t>
      </w:r>
      <w:r w:rsidRPr="00EA76E6">
        <w:rPr>
          <w:rStyle w:val="Hyperlink"/>
          <w:rFonts w:ascii="Arial" w:eastAsia="Times New Roman" w:hAnsi="Arial" w:cs="Arial"/>
          <w:i/>
          <w:iCs/>
          <w:kern w:val="0"/>
          <w:sz w:val="22"/>
          <w:szCs w:val="22"/>
          <w:lang w:eastAsia="en-GB"/>
          <w14:ligatures w14:val="none"/>
        </w:rPr>
        <w:t>In a Different Voice: Psychological Theory and Women’s Development</w:t>
      </w:r>
      <w:r w:rsidRPr="00EA76E6">
        <w:rPr>
          <w:rStyle w:val="Hyperlink"/>
          <w:rFonts w:ascii="Arial" w:eastAsia="Times New Roman" w:hAnsi="Arial" w:cs="Arial"/>
          <w:kern w:val="0"/>
          <w:sz w:val="22"/>
          <w:szCs w:val="22"/>
          <w:lang w:eastAsia="en-GB"/>
          <w14:ligatures w14:val="none"/>
        </w:rPr>
        <w:t>. Cambridge, MA: Harvard University Press.</w:t>
      </w:r>
    </w:p>
    <w:p w14:paraId="677FB6C8" w14:textId="77777777" w:rsidR="00D05056" w:rsidRPr="00EA76E6" w:rsidRDefault="00D05056" w:rsidP="00D05056">
      <w:pPr>
        <w:shd w:val="clear" w:color="auto" w:fill="FFFFFF"/>
        <w:spacing w:after="0" w:line="240" w:lineRule="auto"/>
        <w:textAlignment w:val="baseline"/>
        <w:rPr>
          <w:rStyle w:val="Hyperlink"/>
          <w:rFonts w:ascii="Arial" w:eastAsia="Times New Roman" w:hAnsi="Arial" w:cs="Arial"/>
          <w:kern w:val="0"/>
          <w:sz w:val="22"/>
          <w:szCs w:val="22"/>
          <w:lang w:eastAsia="en-GB"/>
          <w14:ligatures w14:val="none"/>
        </w:rPr>
      </w:pPr>
    </w:p>
    <w:p w14:paraId="299406E7" w14:textId="77777777" w:rsidR="00D05056" w:rsidRPr="00EA76E6" w:rsidRDefault="00D05056" w:rsidP="00D05056">
      <w:pPr>
        <w:shd w:val="clear" w:color="auto" w:fill="FFFFFF"/>
        <w:spacing w:after="0" w:line="240" w:lineRule="auto"/>
        <w:textAlignment w:val="baseline"/>
        <w:rPr>
          <w:rStyle w:val="Hyperlink"/>
          <w:rFonts w:ascii="Arial" w:eastAsia="Times New Roman" w:hAnsi="Arial" w:cs="Arial"/>
          <w:kern w:val="0"/>
          <w:sz w:val="22"/>
          <w:szCs w:val="22"/>
          <w:lang w:eastAsia="en-GB"/>
          <w14:ligatures w14:val="none"/>
        </w:rPr>
      </w:pPr>
      <w:r w:rsidRPr="00EA76E6">
        <w:rPr>
          <w:rStyle w:val="Hyperlink"/>
          <w:rFonts w:ascii="Arial" w:eastAsia="Times New Roman" w:hAnsi="Arial" w:cs="Arial"/>
          <w:kern w:val="0"/>
          <w:sz w:val="22"/>
          <w:szCs w:val="22"/>
          <w:lang w:eastAsia="en-GB"/>
          <w14:ligatures w14:val="none"/>
        </w:rPr>
        <w:t>Nguyen, M.T.N., Zavoretti, R. and Tronto, J. (2017) ‘Beyond the global care chain: Boundaries, institutions and ethics of care’, </w:t>
      </w:r>
      <w:r w:rsidRPr="00EA76E6">
        <w:rPr>
          <w:rStyle w:val="Hyperlink"/>
          <w:rFonts w:ascii="Arial" w:eastAsia="Times New Roman" w:hAnsi="Arial" w:cs="Arial"/>
          <w:i/>
          <w:iCs/>
          <w:kern w:val="0"/>
          <w:sz w:val="22"/>
          <w:szCs w:val="22"/>
          <w:lang w:eastAsia="en-GB"/>
          <w14:ligatures w14:val="none"/>
        </w:rPr>
        <w:t>Ethics and Social Welfare</w:t>
      </w:r>
      <w:r w:rsidRPr="00EA76E6">
        <w:rPr>
          <w:rStyle w:val="Hyperlink"/>
          <w:rFonts w:ascii="Arial" w:eastAsia="Times New Roman" w:hAnsi="Arial" w:cs="Arial"/>
          <w:kern w:val="0"/>
          <w:sz w:val="22"/>
          <w:szCs w:val="22"/>
          <w:lang w:eastAsia="en-GB"/>
          <w14:ligatures w14:val="none"/>
        </w:rPr>
        <w:t>, 11(3), pp. 199–212.</w:t>
      </w:r>
    </w:p>
    <w:p w14:paraId="2ED98324" w14:textId="77777777" w:rsidR="00D05056" w:rsidRPr="00EA76E6" w:rsidRDefault="00D05056" w:rsidP="00D05056">
      <w:pPr>
        <w:shd w:val="clear" w:color="auto" w:fill="FFFFFF"/>
        <w:spacing w:after="0" w:line="240" w:lineRule="auto"/>
        <w:textAlignment w:val="baseline"/>
        <w:rPr>
          <w:rStyle w:val="Hyperlink"/>
          <w:rFonts w:ascii="Arial" w:eastAsia="Times New Roman" w:hAnsi="Arial" w:cs="Arial"/>
          <w:kern w:val="0"/>
          <w:sz w:val="22"/>
          <w:szCs w:val="22"/>
          <w:lang w:eastAsia="en-GB"/>
          <w14:ligatures w14:val="none"/>
        </w:rPr>
      </w:pPr>
    </w:p>
    <w:p w14:paraId="6988D0E5" w14:textId="77777777" w:rsidR="00D05056" w:rsidRPr="00EA76E6" w:rsidRDefault="00D05056" w:rsidP="00D05056">
      <w:pPr>
        <w:shd w:val="clear" w:color="auto" w:fill="FFFFFF"/>
        <w:spacing w:after="0" w:line="240" w:lineRule="auto"/>
        <w:textAlignment w:val="baseline"/>
        <w:rPr>
          <w:rStyle w:val="Hyperlink"/>
          <w:rFonts w:ascii="Arial" w:eastAsia="Times New Roman" w:hAnsi="Arial" w:cs="Arial"/>
          <w:kern w:val="0"/>
          <w:sz w:val="22"/>
          <w:szCs w:val="22"/>
          <w:lang w:eastAsia="en-GB"/>
          <w14:ligatures w14:val="none"/>
        </w:rPr>
      </w:pPr>
    </w:p>
    <w:p w14:paraId="40C2D2B5" w14:textId="77777777" w:rsidR="00D05056" w:rsidRPr="00EA76E6" w:rsidRDefault="00D05056" w:rsidP="00D05056">
      <w:pPr>
        <w:shd w:val="clear" w:color="auto" w:fill="FFFFFF"/>
        <w:spacing w:after="0" w:line="240" w:lineRule="auto"/>
        <w:textAlignment w:val="baseline"/>
        <w:rPr>
          <w:rStyle w:val="Hyperlink"/>
          <w:rFonts w:ascii="Arial" w:eastAsia="Times New Roman" w:hAnsi="Arial" w:cs="Arial"/>
          <w:kern w:val="0"/>
          <w:sz w:val="22"/>
          <w:szCs w:val="22"/>
          <w:lang w:eastAsia="en-GB"/>
          <w14:ligatures w14:val="none"/>
        </w:rPr>
      </w:pPr>
      <w:r w:rsidRPr="00EA76E6">
        <w:rPr>
          <w:rStyle w:val="Hyperlink"/>
          <w:rFonts w:ascii="Arial" w:eastAsia="Times New Roman" w:hAnsi="Arial" w:cs="Arial"/>
          <w:kern w:val="0"/>
          <w:sz w:val="22"/>
          <w:szCs w:val="22"/>
          <w:lang w:eastAsia="en-GB"/>
          <w14:ligatures w14:val="none"/>
        </w:rPr>
        <w:t xml:space="preserve">Menkel-Meadow, C. (1996) ‘What’s gender got to do with </w:t>
      </w:r>
      <w:proofErr w:type="gramStart"/>
      <w:r w:rsidRPr="00EA76E6">
        <w:rPr>
          <w:rStyle w:val="Hyperlink"/>
          <w:rFonts w:ascii="Arial" w:eastAsia="Times New Roman" w:hAnsi="Arial" w:cs="Arial"/>
          <w:kern w:val="0"/>
          <w:sz w:val="22"/>
          <w:szCs w:val="22"/>
          <w:lang w:eastAsia="en-GB"/>
          <w14:ligatures w14:val="none"/>
        </w:rPr>
        <w:t>it?:</w:t>
      </w:r>
      <w:proofErr w:type="gramEnd"/>
      <w:r w:rsidRPr="00EA76E6">
        <w:rPr>
          <w:rStyle w:val="Hyperlink"/>
          <w:rFonts w:ascii="Arial" w:eastAsia="Times New Roman" w:hAnsi="Arial" w:cs="Arial"/>
          <w:kern w:val="0"/>
          <w:sz w:val="22"/>
          <w:szCs w:val="22"/>
          <w:lang w:eastAsia="en-GB"/>
          <w14:ligatures w14:val="none"/>
        </w:rPr>
        <w:t xml:space="preserve"> The politics and morality of an ethic of care’, </w:t>
      </w:r>
      <w:r w:rsidRPr="00EA76E6">
        <w:rPr>
          <w:rStyle w:val="Hyperlink"/>
          <w:rFonts w:ascii="Arial" w:eastAsia="Times New Roman" w:hAnsi="Arial" w:cs="Arial"/>
          <w:i/>
          <w:iCs/>
          <w:kern w:val="0"/>
          <w:sz w:val="22"/>
          <w:szCs w:val="22"/>
          <w:lang w:eastAsia="en-GB"/>
          <w14:ligatures w14:val="none"/>
        </w:rPr>
        <w:t>New York University Review of Law &amp; Social Change</w:t>
      </w:r>
      <w:r w:rsidRPr="00EA76E6">
        <w:rPr>
          <w:rStyle w:val="Hyperlink"/>
          <w:rFonts w:ascii="Arial" w:eastAsia="Times New Roman" w:hAnsi="Arial" w:cs="Arial"/>
          <w:kern w:val="0"/>
          <w:sz w:val="22"/>
          <w:szCs w:val="22"/>
          <w:lang w:eastAsia="en-GB"/>
          <w14:ligatures w14:val="none"/>
        </w:rPr>
        <w:t>, 22, pp. 265–293.</w:t>
      </w:r>
    </w:p>
    <w:p w14:paraId="0D1A4AB7" w14:textId="77777777" w:rsidR="00D05056" w:rsidRPr="00EA76E6" w:rsidRDefault="00D05056" w:rsidP="00D05056">
      <w:pPr>
        <w:shd w:val="clear" w:color="auto" w:fill="FFFFFF"/>
        <w:spacing w:after="0" w:line="240" w:lineRule="auto"/>
        <w:textAlignment w:val="baseline"/>
        <w:rPr>
          <w:rStyle w:val="Hyperlink"/>
          <w:rFonts w:ascii="Arial" w:eastAsia="Times New Roman" w:hAnsi="Arial" w:cs="Arial"/>
          <w:kern w:val="0"/>
          <w:sz w:val="22"/>
          <w:szCs w:val="22"/>
          <w:lang w:eastAsia="en-GB"/>
          <w14:ligatures w14:val="none"/>
        </w:rPr>
      </w:pPr>
    </w:p>
    <w:p w14:paraId="44B1039B" w14:textId="77777777" w:rsidR="00D05056" w:rsidRPr="00EA76E6" w:rsidRDefault="00D05056" w:rsidP="00D05056">
      <w:pPr>
        <w:shd w:val="clear" w:color="auto" w:fill="FFFFFF"/>
        <w:spacing w:after="0" w:line="240" w:lineRule="auto"/>
        <w:textAlignment w:val="baseline"/>
        <w:rPr>
          <w:rStyle w:val="Hyperlink"/>
          <w:rFonts w:ascii="Arial" w:eastAsia="Times New Roman" w:hAnsi="Arial" w:cs="Arial"/>
          <w:kern w:val="0"/>
          <w:sz w:val="22"/>
          <w:szCs w:val="22"/>
          <w:lang w:eastAsia="en-GB"/>
          <w14:ligatures w14:val="none"/>
        </w:rPr>
      </w:pPr>
      <w:r w:rsidRPr="00EA76E6">
        <w:rPr>
          <w:rStyle w:val="Hyperlink"/>
          <w:rFonts w:ascii="Arial" w:eastAsia="Times New Roman" w:hAnsi="Arial" w:cs="Arial"/>
          <w:kern w:val="0"/>
          <w:sz w:val="22"/>
          <w:szCs w:val="22"/>
          <w:lang w:eastAsia="en-GB"/>
          <w14:ligatures w14:val="none"/>
        </w:rPr>
        <w:t xml:space="preserve">Kaufman-Osborn, T., Hirschmann, N.J., </w:t>
      </w:r>
      <w:proofErr w:type="spellStart"/>
      <w:r w:rsidRPr="00EA76E6">
        <w:rPr>
          <w:rStyle w:val="Hyperlink"/>
          <w:rFonts w:ascii="Arial" w:eastAsia="Times New Roman" w:hAnsi="Arial" w:cs="Arial"/>
          <w:kern w:val="0"/>
          <w:sz w:val="22"/>
          <w:szCs w:val="22"/>
          <w:lang w:eastAsia="en-GB"/>
          <w14:ligatures w14:val="none"/>
        </w:rPr>
        <w:t>Engster</w:t>
      </w:r>
      <w:proofErr w:type="spellEnd"/>
      <w:r w:rsidRPr="00EA76E6">
        <w:rPr>
          <w:rStyle w:val="Hyperlink"/>
          <w:rFonts w:ascii="Arial" w:eastAsia="Times New Roman" w:hAnsi="Arial" w:cs="Arial"/>
          <w:kern w:val="0"/>
          <w:sz w:val="22"/>
          <w:szCs w:val="22"/>
          <w:lang w:eastAsia="en-GB"/>
          <w14:ligatures w14:val="none"/>
        </w:rPr>
        <w:t>, D., Robinson, F., Yeates, N. and Tronto, J.C. (2018) ‘25th Anniversary of Moral Boundaries by Joan Tronto: Moral Boundaries: A Political Argument for an Ethic of Care’, </w:t>
      </w:r>
      <w:r w:rsidRPr="00EA76E6">
        <w:rPr>
          <w:rStyle w:val="Hyperlink"/>
          <w:rFonts w:ascii="Arial" w:eastAsia="Times New Roman" w:hAnsi="Arial" w:cs="Arial"/>
          <w:i/>
          <w:iCs/>
          <w:kern w:val="0"/>
          <w:sz w:val="22"/>
          <w:szCs w:val="22"/>
          <w:lang w:eastAsia="en-GB"/>
          <w14:ligatures w14:val="none"/>
        </w:rPr>
        <w:t>Politics &amp; Gender</w:t>
      </w:r>
      <w:r w:rsidRPr="00EA76E6">
        <w:rPr>
          <w:rStyle w:val="Hyperlink"/>
          <w:rFonts w:ascii="Arial" w:eastAsia="Times New Roman" w:hAnsi="Arial" w:cs="Arial"/>
          <w:kern w:val="0"/>
          <w:sz w:val="22"/>
          <w:szCs w:val="22"/>
          <w:lang w:eastAsia="en-GB"/>
          <w14:ligatures w14:val="none"/>
        </w:rPr>
        <w:t>, 14(4).</w:t>
      </w:r>
    </w:p>
    <w:p w14:paraId="55E422D4" w14:textId="77777777" w:rsidR="00D05056" w:rsidRPr="00EA76E6" w:rsidRDefault="00D05056" w:rsidP="00D05056">
      <w:pPr>
        <w:shd w:val="clear" w:color="auto" w:fill="FFFFFF"/>
        <w:spacing w:after="0" w:line="240" w:lineRule="auto"/>
        <w:textAlignment w:val="baseline"/>
        <w:rPr>
          <w:rStyle w:val="Hyperlink"/>
          <w:rFonts w:ascii="Arial" w:eastAsia="Times New Roman" w:hAnsi="Arial" w:cs="Arial"/>
          <w:kern w:val="0"/>
          <w:sz w:val="22"/>
          <w:szCs w:val="22"/>
          <w:lang w:eastAsia="en-GB"/>
          <w14:ligatures w14:val="none"/>
        </w:rPr>
      </w:pPr>
    </w:p>
    <w:p w14:paraId="2C1910D5" w14:textId="77777777" w:rsidR="00D05056" w:rsidRPr="00EA76E6" w:rsidRDefault="00D05056" w:rsidP="00D05056">
      <w:pPr>
        <w:shd w:val="clear" w:color="auto" w:fill="FFFFFF"/>
        <w:spacing w:after="0" w:line="240" w:lineRule="auto"/>
        <w:textAlignment w:val="baseline"/>
        <w:rPr>
          <w:rStyle w:val="Hyperlink"/>
          <w:rFonts w:ascii="Arial" w:eastAsia="Times New Roman" w:hAnsi="Arial" w:cs="Arial"/>
          <w:kern w:val="0"/>
          <w:sz w:val="22"/>
          <w:szCs w:val="22"/>
          <w:lang w:eastAsia="en-GB"/>
          <w14:ligatures w14:val="none"/>
        </w:rPr>
      </w:pPr>
      <w:r w:rsidRPr="00EA76E6">
        <w:rPr>
          <w:rStyle w:val="Hyperlink"/>
          <w:rFonts w:ascii="Arial" w:eastAsia="Times New Roman" w:hAnsi="Arial" w:cs="Arial"/>
          <w:kern w:val="0"/>
          <w:sz w:val="22"/>
          <w:szCs w:val="22"/>
          <w:lang w:eastAsia="en-GB"/>
          <w14:ligatures w14:val="none"/>
        </w:rPr>
        <w:t>Barnes, M. (2012) </w:t>
      </w:r>
      <w:r w:rsidRPr="00EA76E6">
        <w:rPr>
          <w:rStyle w:val="Hyperlink"/>
          <w:rFonts w:ascii="Arial" w:eastAsia="Times New Roman" w:hAnsi="Arial" w:cs="Arial"/>
          <w:i/>
          <w:iCs/>
          <w:kern w:val="0"/>
          <w:sz w:val="22"/>
          <w:szCs w:val="22"/>
          <w:lang w:eastAsia="en-GB"/>
          <w14:ligatures w14:val="none"/>
        </w:rPr>
        <w:t>Care in Everyday Life: An Ethic of Care in Practice</w:t>
      </w:r>
      <w:r w:rsidRPr="00EA76E6">
        <w:rPr>
          <w:rStyle w:val="Hyperlink"/>
          <w:rFonts w:ascii="Arial" w:eastAsia="Times New Roman" w:hAnsi="Arial" w:cs="Arial"/>
          <w:kern w:val="0"/>
          <w:sz w:val="22"/>
          <w:szCs w:val="22"/>
          <w:lang w:eastAsia="en-GB"/>
          <w14:ligatures w14:val="none"/>
        </w:rPr>
        <w:t>. Bristol: Policy Press.</w:t>
      </w:r>
    </w:p>
    <w:p w14:paraId="58A791D8" w14:textId="77777777" w:rsidR="00D05056" w:rsidRPr="00EA76E6" w:rsidRDefault="00D05056" w:rsidP="00D05056">
      <w:pPr>
        <w:shd w:val="clear" w:color="auto" w:fill="FFFFFF"/>
        <w:spacing w:after="0" w:line="240" w:lineRule="auto"/>
        <w:textAlignment w:val="baseline"/>
        <w:rPr>
          <w:rStyle w:val="Hyperlink"/>
          <w:rFonts w:ascii="Arial" w:eastAsia="Times New Roman" w:hAnsi="Arial" w:cs="Arial"/>
          <w:kern w:val="0"/>
          <w:sz w:val="22"/>
          <w:szCs w:val="22"/>
          <w:lang w:eastAsia="en-GB"/>
          <w14:ligatures w14:val="none"/>
        </w:rPr>
      </w:pPr>
    </w:p>
    <w:p w14:paraId="2F92FCD6" w14:textId="77777777" w:rsidR="00D05056" w:rsidRPr="00EA76E6" w:rsidRDefault="00D05056" w:rsidP="00D05056">
      <w:pPr>
        <w:shd w:val="clear" w:color="auto" w:fill="FFFFFF"/>
        <w:spacing w:after="0" w:line="240" w:lineRule="auto"/>
        <w:textAlignment w:val="baseline"/>
        <w:rPr>
          <w:rStyle w:val="Hyperlink"/>
          <w:rFonts w:ascii="Arial" w:eastAsia="Times New Roman" w:hAnsi="Arial" w:cs="Arial"/>
          <w:kern w:val="0"/>
          <w:sz w:val="22"/>
          <w:szCs w:val="22"/>
          <w:lang w:eastAsia="en-GB"/>
          <w14:ligatures w14:val="none"/>
        </w:rPr>
      </w:pPr>
      <w:r w:rsidRPr="00EA76E6">
        <w:rPr>
          <w:rStyle w:val="Hyperlink"/>
          <w:rFonts w:ascii="Arial" w:eastAsia="Times New Roman" w:hAnsi="Arial" w:cs="Arial"/>
          <w:kern w:val="0"/>
          <w:sz w:val="22"/>
          <w:szCs w:val="22"/>
          <w:lang w:eastAsia="en-GB"/>
          <w14:ligatures w14:val="none"/>
        </w:rPr>
        <w:t>Nortvedt, P., Hem, M.H. and Skirbekk, H. (2011) ‘The ethics of care: Role obligations and moderate partiality in health care’, </w:t>
      </w:r>
      <w:r w:rsidRPr="00EA76E6">
        <w:rPr>
          <w:rStyle w:val="Hyperlink"/>
          <w:rFonts w:ascii="Arial" w:eastAsia="Times New Roman" w:hAnsi="Arial" w:cs="Arial"/>
          <w:i/>
          <w:iCs/>
          <w:kern w:val="0"/>
          <w:sz w:val="22"/>
          <w:szCs w:val="22"/>
          <w:lang w:eastAsia="en-GB"/>
          <w14:ligatures w14:val="none"/>
        </w:rPr>
        <w:t>Nursing Ethics</w:t>
      </w:r>
      <w:r w:rsidRPr="00EA76E6">
        <w:rPr>
          <w:rStyle w:val="Hyperlink"/>
          <w:rFonts w:ascii="Arial" w:eastAsia="Times New Roman" w:hAnsi="Arial" w:cs="Arial"/>
          <w:kern w:val="0"/>
          <w:sz w:val="22"/>
          <w:szCs w:val="22"/>
          <w:lang w:eastAsia="en-GB"/>
          <w14:ligatures w14:val="none"/>
        </w:rPr>
        <w:t>, 18(2), pp. 192–200.</w:t>
      </w:r>
    </w:p>
    <w:p w14:paraId="34FA70C4" w14:textId="77777777" w:rsidR="00D05056" w:rsidRPr="00EA76E6" w:rsidRDefault="00D05056" w:rsidP="00D05056">
      <w:pPr>
        <w:shd w:val="clear" w:color="auto" w:fill="FFFFFF"/>
        <w:spacing w:after="0" w:line="240" w:lineRule="auto"/>
        <w:textAlignment w:val="baseline"/>
        <w:rPr>
          <w:rStyle w:val="Hyperlink"/>
          <w:rFonts w:ascii="Arial" w:eastAsia="Times New Roman" w:hAnsi="Arial" w:cs="Arial"/>
          <w:kern w:val="0"/>
          <w:sz w:val="22"/>
          <w:szCs w:val="22"/>
          <w:lang w:eastAsia="en-GB"/>
          <w14:ligatures w14:val="none"/>
        </w:rPr>
      </w:pPr>
    </w:p>
    <w:p w14:paraId="06C4CC93" w14:textId="77777777" w:rsidR="00D05056" w:rsidRPr="00EA76E6" w:rsidRDefault="00D05056" w:rsidP="00D05056">
      <w:pPr>
        <w:shd w:val="clear" w:color="auto" w:fill="FFFFFF"/>
        <w:spacing w:after="0" w:line="240" w:lineRule="auto"/>
        <w:textAlignment w:val="baseline"/>
        <w:rPr>
          <w:rStyle w:val="Hyperlink"/>
          <w:rFonts w:ascii="Arial" w:eastAsia="Times New Roman" w:hAnsi="Arial" w:cs="Arial"/>
          <w:kern w:val="0"/>
          <w:sz w:val="22"/>
          <w:szCs w:val="22"/>
          <w:lang w:eastAsia="en-GB"/>
          <w14:ligatures w14:val="none"/>
        </w:rPr>
      </w:pPr>
      <w:r w:rsidRPr="00EA76E6">
        <w:rPr>
          <w:rStyle w:val="Hyperlink"/>
          <w:rFonts w:ascii="Arial" w:eastAsia="Times New Roman" w:hAnsi="Arial" w:cs="Arial"/>
          <w:kern w:val="0"/>
          <w:sz w:val="22"/>
          <w:szCs w:val="22"/>
          <w:lang w:eastAsia="en-GB"/>
          <w14:ligatures w14:val="none"/>
        </w:rPr>
        <w:lastRenderedPageBreak/>
        <w:t>Bognar, G. and Hirose, I. (2014) </w:t>
      </w:r>
      <w:r w:rsidRPr="00EA76E6">
        <w:rPr>
          <w:rStyle w:val="Hyperlink"/>
          <w:rFonts w:ascii="Arial" w:eastAsia="Times New Roman" w:hAnsi="Arial" w:cs="Arial"/>
          <w:i/>
          <w:iCs/>
          <w:kern w:val="0"/>
          <w:sz w:val="22"/>
          <w:szCs w:val="22"/>
          <w:lang w:eastAsia="en-GB"/>
          <w14:ligatures w14:val="none"/>
        </w:rPr>
        <w:t>The Ethics of Health Care Rationing: An Introduction</w:t>
      </w:r>
      <w:r w:rsidRPr="00EA76E6">
        <w:rPr>
          <w:rStyle w:val="Hyperlink"/>
          <w:rFonts w:ascii="Arial" w:eastAsia="Times New Roman" w:hAnsi="Arial" w:cs="Arial"/>
          <w:kern w:val="0"/>
          <w:sz w:val="22"/>
          <w:szCs w:val="22"/>
          <w:lang w:eastAsia="en-GB"/>
          <w14:ligatures w14:val="none"/>
        </w:rPr>
        <w:t>. Abingdon: Routledge.</w:t>
      </w:r>
    </w:p>
    <w:p w14:paraId="46E8CDD0" w14:textId="77777777" w:rsidR="00D05056" w:rsidRPr="00EA76E6" w:rsidRDefault="00D05056" w:rsidP="00D05056">
      <w:pPr>
        <w:shd w:val="clear" w:color="auto" w:fill="FFFFFF"/>
        <w:spacing w:after="0" w:line="240" w:lineRule="auto"/>
        <w:textAlignment w:val="baseline"/>
        <w:rPr>
          <w:rStyle w:val="Hyperlink"/>
          <w:rFonts w:ascii="Arial" w:eastAsia="Times New Roman" w:hAnsi="Arial" w:cs="Arial"/>
          <w:kern w:val="0"/>
          <w:sz w:val="22"/>
          <w:szCs w:val="22"/>
          <w:lang w:eastAsia="en-GB"/>
          <w14:ligatures w14:val="none"/>
        </w:rPr>
      </w:pPr>
    </w:p>
    <w:p w14:paraId="6C2C770E" w14:textId="77777777" w:rsidR="00D05056" w:rsidRPr="00EA76E6" w:rsidRDefault="00D05056" w:rsidP="00D05056">
      <w:pPr>
        <w:shd w:val="clear" w:color="auto" w:fill="FFFFFF"/>
        <w:spacing w:after="0" w:line="240" w:lineRule="auto"/>
        <w:textAlignment w:val="baseline"/>
        <w:rPr>
          <w:rStyle w:val="Hyperlink"/>
          <w:rFonts w:ascii="Arial" w:eastAsia="Times New Roman" w:hAnsi="Arial" w:cs="Arial"/>
          <w:kern w:val="0"/>
          <w:sz w:val="22"/>
          <w:szCs w:val="22"/>
          <w:lang w:eastAsia="en-GB"/>
          <w14:ligatures w14:val="none"/>
        </w:rPr>
      </w:pPr>
      <w:r w:rsidRPr="00EA76E6">
        <w:rPr>
          <w:rStyle w:val="Hyperlink"/>
          <w:rFonts w:ascii="Arial" w:eastAsia="Times New Roman" w:hAnsi="Arial" w:cs="Arial"/>
          <w:kern w:val="0"/>
          <w:sz w:val="22"/>
          <w:szCs w:val="22"/>
          <w:lang w:eastAsia="en-GB"/>
          <w14:ligatures w14:val="none"/>
        </w:rPr>
        <w:t>Hickmann, E., Richter, P. and Schlieter, H. (2022) ‘All together now – patient engagement, patient empowerment, and associated terms in personal healthcare’, </w:t>
      </w:r>
      <w:r w:rsidRPr="00EA76E6">
        <w:rPr>
          <w:rStyle w:val="Hyperlink"/>
          <w:rFonts w:ascii="Arial" w:eastAsia="Times New Roman" w:hAnsi="Arial" w:cs="Arial"/>
          <w:i/>
          <w:iCs/>
          <w:kern w:val="0"/>
          <w:sz w:val="22"/>
          <w:szCs w:val="22"/>
          <w:lang w:eastAsia="en-GB"/>
          <w14:ligatures w14:val="none"/>
        </w:rPr>
        <w:t>BMC Health Services Research</w:t>
      </w:r>
      <w:r w:rsidRPr="00EA76E6">
        <w:rPr>
          <w:rStyle w:val="Hyperlink"/>
          <w:rFonts w:ascii="Arial" w:eastAsia="Times New Roman" w:hAnsi="Arial" w:cs="Arial"/>
          <w:kern w:val="0"/>
          <w:sz w:val="22"/>
          <w:szCs w:val="22"/>
          <w:lang w:eastAsia="en-GB"/>
          <w14:ligatures w14:val="none"/>
        </w:rPr>
        <w:t>, 22, 1116.</w:t>
      </w:r>
    </w:p>
    <w:p w14:paraId="00E053C5" w14:textId="77777777" w:rsidR="00D05056" w:rsidRPr="00EA76E6" w:rsidRDefault="00D05056" w:rsidP="00D05056">
      <w:pPr>
        <w:shd w:val="clear" w:color="auto" w:fill="FFFFFF"/>
        <w:spacing w:after="0" w:line="240" w:lineRule="auto"/>
        <w:textAlignment w:val="baseline"/>
        <w:rPr>
          <w:rStyle w:val="Hyperlink"/>
          <w:rFonts w:ascii="Arial" w:eastAsia="Times New Roman" w:hAnsi="Arial" w:cs="Arial"/>
          <w:kern w:val="0"/>
          <w:sz w:val="22"/>
          <w:szCs w:val="22"/>
          <w:lang w:eastAsia="en-GB"/>
          <w14:ligatures w14:val="none"/>
        </w:rPr>
      </w:pPr>
    </w:p>
    <w:p w14:paraId="38FA4D76" w14:textId="2D1E3BC6" w:rsidR="00D05056" w:rsidRPr="00EA76E6" w:rsidRDefault="00D05056" w:rsidP="00D05056">
      <w:pPr>
        <w:shd w:val="clear" w:color="auto" w:fill="FFFFFF"/>
        <w:spacing w:after="0" w:line="240" w:lineRule="auto"/>
        <w:textAlignment w:val="baseline"/>
        <w:rPr>
          <w:rFonts w:ascii="Arial" w:eastAsia="Times New Roman" w:hAnsi="Arial" w:cs="Arial"/>
          <w:color w:val="242424"/>
          <w:kern w:val="0"/>
          <w:sz w:val="23"/>
          <w:szCs w:val="23"/>
          <w:lang w:eastAsia="en-GB"/>
          <w14:ligatures w14:val="none"/>
        </w:rPr>
      </w:pPr>
      <w:r w:rsidRPr="00EA76E6">
        <w:rPr>
          <w:rStyle w:val="Hyperlink"/>
          <w:rFonts w:ascii="Arial" w:eastAsia="Times New Roman" w:hAnsi="Arial" w:cs="Arial"/>
          <w:kern w:val="0"/>
          <w:sz w:val="22"/>
          <w:szCs w:val="22"/>
          <w:lang w:eastAsia="en-GB"/>
          <w14:ligatures w14:val="none"/>
        </w:rPr>
        <w:t>National Institute for Health and Care Excellence (NICE) (2021) </w:t>
      </w:r>
      <w:r w:rsidRPr="00EA76E6">
        <w:rPr>
          <w:rStyle w:val="Hyperlink"/>
          <w:rFonts w:ascii="Arial" w:eastAsia="Times New Roman" w:hAnsi="Arial" w:cs="Arial"/>
          <w:i/>
          <w:iCs/>
          <w:kern w:val="0"/>
          <w:sz w:val="22"/>
          <w:szCs w:val="22"/>
          <w:lang w:eastAsia="en-GB"/>
          <w14:ligatures w14:val="none"/>
        </w:rPr>
        <w:t>Shared decision making</w:t>
      </w:r>
      <w:r w:rsidRPr="00EA76E6">
        <w:rPr>
          <w:rStyle w:val="Hyperlink"/>
          <w:rFonts w:ascii="Arial" w:eastAsia="Times New Roman" w:hAnsi="Arial" w:cs="Arial"/>
          <w:kern w:val="0"/>
          <w:sz w:val="22"/>
          <w:szCs w:val="22"/>
          <w:lang w:eastAsia="en-GB"/>
          <w14:ligatures w14:val="none"/>
        </w:rPr>
        <w:t>. NICE guideline NG197.</w:t>
      </w:r>
      <w:r w:rsidRPr="00EA76E6">
        <w:rPr>
          <w:rFonts w:ascii="Arial" w:eastAsia="Times New Roman" w:hAnsi="Arial" w:cs="Arial"/>
          <w:color w:val="242424"/>
          <w:kern w:val="0"/>
          <w:sz w:val="22"/>
          <w:szCs w:val="22"/>
          <w:lang w:eastAsia="en-GB"/>
          <w14:ligatures w14:val="none"/>
        </w:rPr>
        <w:fldChar w:fldCharType="end"/>
      </w:r>
    </w:p>
    <w:p w14:paraId="7F224A02" w14:textId="77777777" w:rsidR="00D05056" w:rsidRPr="00EA76E6" w:rsidRDefault="00D05056" w:rsidP="00D05056">
      <w:pPr>
        <w:rPr>
          <w:rFonts w:ascii="Arial" w:hAnsi="Arial" w:cs="Arial"/>
        </w:rPr>
      </w:pPr>
    </w:p>
    <w:p w14:paraId="3D6E79BA" w14:textId="77777777" w:rsidR="00D05056" w:rsidRPr="00EA76E6" w:rsidRDefault="00D05056" w:rsidP="00D05056">
      <w:pPr>
        <w:rPr>
          <w:rFonts w:ascii="Arial" w:hAnsi="Arial" w:cs="Arial"/>
        </w:rPr>
      </w:pPr>
    </w:p>
    <w:p w14:paraId="66AFA3C9" w14:textId="77777777" w:rsidR="007C79A3" w:rsidRPr="00EA76E6" w:rsidRDefault="007C79A3" w:rsidP="007C79A3">
      <w:pPr>
        <w:rPr>
          <w:rFonts w:ascii="Arial" w:hAnsi="Arial" w:cs="Arial"/>
        </w:rPr>
      </w:pPr>
    </w:p>
    <w:p w14:paraId="4ED22F93" w14:textId="77777777" w:rsidR="0033515C" w:rsidRPr="00EA76E6" w:rsidRDefault="0033515C" w:rsidP="00EF3A21">
      <w:pPr>
        <w:spacing w:line="360" w:lineRule="auto"/>
        <w:rPr>
          <w:rFonts w:ascii="Arial" w:hAnsi="Arial" w:cs="Arial"/>
          <w:sz w:val="22"/>
          <w:szCs w:val="22"/>
        </w:rPr>
      </w:pPr>
    </w:p>
    <w:sectPr w:rsidR="0033515C" w:rsidRPr="00EA76E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FC7D4B" w14:textId="77777777" w:rsidR="00FE7597" w:rsidRDefault="00FE7597" w:rsidP="00EF3A21">
      <w:pPr>
        <w:spacing w:after="0" w:line="240" w:lineRule="auto"/>
      </w:pPr>
      <w:r>
        <w:separator/>
      </w:r>
    </w:p>
  </w:endnote>
  <w:endnote w:type="continuationSeparator" w:id="0">
    <w:p w14:paraId="04269029" w14:textId="77777777" w:rsidR="00FE7597" w:rsidRDefault="00FE7597" w:rsidP="00EF3A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DE27DE" w14:textId="77777777" w:rsidR="00FE7597" w:rsidRDefault="00FE7597" w:rsidP="00EF3A21">
      <w:pPr>
        <w:spacing w:after="0" w:line="240" w:lineRule="auto"/>
      </w:pPr>
      <w:r>
        <w:separator/>
      </w:r>
    </w:p>
  </w:footnote>
  <w:footnote w:type="continuationSeparator" w:id="0">
    <w:p w14:paraId="7EE1F72E" w14:textId="77777777" w:rsidR="00FE7597" w:rsidRDefault="00FE7597" w:rsidP="00EF3A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1232561"/>
      <w:docPartObj>
        <w:docPartGallery w:val="Page Numbers (Top of Page)"/>
        <w:docPartUnique/>
      </w:docPartObj>
    </w:sdtPr>
    <w:sdtEndPr>
      <w:rPr>
        <w:noProof/>
      </w:rPr>
    </w:sdtEndPr>
    <w:sdtContent>
      <w:p w14:paraId="333F767E" w14:textId="4D5062D8" w:rsidR="00EF3A21" w:rsidRDefault="00EF3A21">
        <w:pPr>
          <w:pStyle w:val="Header"/>
        </w:pPr>
        <w:r>
          <w:fldChar w:fldCharType="begin"/>
        </w:r>
        <w:r>
          <w:instrText xml:space="preserve"> PAGE   \* MERGEFORMAT </w:instrText>
        </w:r>
        <w:r>
          <w:fldChar w:fldCharType="separate"/>
        </w:r>
        <w:r>
          <w:rPr>
            <w:noProof/>
          </w:rPr>
          <w:t>2</w:t>
        </w:r>
        <w:r>
          <w:rPr>
            <w:noProof/>
          </w:rPr>
          <w:fldChar w:fldCharType="end"/>
        </w:r>
      </w:p>
    </w:sdtContent>
  </w:sdt>
  <w:p w14:paraId="6A23BD5E" w14:textId="77777777" w:rsidR="00EF3A21" w:rsidRDefault="00EF3A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15C"/>
    <w:rsid w:val="0024410C"/>
    <w:rsid w:val="003005C6"/>
    <w:rsid w:val="0033515C"/>
    <w:rsid w:val="005A5674"/>
    <w:rsid w:val="007C79A3"/>
    <w:rsid w:val="00855D98"/>
    <w:rsid w:val="00940EEA"/>
    <w:rsid w:val="00C11F11"/>
    <w:rsid w:val="00CD4A71"/>
    <w:rsid w:val="00D05056"/>
    <w:rsid w:val="00DC14D9"/>
    <w:rsid w:val="00EA76E6"/>
    <w:rsid w:val="00EF3A21"/>
    <w:rsid w:val="00FE75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4C541"/>
  <w15:chartTrackingRefBased/>
  <w15:docId w15:val="{4AC60B19-E3A6-4466-916C-0EE0F9725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51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51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51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51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51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51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51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51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51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51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51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51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51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51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51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51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51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515C"/>
    <w:rPr>
      <w:rFonts w:eastAsiaTheme="majorEastAsia" w:cstheme="majorBidi"/>
      <w:color w:val="272727" w:themeColor="text1" w:themeTint="D8"/>
    </w:rPr>
  </w:style>
  <w:style w:type="paragraph" w:styleId="Title">
    <w:name w:val="Title"/>
    <w:basedOn w:val="Normal"/>
    <w:next w:val="Normal"/>
    <w:link w:val="TitleChar"/>
    <w:uiPriority w:val="10"/>
    <w:qFormat/>
    <w:rsid w:val="003351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51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51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51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515C"/>
    <w:pPr>
      <w:spacing w:before="160"/>
      <w:jc w:val="center"/>
    </w:pPr>
    <w:rPr>
      <w:i/>
      <w:iCs/>
      <w:color w:val="404040" w:themeColor="text1" w:themeTint="BF"/>
    </w:rPr>
  </w:style>
  <w:style w:type="character" w:customStyle="1" w:styleId="QuoteChar">
    <w:name w:val="Quote Char"/>
    <w:basedOn w:val="DefaultParagraphFont"/>
    <w:link w:val="Quote"/>
    <w:uiPriority w:val="29"/>
    <w:rsid w:val="0033515C"/>
    <w:rPr>
      <w:i/>
      <w:iCs/>
      <w:color w:val="404040" w:themeColor="text1" w:themeTint="BF"/>
    </w:rPr>
  </w:style>
  <w:style w:type="paragraph" w:styleId="ListParagraph">
    <w:name w:val="List Paragraph"/>
    <w:basedOn w:val="Normal"/>
    <w:uiPriority w:val="34"/>
    <w:qFormat/>
    <w:rsid w:val="0033515C"/>
    <w:pPr>
      <w:ind w:left="720"/>
      <w:contextualSpacing/>
    </w:pPr>
  </w:style>
  <w:style w:type="character" w:styleId="IntenseEmphasis">
    <w:name w:val="Intense Emphasis"/>
    <w:basedOn w:val="DefaultParagraphFont"/>
    <w:uiPriority w:val="21"/>
    <w:qFormat/>
    <w:rsid w:val="0033515C"/>
    <w:rPr>
      <w:i/>
      <w:iCs/>
      <w:color w:val="0F4761" w:themeColor="accent1" w:themeShade="BF"/>
    </w:rPr>
  </w:style>
  <w:style w:type="paragraph" w:styleId="IntenseQuote">
    <w:name w:val="Intense Quote"/>
    <w:basedOn w:val="Normal"/>
    <w:next w:val="Normal"/>
    <w:link w:val="IntenseQuoteChar"/>
    <w:uiPriority w:val="30"/>
    <w:qFormat/>
    <w:rsid w:val="003351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515C"/>
    <w:rPr>
      <w:i/>
      <w:iCs/>
      <w:color w:val="0F4761" w:themeColor="accent1" w:themeShade="BF"/>
    </w:rPr>
  </w:style>
  <w:style w:type="character" w:styleId="IntenseReference">
    <w:name w:val="Intense Reference"/>
    <w:basedOn w:val="DefaultParagraphFont"/>
    <w:uiPriority w:val="32"/>
    <w:qFormat/>
    <w:rsid w:val="0033515C"/>
    <w:rPr>
      <w:b/>
      <w:bCs/>
      <w:smallCaps/>
      <w:color w:val="0F4761" w:themeColor="accent1" w:themeShade="BF"/>
      <w:spacing w:val="5"/>
    </w:rPr>
  </w:style>
  <w:style w:type="paragraph" w:styleId="Header">
    <w:name w:val="header"/>
    <w:basedOn w:val="Normal"/>
    <w:link w:val="HeaderChar"/>
    <w:uiPriority w:val="99"/>
    <w:unhideWhenUsed/>
    <w:rsid w:val="00EF3A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A21"/>
  </w:style>
  <w:style w:type="paragraph" w:styleId="Footer">
    <w:name w:val="footer"/>
    <w:basedOn w:val="Normal"/>
    <w:link w:val="FooterChar"/>
    <w:uiPriority w:val="99"/>
    <w:unhideWhenUsed/>
    <w:rsid w:val="00EF3A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A21"/>
  </w:style>
  <w:style w:type="paragraph" w:styleId="TOCHeading">
    <w:name w:val="TOC Heading"/>
    <w:basedOn w:val="Heading1"/>
    <w:next w:val="Normal"/>
    <w:uiPriority w:val="39"/>
    <w:unhideWhenUsed/>
    <w:qFormat/>
    <w:rsid w:val="007C79A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A76E6"/>
    <w:pPr>
      <w:tabs>
        <w:tab w:val="right" w:leader="dot" w:pos="9016"/>
      </w:tabs>
      <w:spacing w:after="100"/>
    </w:pPr>
    <w:rPr>
      <w:rFonts w:ascii="Arial" w:eastAsia="Times New Roman" w:hAnsi="Arial" w:cs="Arial"/>
      <w:b/>
      <w:bCs/>
      <w:noProof/>
      <w:lang w:eastAsia="en-GB"/>
    </w:rPr>
  </w:style>
  <w:style w:type="character" w:styleId="Hyperlink">
    <w:name w:val="Hyperlink"/>
    <w:basedOn w:val="DefaultParagraphFont"/>
    <w:uiPriority w:val="99"/>
    <w:unhideWhenUsed/>
    <w:rsid w:val="007C79A3"/>
    <w:rPr>
      <w:color w:val="467886" w:themeColor="hyperlink"/>
      <w:u w:val="single"/>
    </w:rPr>
  </w:style>
  <w:style w:type="character" w:styleId="UnresolvedMention">
    <w:name w:val="Unresolved Mention"/>
    <w:basedOn w:val="DefaultParagraphFont"/>
    <w:uiPriority w:val="99"/>
    <w:semiHidden/>
    <w:unhideWhenUsed/>
    <w:rsid w:val="00D050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C8D100-FAFF-494D-AAC8-4A94F625B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2204</Words>
  <Characters>12565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sarahdobinson23@icloud.com</dc:creator>
  <cp:keywords/>
  <dc:description/>
  <cp:lastModifiedBy>sarahdobinson23@icloud.com</cp:lastModifiedBy>
  <cp:revision>2</cp:revision>
  <dcterms:created xsi:type="dcterms:W3CDTF">2026-08-12T10:38:00Z</dcterms:created>
  <dcterms:modified xsi:type="dcterms:W3CDTF">2026-08-12T10:38:00Z</dcterms:modified>
</cp:coreProperties>
</file>