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1534B8" w14:textId="2D943C27" w:rsidR="001573C8" w:rsidRDefault="001573C8">
      <w:pPr>
        <w:rPr>
          <w:rFonts w:asciiTheme="majorHAnsi" w:eastAsiaTheme="majorEastAsia" w:hAnsi="Aptos Display" w:cstheme="majorBidi"/>
          <w:b/>
          <w:bCs/>
          <w:color w:val="0E2841" w:themeColor="text2"/>
          <w:kern w:val="24"/>
          <w:sz w:val="72"/>
          <w:szCs w:val="72"/>
        </w:rPr>
      </w:pPr>
      <w:r>
        <w:rPr>
          <w:rFonts w:asciiTheme="majorHAnsi" w:eastAsiaTheme="majorEastAsia" w:hAnsi="Aptos Display" w:cstheme="majorBidi"/>
          <w:b/>
          <w:bCs/>
          <w:color w:val="0E2841" w:themeColor="text2"/>
          <w:kern w:val="24"/>
          <w:sz w:val="72"/>
          <w:szCs w:val="72"/>
        </w:rPr>
        <w:t xml:space="preserve">UK government’s policy and strategy to maintain </w:t>
      </w:r>
      <w:r>
        <w:rPr>
          <w:rFonts w:asciiTheme="majorHAnsi" w:eastAsiaTheme="majorEastAsia" w:hAnsi="Aptos Display" w:cstheme="majorBidi"/>
          <w:b/>
          <w:bCs/>
          <w:color w:val="0E2841" w:themeColor="text2"/>
          <w:kern w:val="24"/>
          <w:sz w:val="72"/>
          <w:szCs w:val="72"/>
        </w:rPr>
        <w:br/>
        <w:t>public health</w:t>
      </w:r>
    </w:p>
    <w:p w14:paraId="324FA2BD" w14:textId="77777777" w:rsidR="001573C8" w:rsidRDefault="001573C8" w:rsidP="001573C8">
      <w:pPr>
        <w:pStyle w:val="NormalWeb"/>
        <w:spacing w:before="200" w:beforeAutospacing="0" w:after="0" w:afterAutospacing="0" w:line="216" w:lineRule="auto"/>
        <w:jc w:val="center"/>
      </w:pPr>
      <w:r>
        <w:rPr>
          <w:rFonts w:asciiTheme="minorHAnsi" w:eastAsiaTheme="minorEastAsia" w:hAnsi="Aptos" w:cstheme="minorBidi"/>
          <w:color w:val="0E2841" w:themeColor="text2"/>
          <w:kern w:val="24"/>
          <w:sz w:val="56"/>
          <w:szCs w:val="56"/>
        </w:rPr>
        <w:t>The UK government, in collaboration with UK Health Security Agency (UKHSA) and NHS England has published policies to prevent, detect and control TB with the aim of eliminating TB as a public health concern by 2035 aligning with WHO end TB strategy.</w:t>
      </w:r>
    </w:p>
    <w:p w14:paraId="66D3F119" w14:textId="77777777" w:rsidR="001573C8" w:rsidRPr="001573C8" w:rsidRDefault="001573C8" w:rsidP="001573C8">
      <w:pPr>
        <w:numPr>
          <w:ilvl w:val="0"/>
          <w:numId w:val="1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72"/>
          <w:lang w:eastAsia="en-GB"/>
          <w14:ligatures w14:val="none"/>
        </w:rPr>
      </w:pPr>
      <w:r w:rsidRPr="001573C8">
        <w:rPr>
          <w:rFonts w:eastAsiaTheme="minorEastAsia" w:hAnsi="Aptos"/>
          <w:b/>
          <w:bCs/>
          <w:color w:val="000000" w:themeColor="text1"/>
          <w:kern w:val="24"/>
          <w:sz w:val="72"/>
          <w:szCs w:val="72"/>
          <w:lang w:eastAsia="en-GB"/>
          <w14:ligatures w14:val="none"/>
        </w:rPr>
        <w:t>Prevention</w:t>
      </w:r>
    </w:p>
    <w:p w14:paraId="6BD539A0" w14:textId="77777777" w:rsidR="001573C8" w:rsidRPr="001573C8" w:rsidRDefault="001573C8" w:rsidP="001573C8">
      <w:pPr>
        <w:numPr>
          <w:ilvl w:val="0"/>
          <w:numId w:val="2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56"/>
          <w:lang w:eastAsia="en-GB"/>
          <w14:ligatures w14:val="none"/>
        </w:rPr>
      </w:pPr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t>National programme for testing and treating latent TB infection (LTBI) among new entrants aged 16-35 from high-risk countries.</w:t>
      </w:r>
    </w:p>
    <w:p w14:paraId="6E109E64" w14:textId="77777777" w:rsidR="001573C8" w:rsidRPr="001573C8" w:rsidRDefault="001573C8" w:rsidP="001573C8">
      <w:pPr>
        <w:numPr>
          <w:ilvl w:val="0"/>
          <w:numId w:val="2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56"/>
          <w:lang w:eastAsia="en-GB"/>
          <w14:ligatures w14:val="none"/>
        </w:rPr>
      </w:pPr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t xml:space="preserve">National policy includes screening guidance at risk groups for both latent and active TB </w:t>
      </w:r>
    </w:p>
    <w:p w14:paraId="0E99587E" w14:textId="77777777" w:rsidR="001573C8" w:rsidRPr="001573C8" w:rsidRDefault="001573C8" w:rsidP="001573C8">
      <w:pPr>
        <w:numPr>
          <w:ilvl w:val="0"/>
          <w:numId w:val="2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56"/>
          <w:lang w:eastAsia="en-GB"/>
          <w14:ligatures w14:val="none"/>
        </w:rPr>
      </w:pPr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lastRenderedPageBreak/>
        <w:t>Offering BCG vaccination to all eligible infants.</w:t>
      </w:r>
    </w:p>
    <w:p w14:paraId="2BE49E7C" w14:textId="77777777" w:rsidR="001573C8" w:rsidRPr="001573C8" w:rsidRDefault="001573C8" w:rsidP="001573C8">
      <w:pPr>
        <w:numPr>
          <w:ilvl w:val="0"/>
          <w:numId w:val="2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56"/>
          <w:lang w:eastAsia="en-GB"/>
          <w14:ligatures w14:val="none"/>
        </w:rPr>
      </w:pPr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t>Screening programme conducted at visa entry points and through primary care.</w:t>
      </w:r>
    </w:p>
    <w:p w14:paraId="350CC33C" w14:textId="5323D1FF" w:rsidR="001573C8" w:rsidRDefault="001573C8">
      <w:pPr>
        <w:rPr>
          <w:rFonts w:asciiTheme="majorHAnsi" w:eastAsiaTheme="majorEastAsia" w:hAnsi="Aptos Display" w:cstheme="majorBidi"/>
          <w:b/>
          <w:bCs/>
          <w:color w:val="0E2841" w:themeColor="text2"/>
          <w:kern w:val="24"/>
          <w:sz w:val="72"/>
          <w:szCs w:val="72"/>
        </w:rPr>
      </w:pPr>
      <w:r>
        <w:rPr>
          <w:rFonts w:asciiTheme="majorHAnsi" w:eastAsiaTheme="majorEastAsia" w:hAnsi="Aptos Display" w:cstheme="majorBidi"/>
          <w:b/>
          <w:bCs/>
          <w:color w:val="0E2841" w:themeColor="text2"/>
          <w:kern w:val="24"/>
          <w:sz w:val="72"/>
          <w:szCs w:val="72"/>
        </w:rPr>
        <w:t>TIMELY DETECTION AND diagnosis</w:t>
      </w:r>
    </w:p>
    <w:p w14:paraId="5C1F0169" w14:textId="77777777" w:rsidR="001573C8" w:rsidRPr="001573C8" w:rsidRDefault="001573C8" w:rsidP="001573C8">
      <w:pPr>
        <w:numPr>
          <w:ilvl w:val="0"/>
          <w:numId w:val="3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56"/>
          <w:lang w:eastAsia="en-GB"/>
          <w14:ligatures w14:val="none"/>
        </w:rPr>
      </w:pPr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t xml:space="preserve">The 2021-2026 Action Plan prioritises earlier diagnosis, minimising patient delays and improve surveillance to monitor transmission. </w:t>
      </w:r>
    </w:p>
    <w:p w14:paraId="2C85F6CE" w14:textId="77777777" w:rsidR="001573C8" w:rsidRPr="001573C8" w:rsidRDefault="001573C8" w:rsidP="001573C8">
      <w:pPr>
        <w:numPr>
          <w:ilvl w:val="0"/>
          <w:numId w:val="3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56"/>
          <w:lang w:eastAsia="en-GB"/>
          <w14:ligatures w14:val="none"/>
        </w:rPr>
      </w:pPr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t>Initiating a national survey to identify the key factors that leads patient delays in diagnosing</w:t>
      </w:r>
    </w:p>
    <w:p w14:paraId="2A5A18A0" w14:textId="77777777" w:rsidR="001573C8" w:rsidRPr="001573C8" w:rsidRDefault="001573C8" w:rsidP="001573C8">
      <w:pPr>
        <w:numPr>
          <w:ilvl w:val="0"/>
          <w:numId w:val="3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56"/>
          <w:lang w:eastAsia="en-GB"/>
          <w14:ligatures w14:val="none"/>
        </w:rPr>
      </w:pPr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t xml:space="preserve">A technology </w:t>
      </w:r>
      <w:proofErr w:type="gramStart"/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t>called  Whole</w:t>
      </w:r>
      <w:proofErr w:type="gramEnd"/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t xml:space="preserve"> Genome Sequencing (WGS) is </w:t>
      </w:r>
      <w:proofErr w:type="gramStart"/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t>being  utilised</w:t>
      </w:r>
      <w:proofErr w:type="gramEnd"/>
      <w:r w:rsidRPr="001573C8">
        <w:rPr>
          <w:rFonts w:eastAsiaTheme="minorEastAsia" w:hAnsi="Aptos"/>
          <w:color w:val="000000" w:themeColor="text1"/>
          <w:kern w:val="24"/>
          <w:sz w:val="56"/>
          <w:szCs w:val="56"/>
          <w:lang w:eastAsia="en-GB"/>
          <w14:ligatures w14:val="none"/>
        </w:rPr>
        <w:t xml:space="preserve"> to enhance contact tracing</w:t>
      </w:r>
    </w:p>
    <w:p w14:paraId="3BA85E44" w14:textId="1FFAEA76" w:rsidR="001573C8" w:rsidRDefault="001573C8">
      <w:pPr>
        <w:rPr>
          <w:rFonts w:asciiTheme="majorHAnsi" w:eastAsiaTheme="majorEastAsia" w:hAnsi="Aptos Display" w:cstheme="majorBidi"/>
          <w:b/>
          <w:bCs/>
          <w:color w:val="0E2841" w:themeColor="text2"/>
          <w:kern w:val="24"/>
          <w:sz w:val="72"/>
          <w:szCs w:val="72"/>
        </w:rPr>
      </w:pPr>
      <w:r>
        <w:rPr>
          <w:rFonts w:asciiTheme="majorHAnsi" w:eastAsiaTheme="majorEastAsia" w:hAnsi="Aptos Display" w:cstheme="majorBidi"/>
          <w:b/>
          <w:bCs/>
          <w:color w:val="0E2841" w:themeColor="text2"/>
          <w:kern w:val="24"/>
          <w:sz w:val="72"/>
          <w:szCs w:val="72"/>
        </w:rPr>
        <w:t>Management and Training</w:t>
      </w:r>
    </w:p>
    <w:p w14:paraId="65487AD5" w14:textId="77777777" w:rsidR="001573C8" w:rsidRPr="001573C8" w:rsidRDefault="001573C8" w:rsidP="001573C8">
      <w:pPr>
        <w:numPr>
          <w:ilvl w:val="0"/>
          <w:numId w:val="4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48"/>
          <w:lang w:eastAsia="en-GB"/>
          <w14:ligatures w14:val="none"/>
        </w:rPr>
      </w:pPr>
      <w:r w:rsidRPr="001573C8">
        <w:rPr>
          <w:rFonts w:eastAsiaTheme="minorEastAsia" w:hAnsi="Aptos"/>
          <w:color w:val="000000" w:themeColor="text1"/>
          <w:kern w:val="24"/>
          <w:sz w:val="48"/>
          <w:szCs w:val="48"/>
          <w:lang w:eastAsia="en-GB"/>
          <w14:ligatures w14:val="none"/>
        </w:rPr>
        <w:lastRenderedPageBreak/>
        <w:t>NHS England announce that TB and LTBI treatment is free of charge for everyone regardless of their immigration status.</w:t>
      </w:r>
    </w:p>
    <w:p w14:paraId="289D3B2F" w14:textId="77777777" w:rsidR="001573C8" w:rsidRPr="001573C8" w:rsidRDefault="001573C8" w:rsidP="001573C8">
      <w:pPr>
        <w:numPr>
          <w:ilvl w:val="0"/>
          <w:numId w:val="4"/>
        </w:numPr>
        <w:spacing w:after="0" w:line="216" w:lineRule="auto"/>
        <w:contextualSpacing/>
        <w:rPr>
          <w:rFonts w:ascii="Times New Roman" w:eastAsia="Times New Roman" w:hAnsi="Times New Roman" w:cs="Times New Roman"/>
          <w:kern w:val="0"/>
          <w:sz w:val="48"/>
          <w:lang w:eastAsia="en-GB"/>
          <w14:ligatures w14:val="none"/>
        </w:rPr>
      </w:pPr>
      <w:r w:rsidRPr="001573C8">
        <w:rPr>
          <w:rFonts w:eastAsiaTheme="minorEastAsia" w:hAnsi="Aptos"/>
          <w:color w:val="000000" w:themeColor="text1"/>
          <w:kern w:val="24"/>
          <w:sz w:val="48"/>
          <w:szCs w:val="48"/>
          <w:lang w:eastAsia="en-GB"/>
          <w14:ligatures w14:val="none"/>
        </w:rPr>
        <w:t>Specialised care management for patients with multidrug resistant tuberculosis (MDR-TB).</w:t>
      </w:r>
    </w:p>
    <w:p w14:paraId="32F452F1" w14:textId="77777777" w:rsidR="001573C8" w:rsidRPr="001573C8" w:rsidRDefault="001573C8" w:rsidP="001573C8">
      <w:pPr>
        <w:numPr>
          <w:ilvl w:val="0"/>
          <w:numId w:val="4"/>
        </w:numPr>
        <w:spacing w:after="240" w:line="216" w:lineRule="auto"/>
        <w:contextualSpacing/>
        <w:rPr>
          <w:rFonts w:ascii="Times New Roman" w:eastAsia="Times New Roman" w:hAnsi="Times New Roman" w:cs="Times New Roman"/>
          <w:kern w:val="0"/>
          <w:sz w:val="48"/>
          <w:lang w:eastAsia="en-GB"/>
          <w14:ligatures w14:val="none"/>
        </w:rPr>
      </w:pPr>
      <w:r w:rsidRPr="001573C8">
        <w:rPr>
          <w:rFonts w:eastAsiaTheme="minorEastAsia" w:hAnsi="Aptos"/>
          <w:color w:val="000000" w:themeColor="text1"/>
          <w:kern w:val="24"/>
          <w:sz w:val="48"/>
          <w:szCs w:val="48"/>
          <w:lang w:eastAsia="en-GB"/>
          <w14:ligatures w14:val="none"/>
        </w:rPr>
        <w:t xml:space="preserve">Developing and assessing the innovative </w:t>
      </w:r>
      <w:proofErr w:type="gramStart"/>
      <w:r w:rsidRPr="001573C8">
        <w:rPr>
          <w:rFonts w:eastAsiaTheme="minorEastAsia" w:hAnsi="Aptos"/>
          <w:color w:val="000000" w:themeColor="text1"/>
          <w:kern w:val="24"/>
          <w:sz w:val="48"/>
          <w:szCs w:val="48"/>
          <w:lang w:eastAsia="en-GB"/>
          <w14:ligatures w14:val="none"/>
        </w:rPr>
        <w:t>approaches  to</w:t>
      </w:r>
      <w:proofErr w:type="gramEnd"/>
      <w:r w:rsidRPr="001573C8">
        <w:rPr>
          <w:rFonts w:eastAsiaTheme="minorEastAsia" w:hAnsi="Aptos"/>
          <w:color w:val="000000" w:themeColor="text1"/>
          <w:kern w:val="24"/>
          <w:sz w:val="48"/>
          <w:szCs w:val="48"/>
          <w:lang w:eastAsia="en-GB"/>
          <w14:ligatures w14:val="none"/>
        </w:rPr>
        <w:t xml:space="preserve"> share evidence for the improvement of detection and response process of Tuberculosis. </w:t>
      </w:r>
    </w:p>
    <w:p w14:paraId="6C758778" w14:textId="77777777" w:rsidR="001573C8" w:rsidRPr="001573C8" w:rsidRDefault="001573C8">
      <w:pPr>
        <w:rPr>
          <w:rFonts w:asciiTheme="majorHAnsi" w:eastAsiaTheme="majorEastAsia" w:hAnsi="Aptos Display" w:cstheme="majorBidi"/>
          <w:b/>
          <w:bCs/>
          <w:color w:val="0E2841" w:themeColor="text2"/>
          <w:kern w:val="24"/>
          <w:sz w:val="72"/>
          <w:szCs w:val="72"/>
        </w:rPr>
      </w:pPr>
    </w:p>
    <w:sectPr w:rsidR="001573C8" w:rsidRPr="001573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E14097"/>
    <w:multiLevelType w:val="hybridMultilevel"/>
    <w:tmpl w:val="4DB68E56"/>
    <w:lvl w:ilvl="0" w:tplc="04101A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31CAF8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754DE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E4C927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506C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764F12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ECE4F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5D088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84412D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BC00FBD"/>
    <w:multiLevelType w:val="hybridMultilevel"/>
    <w:tmpl w:val="11C63E8C"/>
    <w:lvl w:ilvl="0" w:tplc="EB48D6B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32E03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7E3C421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6CB6190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1ADE2A2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920807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50EB0A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C90C73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85A6ECE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E7C5372"/>
    <w:multiLevelType w:val="hybridMultilevel"/>
    <w:tmpl w:val="1A9295B0"/>
    <w:lvl w:ilvl="0" w:tplc="08E6DE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20272D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70C616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DD049D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87C3B7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B48FC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DA9B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08427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E14F68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47AA01A6"/>
    <w:multiLevelType w:val="hybridMultilevel"/>
    <w:tmpl w:val="F89AE450"/>
    <w:lvl w:ilvl="0" w:tplc="897608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74C64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3665C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62818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2CE36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F824C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ECE1F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5A48E0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FC219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61225980">
    <w:abstractNumId w:val="1"/>
  </w:num>
  <w:num w:numId="2" w16cid:durableId="972516791">
    <w:abstractNumId w:val="0"/>
  </w:num>
  <w:num w:numId="3" w16cid:durableId="1710765964">
    <w:abstractNumId w:val="2"/>
  </w:num>
  <w:num w:numId="4" w16cid:durableId="14714816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73C8"/>
    <w:rsid w:val="001573C8"/>
    <w:rsid w:val="003E27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6F9C8"/>
  <w15:chartTrackingRefBased/>
  <w15:docId w15:val="{A687F9C2-FAC9-4093-8A4B-A9821367DB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573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573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73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573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573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573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573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573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573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573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573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73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573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573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573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573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573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573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573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573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573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573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573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573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573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573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573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573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573C8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1573C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209</Words>
  <Characters>1192</Characters>
  <Application>Microsoft Office Word</Application>
  <DocSecurity>0</DocSecurity>
  <Lines>9</Lines>
  <Paragraphs>2</Paragraphs>
  <ScaleCrop>false</ScaleCrop>
  <Company/>
  <LinksUpToDate>false</LinksUpToDate>
  <CharactersWithSpaces>1399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Shakil Ahmad (2434777)</dc:creator>
  <cp:keywords/>
  <dc:description/>
  <cp:lastModifiedBy>Shakil Ahmad</cp:lastModifiedBy>
  <cp:revision>1</cp:revision>
  <cp:lastPrinted>2025-11-05T13:09:00Z</cp:lastPrinted>
  <dcterms:created xsi:type="dcterms:W3CDTF">2025-11-05T13:05:00Z</dcterms:created>
  <dcterms:modified xsi:type="dcterms:W3CDTF">2025-11-05T13:10:00Z</dcterms:modified>
</cp:coreProperties>
</file>