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90524" w:rsidP="5908EA09" w:rsidRDefault="4E34D53E" w14:paraId="79F00258" w14:textId="2FCEFB14">
      <w:pPr>
        <w:rPr>
          <w:rFonts w:eastAsiaTheme="minorEastAsia"/>
          <w:color w:val="000000" w:themeColor="text1"/>
          <w:sz w:val="24"/>
          <w:szCs w:val="24"/>
          <w:u w:val="single"/>
        </w:rPr>
      </w:pPr>
      <w:r w:rsidRPr="5908EA09">
        <w:rPr>
          <w:rFonts w:eastAsiaTheme="minorEastAsia"/>
          <w:color w:val="000000" w:themeColor="text1"/>
          <w:sz w:val="24"/>
          <w:szCs w:val="24"/>
          <w:u w:val="single"/>
        </w:rPr>
        <w:t>Part one.</w:t>
      </w:r>
    </w:p>
    <w:p w:rsidR="00090524" w:rsidP="0E64EED9" w:rsidRDefault="4E34D53E" w14:paraId="2FD25AD2" w14:textId="66A5B150">
      <w:pPr>
        <w:rPr>
          <w:rFonts w:eastAsiaTheme="minorEastAsia"/>
          <w:color w:val="000000" w:themeColor="text1"/>
          <w:sz w:val="24"/>
          <w:szCs w:val="24"/>
        </w:rPr>
      </w:pPr>
      <w:r w:rsidRPr="0E64EED9">
        <w:rPr>
          <w:rFonts w:eastAsiaTheme="minorEastAsia"/>
          <w:color w:val="000000" w:themeColor="text1"/>
          <w:sz w:val="24"/>
          <w:szCs w:val="24"/>
        </w:rPr>
        <w:t>Working collaboratively is defined as the effort of individuals working together to achieve a common goal, Collaboration comes from the Latin word</w:t>
      </w:r>
      <w:r w:rsidRPr="0E64EED9">
        <w:rPr>
          <w:rFonts w:eastAsiaTheme="minorEastAsia"/>
          <w:i/>
          <w:iCs/>
          <w:color w:val="000000" w:themeColor="text1"/>
          <w:sz w:val="24"/>
          <w:szCs w:val="24"/>
        </w:rPr>
        <w:t xml:space="preserve"> </w:t>
      </w:r>
      <w:proofErr w:type="spellStart"/>
      <w:r w:rsidRPr="0E64EED9">
        <w:rPr>
          <w:rFonts w:eastAsiaTheme="minorEastAsia"/>
          <w:i/>
          <w:iCs/>
          <w:color w:val="000000" w:themeColor="text1"/>
          <w:sz w:val="24"/>
          <w:szCs w:val="24"/>
        </w:rPr>
        <w:t>Collaborare</w:t>
      </w:r>
      <w:proofErr w:type="spellEnd"/>
      <w:r w:rsidRPr="0E64EED9">
        <w:rPr>
          <w:rFonts w:eastAsiaTheme="minorEastAsia"/>
          <w:i/>
          <w:iCs/>
          <w:color w:val="000000" w:themeColor="text1"/>
          <w:sz w:val="24"/>
          <w:szCs w:val="24"/>
        </w:rPr>
        <w:t xml:space="preserve"> </w:t>
      </w:r>
      <w:r w:rsidRPr="0E64EED9">
        <w:rPr>
          <w:rFonts w:eastAsiaTheme="minorEastAsia"/>
          <w:color w:val="000000" w:themeColor="text1"/>
          <w:sz w:val="24"/>
          <w:szCs w:val="24"/>
        </w:rPr>
        <w:t>which means to work with (Cambridge Dictionary, 2023). To achieve an agreed objective, two or more teams, departments, or organisations collaborate. When colleagues with varying expertise work together, they achieve a purpose or produce satisfactory results. In the workplace, individual employees, departments, and project teams depend on collaboration to succeed. The institute of collaborative working (2023) describes collaborative working as needing support, teamwork, communication, trust, motivation, and inspiration for it to be successful. It involves working together for a common goal, with each person contributing their own unique skills and knowledge. It requires clear communication, trust between team members, and an inspired and motivated commitment to the task. It also requires an understanding of the strengths and weaknesses of each team member, and a willingness to work together to achieve the best outcome. Finally, it requires an open and constructive approach to problem solving, and a willingness to compromise and negotiate (</w:t>
      </w:r>
      <w:bookmarkStart w:name="_Int_tB0B7hZu" w:id="0"/>
      <w:r w:rsidRPr="0E64EED9">
        <w:rPr>
          <w:rFonts w:eastAsiaTheme="minorEastAsia"/>
          <w:color w:val="000000" w:themeColor="text1"/>
          <w:sz w:val="24"/>
          <w:szCs w:val="24"/>
        </w:rPr>
        <w:t>NHS</w:t>
      </w:r>
      <w:bookmarkEnd w:id="0"/>
      <w:r w:rsidRPr="0E64EED9">
        <w:rPr>
          <w:rFonts w:eastAsiaTheme="minorEastAsia"/>
          <w:color w:val="000000" w:themeColor="text1"/>
          <w:sz w:val="24"/>
          <w:szCs w:val="24"/>
        </w:rPr>
        <w:t xml:space="preserve"> England, 2021).</w:t>
      </w:r>
    </w:p>
    <w:p w:rsidR="00090524" w:rsidP="0E64EED9" w:rsidRDefault="4E34D53E" w14:paraId="61045DB7" w14:textId="3A8F206E">
      <w:pPr>
        <w:rPr>
          <w:rFonts w:eastAsiaTheme="minorEastAsia"/>
          <w:color w:val="000000" w:themeColor="text1"/>
          <w:sz w:val="24"/>
          <w:szCs w:val="24"/>
        </w:rPr>
      </w:pPr>
      <w:r w:rsidRPr="0E64EED9">
        <w:rPr>
          <w:rFonts w:eastAsiaTheme="minorEastAsia"/>
          <w:color w:val="000000" w:themeColor="text1"/>
          <w:sz w:val="24"/>
          <w:szCs w:val="24"/>
        </w:rPr>
        <w:t>According to Indeed (2022), A team member must have collaborative skills, including communication skills, emotional intelligence skills, and respect for diversity. It is often the case that the most effective and reliable employees are those who have a willingness to work as a team. Using their experiences and skills, they can tackle complex tasks together. This collaborative approach helps to create a productive and healthy work environment. It also helps to foster relationships between team members, which can lead to better problem-solving and decision-making. Finally, collaborative teams can also benefit from increased creativity and innovation.</w:t>
      </w:r>
    </w:p>
    <w:p w:rsidR="00090524" w:rsidP="0E64EED9" w:rsidRDefault="4E34D53E" w14:paraId="22F1FAB2" w14:textId="31C7548E">
      <w:pPr>
        <w:rPr>
          <w:rFonts w:eastAsiaTheme="minorEastAsia"/>
          <w:color w:val="000000" w:themeColor="text1"/>
          <w:sz w:val="24"/>
          <w:szCs w:val="24"/>
        </w:rPr>
      </w:pPr>
      <w:r w:rsidRPr="0E64EED9">
        <w:rPr>
          <w:rFonts w:eastAsiaTheme="minorEastAsia"/>
          <w:color w:val="000000" w:themeColor="text1"/>
          <w:sz w:val="24"/>
          <w:szCs w:val="24"/>
        </w:rPr>
        <w:t xml:space="preserve">Collaborative working is widely practiced and heavily relied upon within the health care sector. Teams of professionals involved in collaborations are composed of a variety of different professions, such as doctors, nurses, pharmacists, and social workers, among others (Johnson and Johnson, 2023). When these professionals work together, they </w:t>
      </w:r>
      <w:r w:rsidRPr="0E64EED9" w:rsidR="365AAE12">
        <w:rPr>
          <w:rFonts w:eastAsiaTheme="minorEastAsia"/>
          <w:color w:val="000000" w:themeColor="text1"/>
          <w:sz w:val="24"/>
          <w:szCs w:val="24"/>
        </w:rPr>
        <w:t>can</w:t>
      </w:r>
      <w:r w:rsidRPr="0E64EED9">
        <w:rPr>
          <w:rFonts w:eastAsiaTheme="minorEastAsia"/>
          <w:color w:val="000000" w:themeColor="text1"/>
          <w:sz w:val="24"/>
          <w:szCs w:val="24"/>
        </w:rPr>
        <w:t xml:space="preserve"> provide patients with a much more comprehensive and holistic level of care that is more effective and beneficial to them. Combining their expertise and knowledge enables them to better identify and treat the needs of patients. Through a team-based approach, healthcare professionals can share expertise and resources leading to all round better patient care. As well as identifying potential problems and developing solutions quickly, working together as a team enables the team to ensure that the patient is provided with the most appropriate care, in addition to identifying and resolving potential problems quickly. By working together, they provide comprehensive care to patients. To achieve successful patient outcomes, it is essential to collaborate with other healthcare professionals (</w:t>
      </w:r>
      <w:proofErr w:type="spellStart"/>
      <w:r w:rsidRPr="0E64EED9">
        <w:rPr>
          <w:rFonts w:eastAsiaTheme="minorEastAsia"/>
          <w:color w:val="000000" w:themeColor="text1"/>
          <w:sz w:val="24"/>
          <w:szCs w:val="24"/>
        </w:rPr>
        <w:t>McLaney</w:t>
      </w:r>
      <w:proofErr w:type="spellEnd"/>
      <w:r w:rsidRPr="0E64EED9">
        <w:rPr>
          <w:rFonts w:eastAsiaTheme="minorEastAsia"/>
          <w:color w:val="000000" w:themeColor="text1"/>
          <w:sz w:val="24"/>
          <w:szCs w:val="24"/>
        </w:rPr>
        <w:t xml:space="preserve">, </w:t>
      </w:r>
      <w:proofErr w:type="spellStart"/>
      <w:r w:rsidRPr="0E64EED9">
        <w:rPr>
          <w:rFonts w:eastAsiaTheme="minorEastAsia"/>
          <w:color w:val="000000" w:themeColor="text1"/>
          <w:sz w:val="24"/>
          <w:szCs w:val="24"/>
        </w:rPr>
        <w:t>etal</w:t>
      </w:r>
      <w:proofErr w:type="spellEnd"/>
      <w:r w:rsidRPr="0E64EED9">
        <w:rPr>
          <w:rFonts w:eastAsiaTheme="minorEastAsia"/>
          <w:color w:val="000000" w:themeColor="text1"/>
          <w:sz w:val="24"/>
          <w:szCs w:val="24"/>
        </w:rPr>
        <w:t xml:space="preserve">, 2022). </w:t>
      </w:r>
    </w:p>
    <w:p w:rsidR="00090524" w:rsidP="0E64EED9" w:rsidRDefault="4E34D53E" w14:paraId="351E3018" w14:textId="13DF016E">
      <w:pPr>
        <w:rPr>
          <w:rFonts w:eastAsiaTheme="minorEastAsia"/>
          <w:color w:val="000000" w:themeColor="text1"/>
          <w:sz w:val="24"/>
          <w:szCs w:val="24"/>
        </w:rPr>
      </w:pPr>
      <w:r w:rsidRPr="0E64EED9">
        <w:rPr>
          <w:rFonts w:eastAsiaTheme="minorEastAsia"/>
          <w:color w:val="000000" w:themeColor="text1"/>
          <w:sz w:val="24"/>
          <w:szCs w:val="24"/>
        </w:rPr>
        <w:t xml:space="preserve">Morgan et al (2020) describes that Positive patient outcomes can be achieved by collaborative working This includes sharing information, discussing treatment plans, and working together to achieve the best possible outcomes. By working together, healthcare professionals can combine their expertise to create a more effective treatment plan that considers the patient's individual needs. This allows them to identify potential risks and develop strategies to mitigate them. Additionally, by sharing information, they can quickly identify potential issues that may arise and address them quickly. Working collaboratively also helps to ensure that the patients receive the best possible care. By working together, healthcare professionals can also ensure that the patient is receiving the most appropriate care, as they are able to draw on their combined knowledge, experience, and perspectives. This also helps to reduce the risk of errors and ensure that the patient's needs are being met in a timely and effective manner. It also helps to build trust in the relationship between patients and healthcare professionals. Effective communication is essential for successful collaboration, and healthcare professionals should strive to create an environment of mutual respect and understanding (Guck, </w:t>
      </w:r>
      <w:proofErr w:type="spellStart"/>
      <w:r w:rsidRPr="0E64EED9">
        <w:rPr>
          <w:rFonts w:eastAsiaTheme="minorEastAsia"/>
          <w:color w:val="000000" w:themeColor="text1"/>
          <w:sz w:val="24"/>
          <w:szCs w:val="24"/>
        </w:rPr>
        <w:t>etal</w:t>
      </w:r>
      <w:proofErr w:type="spellEnd"/>
      <w:r w:rsidRPr="0E64EED9">
        <w:rPr>
          <w:rFonts w:eastAsiaTheme="minorEastAsia"/>
          <w:color w:val="000000" w:themeColor="text1"/>
          <w:sz w:val="24"/>
          <w:szCs w:val="24"/>
        </w:rPr>
        <w:t>, 2019).</w:t>
      </w:r>
    </w:p>
    <w:p w:rsidR="00090524" w:rsidP="0E64EED9" w:rsidRDefault="4E34D53E" w14:paraId="706D96FB" w14:textId="31D3185C">
      <w:pPr>
        <w:rPr>
          <w:rFonts w:eastAsiaTheme="minorEastAsia"/>
          <w:color w:val="000000" w:themeColor="text1"/>
          <w:sz w:val="24"/>
          <w:szCs w:val="24"/>
        </w:rPr>
      </w:pPr>
      <w:r w:rsidRPr="0E64EED9">
        <w:rPr>
          <w:rFonts w:eastAsiaTheme="minorEastAsia"/>
          <w:color w:val="000000" w:themeColor="text1"/>
          <w:sz w:val="24"/>
          <w:szCs w:val="24"/>
        </w:rPr>
        <w:t xml:space="preserve">There are several benefits to collaborative working, however there are also certain barriers that should be considered when implementing a collaborative working process. Some barriers that can affect collaborative practice are that the same information is being requested from different sources at the same time, using different sources of information to inform decision-making and having a sense of command and control at a regional or national level may limit the pace at which local solutions can be implemented and primary and secondary care could have more dialogue. (Care quality commission, 2022). These issues could be eased by having a single point of contact for coordinating information requests and providing a unified source of information. Establishing shared protocols for communication between primary and secondary care could also help to break down existing barriers. Finally, creating a more collaborative environment and empowering local teams to make decisions could help to optimise outcomes. To achieve their objectives for providing safe patient care in healthcare facilities, Trusts face several issues involving staff shortages. According to NHS professionals (2019) Since 2012, Trusts have </w:t>
      </w:r>
      <w:bookmarkStart w:name="_Int_LptLsMBf" w:id="1"/>
      <w:r w:rsidRPr="0E64EED9">
        <w:rPr>
          <w:rFonts w:eastAsiaTheme="minorEastAsia"/>
          <w:color w:val="000000" w:themeColor="text1"/>
          <w:sz w:val="24"/>
          <w:szCs w:val="24"/>
        </w:rPr>
        <w:t>experienced difficulty</w:t>
      </w:r>
      <w:bookmarkEnd w:id="1"/>
      <w:r w:rsidRPr="0E64EED9">
        <w:rPr>
          <w:rFonts w:eastAsiaTheme="minorEastAsia"/>
          <w:color w:val="000000" w:themeColor="text1"/>
          <w:sz w:val="24"/>
          <w:szCs w:val="24"/>
        </w:rPr>
        <w:t xml:space="preserve"> recruiting and retaining enough staff to maintain the standard of service required to meet the ever-growing demand for the services they offer. This can lead to burnout of full-time staff and communication barriers when staff are constantly changing. This can also have a knock-on effect on the quality of care provided, as staff may not be able to provide the same level of care or attention to patients. Furthermore, staff shortages can lead to increased workloads for existing staff, leading to further stress and further burnout. Employing bank staff and recruiting workers internationally could be a solution to this problem. This could provide a temporary solution; however, it may not be sustainable in the long term. Training existing staff to cope with increased workloads could also help alleviate some of the pressure. Additionally, introducing more flexible working schedules could help to reduce staff burnout (Kings fund, 2022).</w:t>
      </w:r>
    </w:p>
    <w:p w:rsidR="00090524" w:rsidP="0E64EED9" w:rsidRDefault="4E34D53E" w14:paraId="17AA5CC0" w14:textId="2F263FCE">
      <w:pPr>
        <w:rPr>
          <w:rFonts w:eastAsiaTheme="minorEastAsia"/>
          <w:color w:val="000000" w:themeColor="text1"/>
          <w:sz w:val="24"/>
          <w:szCs w:val="24"/>
        </w:rPr>
      </w:pPr>
      <w:r w:rsidRPr="0E64EED9">
        <w:rPr>
          <w:rFonts w:eastAsiaTheme="minorEastAsia"/>
          <w:color w:val="000000" w:themeColor="text1"/>
          <w:sz w:val="24"/>
          <w:szCs w:val="24"/>
        </w:rPr>
        <w:t xml:space="preserve">In addition to time and training constraints, a lack of clear roles, fears associated with professional identity, and poor communication are some of the main barriers to effective collaborative practice. These barriers can be overcome through effective communication, setting clear roles and responsibilities, and providing training that focuses on team dynamics and collaboration. It is important to create an environment of trust and understanding between team members, having clear roles and responsibilities helps to ensure that everyone is accountable for their work and that tasks are divided among the team in a way that makes sense. Training that focuses on team dynamics and collaboration helps team members to better understand each other's strengths and weaknesses, and how to best work together. An environment of trust and understanding is essential for team members to feel comfortable expressing their opinions, ideas, and concerns. Principal facilitators included tools to improve communication, co-location and recognition of other professionals’ skills and contribution. By understanding each other's strengths and weaknesses, team members can better identify how to work together to maximize their individual contributions. This helps foster an environment of trust and understanding, which encourages open communication and allows for better decision-making. The tools used to facilitate this process can include anything from team-building exercises and group activities to more formal training and workshops (Rawlinson, </w:t>
      </w:r>
      <w:proofErr w:type="spellStart"/>
      <w:r w:rsidRPr="0E64EED9">
        <w:rPr>
          <w:rFonts w:eastAsiaTheme="minorEastAsia"/>
          <w:color w:val="000000" w:themeColor="text1"/>
          <w:sz w:val="24"/>
          <w:szCs w:val="24"/>
        </w:rPr>
        <w:t>etal</w:t>
      </w:r>
      <w:proofErr w:type="spellEnd"/>
      <w:r w:rsidRPr="0E64EED9">
        <w:rPr>
          <w:rFonts w:eastAsiaTheme="minorEastAsia"/>
          <w:color w:val="000000" w:themeColor="text1"/>
          <w:sz w:val="24"/>
          <w:szCs w:val="24"/>
        </w:rPr>
        <w:t>, 2021).</w:t>
      </w:r>
    </w:p>
    <w:p w:rsidR="00090524" w:rsidP="5908EA09" w:rsidRDefault="7EE3B350" w14:paraId="4752D3C8" w14:textId="75A50107">
      <w:pPr>
        <w:rPr>
          <w:rFonts w:eastAsiaTheme="minorEastAsia"/>
          <w:color w:val="000000" w:themeColor="text1"/>
          <w:sz w:val="24"/>
          <w:szCs w:val="24"/>
          <w:u w:val="single"/>
        </w:rPr>
      </w:pPr>
      <w:r w:rsidRPr="5908EA09">
        <w:rPr>
          <w:rFonts w:eastAsiaTheme="minorEastAsia"/>
          <w:color w:val="000000" w:themeColor="text1"/>
          <w:sz w:val="24"/>
          <w:szCs w:val="24"/>
          <w:u w:val="single"/>
        </w:rPr>
        <w:t>Part two.</w:t>
      </w:r>
    </w:p>
    <w:p w:rsidR="00090524" w:rsidP="0E64EED9" w:rsidRDefault="7EE3B350" w14:paraId="0F2D1CF3" w14:textId="17F21C06">
      <w:pPr>
        <w:rPr>
          <w:rFonts w:eastAsiaTheme="minorEastAsia"/>
          <w:color w:val="000000" w:themeColor="text1"/>
          <w:sz w:val="24"/>
          <w:szCs w:val="24"/>
        </w:rPr>
      </w:pPr>
      <w:r w:rsidRPr="0E64EED9">
        <w:rPr>
          <w:rFonts w:eastAsiaTheme="minorEastAsia"/>
          <w:color w:val="000000" w:themeColor="text1"/>
          <w:sz w:val="24"/>
          <w:szCs w:val="24"/>
        </w:rPr>
        <w:t xml:space="preserve">Using Gibb's reflective cycle (1988), this essay will examine a time where collaborative working and multi-agency work was beneficial to patient care. The essay will use the cycle to analyse </w:t>
      </w:r>
      <w:bookmarkStart w:name="_Int_gNVh96uQ" w:id="2"/>
      <w:r w:rsidRPr="0E64EED9">
        <w:rPr>
          <w:rFonts w:eastAsiaTheme="minorEastAsia"/>
          <w:color w:val="000000" w:themeColor="text1"/>
          <w:sz w:val="24"/>
          <w:szCs w:val="24"/>
        </w:rPr>
        <w:t>a past experience</w:t>
      </w:r>
      <w:bookmarkEnd w:id="2"/>
      <w:r w:rsidRPr="0E64EED9">
        <w:rPr>
          <w:rFonts w:eastAsiaTheme="minorEastAsia"/>
          <w:color w:val="000000" w:themeColor="text1"/>
          <w:sz w:val="24"/>
          <w:szCs w:val="24"/>
        </w:rPr>
        <w:t>. It will identify what worked well, what could be improved, and how to make changes in the future. This will provide valuable insight into the potential benefits of collaborative working and multi-agency work. Furthermore, it will include skills learned to advance professionally and personally.</w:t>
      </w:r>
    </w:p>
    <w:p w:rsidR="00090524" w:rsidP="0E64EED9" w:rsidRDefault="7EE3B350" w14:paraId="2BEC7937" w14:textId="4F65B526">
      <w:pPr>
        <w:rPr>
          <w:rFonts w:eastAsiaTheme="minorEastAsia"/>
          <w:color w:val="000000" w:themeColor="text1"/>
          <w:sz w:val="24"/>
          <w:szCs w:val="24"/>
        </w:rPr>
      </w:pPr>
      <w:r w:rsidRPr="0E64EED9">
        <w:rPr>
          <w:rFonts w:eastAsiaTheme="minorEastAsia"/>
          <w:color w:val="000000" w:themeColor="text1"/>
          <w:sz w:val="24"/>
          <w:szCs w:val="24"/>
        </w:rPr>
        <w:t xml:space="preserve">My aunt is eighty-three years old and lives at home with my uncle who is ninety-one, they do not have any children. They are both healthy and rarely fall ill. However, my brothers and I had noticed that my aunt's memory had started declining and she was getting more forgetful. She was getting people and places mixed up, but we assumed these things were just a part of the aging process. However, after talking to my uncle, we realised that she was increasingly forgetting to pay bills and had trouble managing her medication. This made us concerned that her memory loss could be more than normal aging. Pat had a blackout one day and could not remember anything for at least fifteen minutes. Morgan (2023) implies that it is human nature to forget things from time to time, especially when life becomes hectic. As you age, you may notice this happening more frequently and age-related memory loss is common. In contrast, it may indicate that you are suffering from dementia if you are having difficulty following directions in a familiar recipe or keeping track of bills as you once did. After this continued for some time our general practitioner referred her for a scan, and we carried on as normal. Pat waited six months for a scan of her brain and the results went back to our general practitioner that discussed the results with us, the scan had shown that there was evidence of plaques on the brain and that her brain had shrunk. Rahman and </w:t>
      </w:r>
      <w:proofErr w:type="spellStart"/>
      <w:r w:rsidRPr="0E64EED9">
        <w:rPr>
          <w:rFonts w:eastAsiaTheme="minorEastAsia"/>
          <w:color w:val="000000" w:themeColor="text1"/>
          <w:sz w:val="24"/>
          <w:szCs w:val="24"/>
        </w:rPr>
        <w:t>Lendel</w:t>
      </w:r>
      <w:proofErr w:type="spellEnd"/>
      <w:r w:rsidRPr="0E64EED9">
        <w:rPr>
          <w:rFonts w:eastAsiaTheme="minorEastAsia"/>
          <w:color w:val="000000" w:themeColor="text1"/>
          <w:sz w:val="24"/>
          <w:szCs w:val="24"/>
        </w:rPr>
        <w:t xml:space="preserve"> (2021) noted that patients' brains are examined for protein inclusions, extracellular senile plaques, and intracellular neurofibrillary tangles. CT scans can be used to determine this through the collection of images of the brain. MRI can also be used to detect changes in brain tissue. PET scans can be used to measure brain activity and measure the amount of amyloid beta in the brain. Finally, cerebrospinal fluid analysis can be used to look for signs of Alzheimer's disease. The Doctor confirmed our thoughts and explained it was more than just old age however a diagnosis would have to come from </w:t>
      </w:r>
      <w:proofErr w:type="spellStart"/>
      <w:r w:rsidRPr="0E64EED9">
        <w:rPr>
          <w:rFonts w:eastAsiaTheme="minorEastAsia"/>
          <w:color w:val="000000" w:themeColor="text1"/>
          <w:sz w:val="24"/>
          <w:szCs w:val="24"/>
        </w:rPr>
        <w:t>Westfa</w:t>
      </w:r>
      <w:proofErr w:type="spellEnd"/>
      <w:r w:rsidRPr="0E64EED9">
        <w:rPr>
          <w:rFonts w:eastAsiaTheme="minorEastAsia"/>
          <w:color w:val="000000" w:themeColor="text1"/>
          <w:sz w:val="24"/>
          <w:szCs w:val="24"/>
        </w:rPr>
        <w:t xml:space="preserve"> memory clinic, and he referred her there. From this point, everything happened much quicker, within two weeks A nurse came to the house to do a memory test and an occupational therapist visited to look around the property to see what equipment or adaptions could be made to make the house safer and for Pat to remain at home living independently for as long as possible.</w:t>
      </w:r>
    </w:p>
    <w:p w:rsidR="00090524" w:rsidP="0E64EED9" w:rsidRDefault="7EE3B350" w14:paraId="4EACE317" w14:textId="6E93D050">
      <w:pPr>
        <w:rPr>
          <w:rFonts w:eastAsiaTheme="minorEastAsia"/>
          <w:color w:val="000000" w:themeColor="text1"/>
          <w:sz w:val="24"/>
          <w:szCs w:val="24"/>
        </w:rPr>
      </w:pPr>
      <w:r w:rsidRPr="0E64EED9">
        <w:rPr>
          <w:rFonts w:eastAsiaTheme="minorEastAsia"/>
          <w:color w:val="000000" w:themeColor="text1"/>
          <w:sz w:val="24"/>
          <w:szCs w:val="24"/>
        </w:rPr>
        <w:t xml:space="preserve">After a multidisciplinary meeting between the psychiatrist, nurse and occupational therapist Pat was diagnosed with Alzheimer's disease, and from there things moved very quickly. </w:t>
      </w:r>
      <w:proofErr w:type="spellStart"/>
      <w:r w:rsidRPr="0E64EED9">
        <w:rPr>
          <w:rFonts w:eastAsiaTheme="minorEastAsia"/>
          <w:color w:val="000000" w:themeColor="text1"/>
          <w:sz w:val="24"/>
          <w:szCs w:val="24"/>
        </w:rPr>
        <w:t>Interprofessional</w:t>
      </w:r>
      <w:proofErr w:type="spellEnd"/>
      <w:r w:rsidRPr="0E64EED9">
        <w:rPr>
          <w:rFonts w:eastAsiaTheme="minorEastAsia"/>
          <w:color w:val="000000" w:themeColor="text1"/>
          <w:sz w:val="24"/>
          <w:szCs w:val="24"/>
        </w:rPr>
        <w:t xml:space="preserve"> collaboration and multidisciplinary teams are flexible and adaptable approaches that are effective for a wide range of populations, including older people, children, and those with mental illness including Alzheimer's and dementia (Social care institute for excellence, 2023).The team from Swansea Council's care and repair service came out to the house to install handrails, fire alarms, gas alarms and lifeline equipment. A day centre place was given to her so she could go and socialise with others twice a week and give her husband a break from caring responsibilities. A medication called donepezil was prescribed by the psychiatrist, which will not cure Alzheimer's disease, but it may help treat some symptoms and slow the progression of the disease. </w:t>
      </w:r>
      <w:proofErr w:type="spellStart"/>
      <w:r w:rsidRPr="0E64EED9">
        <w:rPr>
          <w:rFonts w:eastAsiaTheme="minorEastAsia"/>
          <w:color w:val="000000" w:themeColor="text1"/>
          <w:sz w:val="24"/>
          <w:szCs w:val="24"/>
        </w:rPr>
        <w:t>Budson</w:t>
      </w:r>
      <w:proofErr w:type="spellEnd"/>
      <w:r w:rsidRPr="0E64EED9">
        <w:rPr>
          <w:rFonts w:eastAsiaTheme="minorEastAsia"/>
          <w:color w:val="000000" w:themeColor="text1"/>
          <w:sz w:val="24"/>
          <w:szCs w:val="24"/>
        </w:rPr>
        <w:t xml:space="preserve"> and Solomon (2022) concur that currently available pharmacological treatments can reverse Alzheimer's disease by 6 to 12 months. Furthermore, there are many new medications available that can significantly slow the development of memory impairment associated with Alzheimer's disease. With the help of social services, we helped pat appoint a lasting power of attorney and to prepare her last will and testament. The power of attorney was put in place to ensure her wishes were respected when she no longer has the capacity to make important decisions herself and her last will and testament was put in place to ensure that her assets were divided according to her wishes in the event of her passing. Shepard </w:t>
      </w:r>
      <w:proofErr w:type="spellStart"/>
      <w:r w:rsidRPr="0E64EED9">
        <w:rPr>
          <w:rFonts w:eastAsiaTheme="minorEastAsia"/>
          <w:color w:val="000000" w:themeColor="text1"/>
          <w:sz w:val="24"/>
          <w:szCs w:val="24"/>
        </w:rPr>
        <w:t>Etal</w:t>
      </w:r>
      <w:proofErr w:type="spellEnd"/>
      <w:r w:rsidRPr="0E64EED9">
        <w:rPr>
          <w:rFonts w:eastAsiaTheme="minorEastAsia"/>
          <w:color w:val="000000" w:themeColor="text1"/>
          <w:sz w:val="24"/>
          <w:szCs w:val="24"/>
        </w:rPr>
        <w:t xml:space="preserve"> (2019) believe that a growing focus is being placed on ensuring future decisions reflect the preferences of individuals through advance planning, including nominating who will serve as a decision-maker if a person loses capacity. In advance planning, people are assisted to decide for future care and support, including medical treatment, and thereby maintain their personal independence to the maximum extent possible. Pat is now content and happy, living at home independently and safely with her husband in a house she has lived in for over 60 years. This is an example of how collaborative practice, when done effectively can have a positive impact on a person.</w:t>
      </w:r>
    </w:p>
    <w:p w:rsidR="00090524" w:rsidP="0E64EED9" w:rsidRDefault="7EE3B350" w14:paraId="3B01C590" w14:textId="3B497A27">
      <w:pPr>
        <w:rPr>
          <w:rFonts w:eastAsiaTheme="minorEastAsia"/>
          <w:color w:val="000000" w:themeColor="text1"/>
          <w:sz w:val="24"/>
          <w:szCs w:val="24"/>
        </w:rPr>
      </w:pPr>
      <w:r w:rsidRPr="0E64EED9">
        <w:rPr>
          <w:rFonts w:eastAsiaTheme="minorEastAsia"/>
          <w:color w:val="000000" w:themeColor="text1"/>
          <w:sz w:val="24"/>
          <w:szCs w:val="24"/>
        </w:rPr>
        <w:t>In the six months waiting for a scan, I was anxious and upset as we were not sure of what was going to be diagnosed and that Pats condition was declining. When the scan was done and things were moving more quickly, I felt relieved, supported, and happy that we were being listened to and helped. Having lots of different services involved at the same time made me feel the most efficient care was being given. This was especially comforting as I knew that Pat had the best support possible. I felt a sense of security and that enabled me to reassure both Pat and my uncle that everything was going to be all right. Social care Wales (2022) advise that caregiving for someone with dementia can be made easier by listening, providing reassurance, acknowledging feelings, and providing support. Effective communication skills and the importance of making a patient feel supported is reiterated by Norman (2019).</w:t>
      </w:r>
    </w:p>
    <w:p w:rsidR="00090524" w:rsidP="0E64EED9" w:rsidRDefault="7EE3B350" w14:paraId="2018E00A" w14:textId="6E2DC487">
      <w:pPr>
        <w:rPr>
          <w:rFonts w:eastAsiaTheme="minorEastAsia"/>
          <w:color w:val="000000" w:themeColor="text1"/>
          <w:sz w:val="24"/>
          <w:szCs w:val="24"/>
        </w:rPr>
      </w:pPr>
      <w:r w:rsidRPr="0E64EED9">
        <w:rPr>
          <w:rFonts w:eastAsiaTheme="minorEastAsia"/>
          <w:color w:val="000000" w:themeColor="text1"/>
          <w:sz w:val="24"/>
          <w:szCs w:val="24"/>
        </w:rPr>
        <w:t xml:space="preserve">The </w:t>
      </w:r>
      <w:proofErr w:type="spellStart"/>
      <w:r w:rsidRPr="0E64EED9">
        <w:rPr>
          <w:rFonts w:eastAsiaTheme="minorEastAsia"/>
          <w:color w:val="000000" w:themeColor="text1"/>
          <w:sz w:val="24"/>
          <w:szCs w:val="24"/>
        </w:rPr>
        <w:t>covid</w:t>
      </w:r>
      <w:proofErr w:type="spellEnd"/>
      <w:r w:rsidRPr="0E64EED9">
        <w:rPr>
          <w:rFonts w:eastAsiaTheme="minorEastAsia"/>
          <w:color w:val="000000" w:themeColor="text1"/>
          <w:sz w:val="24"/>
          <w:szCs w:val="24"/>
        </w:rPr>
        <w:t xml:space="preserve"> 19 pandemic caused a backlog of patients requiring scans, Hospitals and clinics had to prioritize those with the most severe symptoms and illnesses. This caused long wait times for those needing scans, leading to anxiety and frustration. This backlog was caused due to the need for increased safety measures to reduce the risk of infection, such as reducing the number of people allowed in waiting areas and requiring longer wait times between appointments. These measures meant that fewer scans could be completed in a single day, leading to longer wait times. (The World health organisation, 2022) This is why Pat had to wait so long for a scan. Looking back the efficiency of the multiple agencies involved in pats care was so good because they all worked together to quickly process the results and make decisions. In addition, Pat had access to communication between all the involved parties. This allowed for faster decision-making and better coordination whist adhering to her wishes as much as possible (</w:t>
      </w:r>
      <w:proofErr w:type="spellStart"/>
      <w:r w:rsidRPr="0E64EED9">
        <w:rPr>
          <w:rFonts w:eastAsiaTheme="minorEastAsia"/>
          <w:color w:val="000000" w:themeColor="text1"/>
          <w:sz w:val="24"/>
          <w:szCs w:val="24"/>
        </w:rPr>
        <w:t>Faiman</w:t>
      </w:r>
      <w:proofErr w:type="spellEnd"/>
      <w:r w:rsidRPr="0E64EED9">
        <w:rPr>
          <w:rFonts w:eastAsiaTheme="minorEastAsia"/>
          <w:color w:val="000000" w:themeColor="text1"/>
          <w:sz w:val="24"/>
          <w:szCs w:val="24"/>
        </w:rPr>
        <w:t xml:space="preserve"> and </w:t>
      </w:r>
      <w:proofErr w:type="spellStart"/>
      <w:r w:rsidRPr="0E64EED9">
        <w:rPr>
          <w:rFonts w:eastAsiaTheme="minorEastAsia"/>
          <w:color w:val="000000" w:themeColor="text1"/>
          <w:sz w:val="24"/>
          <w:szCs w:val="24"/>
        </w:rPr>
        <w:t>Tariman</w:t>
      </w:r>
      <w:proofErr w:type="spellEnd"/>
      <w:r w:rsidRPr="0E64EED9">
        <w:rPr>
          <w:rFonts w:eastAsiaTheme="minorEastAsia"/>
          <w:color w:val="000000" w:themeColor="text1"/>
          <w:sz w:val="24"/>
          <w:szCs w:val="24"/>
        </w:rPr>
        <w:t>, 2019)</w:t>
      </w:r>
    </w:p>
    <w:p w:rsidR="00090524" w:rsidP="0E64EED9" w:rsidRDefault="7EE3B350" w14:paraId="78670BDF" w14:textId="5CB749CC">
      <w:pPr>
        <w:rPr>
          <w:rFonts w:eastAsiaTheme="minorEastAsia"/>
          <w:color w:val="000000" w:themeColor="text1"/>
          <w:sz w:val="24"/>
          <w:szCs w:val="24"/>
        </w:rPr>
      </w:pPr>
      <w:r w:rsidRPr="0E64EED9">
        <w:rPr>
          <w:rFonts w:eastAsiaTheme="minorEastAsia"/>
          <w:color w:val="000000" w:themeColor="text1"/>
          <w:sz w:val="24"/>
          <w:szCs w:val="24"/>
        </w:rPr>
        <w:t xml:space="preserve">If </w:t>
      </w:r>
      <w:r w:rsidRPr="0E64EED9" w:rsidR="77B5C8E0">
        <w:rPr>
          <w:rFonts w:eastAsiaTheme="minorEastAsia"/>
          <w:color w:val="000000" w:themeColor="text1"/>
          <w:sz w:val="24"/>
          <w:szCs w:val="24"/>
        </w:rPr>
        <w:t>anything,</w:t>
      </w:r>
      <w:r w:rsidRPr="0E64EED9">
        <w:rPr>
          <w:rFonts w:eastAsiaTheme="minorEastAsia"/>
          <w:color w:val="000000" w:themeColor="text1"/>
          <w:sz w:val="24"/>
          <w:szCs w:val="24"/>
        </w:rPr>
        <w:t xml:space="preserve"> similar were to occur in the future, I would push for the scan to be completed as quickly as possible. This is because a delay in the scan led to a delay in the starting of medication that can slow down the progression of the Alzheimer's disease. Furthermore, I would not have waited so long to have Pat's initial tests performed at the doctor's surgery. Early detection is key to managing the progression of Alzheimer's disease, and any delay in diagnosis can lead to a worsened prognosis for the patient. Therefore, it is essential to act quickly in these situations to ensure that the patient is receiving the best possible care. Early diagnosis also allows for early intervention, which can slow the disease progression and provide the patient with the best possible quality of life (</w:t>
      </w:r>
      <w:proofErr w:type="spellStart"/>
      <w:r w:rsidRPr="0E64EED9">
        <w:rPr>
          <w:rFonts w:eastAsiaTheme="minorEastAsia"/>
          <w:color w:val="000000" w:themeColor="text1"/>
          <w:sz w:val="24"/>
          <w:szCs w:val="24"/>
        </w:rPr>
        <w:t>Porsteinsson</w:t>
      </w:r>
      <w:proofErr w:type="spellEnd"/>
      <w:r w:rsidRPr="0E64EED9">
        <w:rPr>
          <w:rFonts w:eastAsiaTheme="minorEastAsia"/>
          <w:color w:val="000000" w:themeColor="text1"/>
          <w:sz w:val="24"/>
          <w:szCs w:val="24"/>
        </w:rPr>
        <w:t>, et al, 2021).</w:t>
      </w:r>
    </w:p>
    <w:p w:rsidR="00090524" w:rsidP="0E64EED9" w:rsidRDefault="7EE3B350" w14:paraId="3574AAFF" w14:textId="5058D802">
      <w:pPr>
        <w:rPr>
          <w:rFonts w:eastAsiaTheme="minorEastAsia"/>
          <w:color w:val="000000" w:themeColor="text1"/>
          <w:sz w:val="24"/>
          <w:szCs w:val="24"/>
        </w:rPr>
      </w:pPr>
      <w:r w:rsidRPr="0E64EED9">
        <w:rPr>
          <w:rFonts w:eastAsiaTheme="minorEastAsia"/>
          <w:color w:val="000000" w:themeColor="text1"/>
          <w:sz w:val="24"/>
          <w:szCs w:val="24"/>
        </w:rPr>
        <w:t xml:space="preserve">This event has provided me with the opportunity to reflect on and assess how I can transfer the skills I gained from this experience to my chosen career path as a mental health nurse. Therefore, I have gained a deeper sense of compassion and empathy, as well as an understanding of the process of diagnosing dementia and the help that can be offered to patients with dementia or any other mental health condition </w:t>
      </w:r>
      <w:r w:rsidRPr="0E64EED9" w:rsidR="51C88AA9">
        <w:rPr>
          <w:rFonts w:eastAsiaTheme="minorEastAsia"/>
          <w:color w:val="000000" w:themeColor="text1"/>
          <w:sz w:val="24"/>
          <w:szCs w:val="24"/>
        </w:rPr>
        <w:t>because of</w:t>
      </w:r>
      <w:r w:rsidRPr="0E64EED9">
        <w:rPr>
          <w:rFonts w:eastAsiaTheme="minorEastAsia"/>
          <w:color w:val="000000" w:themeColor="text1"/>
          <w:sz w:val="24"/>
          <w:szCs w:val="24"/>
        </w:rPr>
        <w:t xml:space="preserve"> this experience. This experience has also given me an insight into the importance of providing emotional support to dementia patients and their families. I have also been able to develop my own skills and knowledge in caring for dementia patients. Lastly, this experience has reinforced my passion for helping others and pursuing a career in mental health nursing.</w:t>
      </w:r>
    </w:p>
    <w:p w:rsidR="00090524" w:rsidP="5908EA09" w:rsidRDefault="18635648" w14:paraId="7B537CED" w14:textId="687178B4">
      <w:pPr>
        <w:rPr>
          <w:rFonts w:eastAsiaTheme="minorEastAsia"/>
          <w:color w:val="000000" w:themeColor="text1"/>
          <w:sz w:val="24"/>
          <w:szCs w:val="24"/>
          <w:u w:val="single"/>
        </w:rPr>
      </w:pPr>
      <w:r w:rsidRPr="5908EA09">
        <w:rPr>
          <w:rFonts w:eastAsiaTheme="minorEastAsia"/>
          <w:color w:val="000000" w:themeColor="text1"/>
          <w:sz w:val="24"/>
          <w:szCs w:val="24"/>
          <w:u w:val="single"/>
        </w:rPr>
        <w:t xml:space="preserve">Part </w:t>
      </w:r>
      <w:r w:rsidRPr="5908EA09" w:rsidR="0645AAA0">
        <w:rPr>
          <w:rFonts w:eastAsiaTheme="minorEastAsia"/>
          <w:color w:val="000000" w:themeColor="text1"/>
          <w:sz w:val="24"/>
          <w:szCs w:val="24"/>
          <w:u w:val="single"/>
        </w:rPr>
        <w:t>Three</w:t>
      </w:r>
      <w:r w:rsidRPr="5908EA09">
        <w:rPr>
          <w:rFonts w:eastAsiaTheme="minorEastAsia"/>
          <w:color w:val="000000" w:themeColor="text1"/>
          <w:sz w:val="24"/>
          <w:szCs w:val="24"/>
          <w:u w:val="single"/>
        </w:rPr>
        <w:t>.</w:t>
      </w:r>
    </w:p>
    <w:p w:rsidR="00090524" w:rsidP="0E64EED9" w:rsidRDefault="18635648" w14:paraId="7F5558E4" w14:textId="358A7B29">
      <w:pPr>
        <w:rPr>
          <w:rFonts w:eastAsiaTheme="minorEastAsia"/>
          <w:color w:val="000000" w:themeColor="text1"/>
          <w:sz w:val="24"/>
          <w:szCs w:val="24"/>
        </w:rPr>
      </w:pPr>
      <w:r w:rsidRPr="0E64EED9">
        <w:rPr>
          <w:rFonts w:eastAsiaTheme="minorEastAsia"/>
          <w:color w:val="000000" w:themeColor="text1"/>
          <w:sz w:val="24"/>
          <w:szCs w:val="24"/>
        </w:rPr>
        <w:t>For four years, I worked as a domiciliary caregiver in the community. Although the job is busy and fast-paced, it is extremely rewarding. A large part of the job involves going into vulnerable people's homes who need extra assistance. This can be helping with personal care such as washing and dressing and helping with continence needs. It can also be cooking meals, cleaning, shopping, and collecting medication from the pharmacy and administering it. To have any involvement in a service user's medication, you must undergo specialist training and pass a short test that shows you are competent to administer medication. According to the Royal College of Nursing (2023) all nursing, and midwifery practice relies heavily on appropriate medicine management. Prescriptions are written and medicines are administered. Additionally, people are helped to properly take their medications. Nurses and midwives are also responsible for monitoring the outcomes of any medication given and reviewing any adverse events. They are also responsible for reporting any changes in the patient's condition or any concerns they may have about the patient's medication (Care Quality Commission, 2022).</w:t>
      </w:r>
    </w:p>
    <w:p w:rsidR="00090524" w:rsidP="0E64EED9" w:rsidRDefault="18635648" w14:paraId="498D075D" w14:textId="3B2F811A">
      <w:pPr>
        <w:rPr>
          <w:rFonts w:eastAsiaTheme="minorEastAsia"/>
          <w:color w:val="000000" w:themeColor="text1"/>
          <w:sz w:val="24"/>
          <w:szCs w:val="24"/>
        </w:rPr>
      </w:pPr>
      <w:r w:rsidRPr="0E64EED9">
        <w:rPr>
          <w:rFonts w:eastAsiaTheme="minorEastAsia"/>
          <w:color w:val="000000" w:themeColor="text1"/>
          <w:sz w:val="24"/>
          <w:szCs w:val="24"/>
        </w:rPr>
        <w:t xml:space="preserve">Upon collecting medication from a pharmacy, the carer is responsible for ensuring that the medication is for the correct service user, that it is correctly labelled, and that the right quantity is available. In addition, carers are provided with a </w:t>
      </w:r>
      <w:r w:rsidRPr="0E64EED9" w:rsidR="7E1C5F44">
        <w:rPr>
          <w:rFonts w:eastAsiaTheme="minorEastAsia"/>
          <w:color w:val="000000" w:themeColor="text1"/>
          <w:sz w:val="24"/>
          <w:szCs w:val="24"/>
        </w:rPr>
        <w:t>MAR (Medicine Administration Record)</w:t>
      </w:r>
      <w:r w:rsidRPr="0E64EED9">
        <w:rPr>
          <w:rFonts w:eastAsiaTheme="minorEastAsia"/>
          <w:color w:val="000000" w:themeColor="text1"/>
          <w:sz w:val="24"/>
          <w:szCs w:val="24"/>
        </w:rPr>
        <w:t xml:space="preserve"> chart, which specifies the correct time of day, route, and any other special instructions. Each time a medication is administered, the carer signs the chart and documents on the back that the medication was taken and at what time. It prevents mistakes such as medication being missed or given twice, and not enough time elapsed between medications. The MAR chart also helps to ensure that the carer is following the right medication regime and that any side effects are monitored. It also provides a record of the medication taken, which can be invaluable in the event of a medical emergency. Overall, the MAR chart is a vital tool for carers to ensure accuracy and safety when administering medication (NHS Foundation Trust, 2022).</w:t>
      </w:r>
    </w:p>
    <w:p w:rsidR="00090524" w:rsidP="0E64EED9" w:rsidRDefault="18635648" w14:paraId="66D56262" w14:textId="16678AC3">
      <w:pPr>
        <w:rPr>
          <w:rFonts w:eastAsiaTheme="minorEastAsia"/>
          <w:color w:val="000000" w:themeColor="text1"/>
          <w:sz w:val="24"/>
          <w:szCs w:val="24"/>
        </w:rPr>
      </w:pPr>
      <w:r w:rsidRPr="0E64EED9">
        <w:rPr>
          <w:rFonts w:eastAsiaTheme="minorEastAsia"/>
          <w:color w:val="000000" w:themeColor="text1"/>
          <w:sz w:val="24"/>
          <w:szCs w:val="24"/>
        </w:rPr>
        <w:t>On this day, a senior carer had instructions to pick up medication from a local pharmacy and deliver it to the homes of two different service users. An antibiotic and painkillers were prescribed for one of the service users who had a chest infection, while an antibiotic was prescribed for the other who had a urine infection. The senior took the medication to the service user with the chest infection and administered it immediately as the pharmacist had instructed. However, she had not checked the names on the mar chart and medication boxes. This led to her giving the wrong medication to the service user. The next call was when my colleague and I noticed the mistake. We immediately informed our manager who asked us to remove the medication chart and medication from the house. We were also asked not to tell anyone else until they checked out exactly what had happened. After two days had passed, I became increasingly concerned as the service user in my care still had not received the correct antibiotics and nobody had checked to see if the antibiotic that had been administered interfered with the other medication of my service user or if they were even allergic to it. I spoke with a senior carer from another area who took over. They informed medication management of the incident, who then opened an investigation. The senior carer who I had confided in acted quickly to ensure that the incident was taken seriously and that the necessary steps were taken to ensure the service user's safety. This included contacting the service user's doctor and making sure the service user did not have any adverse reactions to the antibiotic. A new mar chart was made with the correct medication. Whilst management tried to cover up this incident the senior carer was still giving medication and attending medication calls. Eventually they were stripped of the senior role and not allowed to give medication until they took the mar exam again. The carer tried to pass the blame on to the pharmacy. The pharmacy denied any responsibility and the senior carer was eventually made to take the exam again. They passed and was then able to give medication to service users again safely.</w:t>
      </w:r>
    </w:p>
    <w:p w:rsidR="00090524" w:rsidP="0E64EED9" w:rsidRDefault="18635648" w14:paraId="7A5F0213" w14:textId="07494CF5">
      <w:pPr>
        <w:rPr>
          <w:rFonts w:eastAsiaTheme="minorEastAsia"/>
          <w:color w:val="000000" w:themeColor="text1"/>
          <w:sz w:val="24"/>
          <w:szCs w:val="24"/>
        </w:rPr>
      </w:pPr>
      <w:r w:rsidRPr="0E64EED9">
        <w:rPr>
          <w:rFonts w:eastAsiaTheme="minorEastAsia"/>
          <w:color w:val="000000" w:themeColor="text1"/>
          <w:sz w:val="24"/>
          <w:szCs w:val="24"/>
        </w:rPr>
        <w:t>Upon reflecting on this incident, I remember feeling incredibly anxious and upset. As well as feeling angry, I felt stressed about management covering up the mistakes and angered that the carer was still giving medication to vulnerable people. There was a feeling of dismissal, that my voice was not heard, I was concerned and lost trust in management. This frustration was caused by the lack of transparency and accountability from management. It was also caused by a lack of respect for the people we were supposed to support. No one was willing to take responsibility for the incident and I was left feeling unheard and powerless Listening plays an essential role in surfacing organizational problems and identifying solutions (</w:t>
      </w:r>
      <w:proofErr w:type="spellStart"/>
      <w:r w:rsidRPr="0E64EED9">
        <w:rPr>
          <w:rFonts w:eastAsiaTheme="minorEastAsia"/>
          <w:color w:val="000000" w:themeColor="text1"/>
          <w:sz w:val="24"/>
          <w:szCs w:val="24"/>
        </w:rPr>
        <w:t>Kriz</w:t>
      </w:r>
      <w:proofErr w:type="spellEnd"/>
      <w:r w:rsidRPr="0E64EED9">
        <w:rPr>
          <w:rFonts w:eastAsiaTheme="minorEastAsia"/>
          <w:color w:val="000000" w:themeColor="text1"/>
          <w:sz w:val="24"/>
          <w:szCs w:val="24"/>
        </w:rPr>
        <w:t xml:space="preserve">, </w:t>
      </w:r>
      <w:proofErr w:type="spellStart"/>
      <w:r w:rsidRPr="0E64EED9">
        <w:rPr>
          <w:rFonts w:eastAsiaTheme="minorEastAsia"/>
          <w:color w:val="000000" w:themeColor="text1"/>
          <w:sz w:val="24"/>
          <w:szCs w:val="24"/>
        </w:rPr>
        <w:t>Kluger</w:t>
      </w:r>
      <w:proofErr w:type="spellEnd"/>
      <w:r w:rsidRPr="0E64EED9">
        <w:rPr>
          <w:rFonts w:eastAsiaTheme="minorEastAsia"/>
          <w:color w:val="000000" w:themeColor="text1"/>
          <w:sz w:val="24"/>
          <w:szCs w:val="24"/>
        </w:rPr>
        <w:t xml:space="preserve"> and </w:t>
      </w:r>
      <w:proofErr w:type="spellStart"/>
      <w:r w:rsidRPr="0E64EED9">
        <w:rPr>
          <w:rFonts w:eastAsiaTheme="minorEastAsia"/>
          <w:color w:val="000000" w:themeColor="text1"/>
          <w:sz w:val="24"/>
          <w:szCs w:val="24"/>
        </w:rPr>
        <w:t>Lyddy</w:t>
      </w:r>
      <w:proofErr w:type="spellEnd"/>
      <w:r w:rsidRPr="0E64EED9">
        <w:rPr>
          <w:rFonts w:eastAsiaTheme="minorEastAsia"/>
          <w:color w:val="000000" w:themeColor="text1"/>
          <w:sz w:val="24"/>
          <w:szCs w:val="24"/>
        </w:rPr>
        <w:t>, 2021).</w:t>
      </w:r>
    </w:p>
    <w:p w:rsidR="00090524" w:rsidP="0E64EED9" w:rsidRDefault="18635648" w14:paraId="12C1D5ED" w14:textId="06AE7710">
      <w:pPr>
        <w:rPr>
          <w:rFonts w:eastAsiaTheme="minorEastAsia"/>
          <w:color w:val="000000" w:themeColor="text1"/>
          <w:sz w:val="24"/>
          <w:szCs w:val="24"/>
        </w:rPr>
      </w:pPr>
      <w:r w:rsidRPr="0E64EED9">
        <w:rPr>
          <w:rFonts w:eastAsiaTheme="minorEastAsia"/>
          <w:color w:val="000000" w:themeColor="text1"/>
          <w:sz w:val="24"/>
          <w:szCs w:val="24"/>
        </w:rPr>
        <w:t xml:space="preserve">After this experience and more employees found out what had happened the trust between management and carers was non-existent. </w:t>
      </w:r>
      <w:proofErr w:type="spellStart"/>
      <w:r w:rsidRPr="0E64EED9">
        <w:rPr>
          <w:rFonts w:eastAsiaTheme="minorEastAsia"/>
          <w:color w:val="000000" w:themeColor="text1"/>
          <w:sz w:val="24"/>
          <w:szCs w:val="24"/>
        </w:rPr>
        <w:t>Sifaki-Pistolla</w:t>
      </w:r>
      <w:proofErr w:type="spellEnd"/>
      <w:r w:rsidRPr="0E64EED9">
        <w:rPr>
          <w:rFonts w:eastAsiaTheme="minorEastAsia"/>
          <w:color w:val="000000" w:themeColor="text1"/>
          <w:sz w:val="24"/>
          <w:szCs w:val="24"/>
        </w:rPr>
        <w:t xml:space="preserve">, D. </w:t>
      </w:r>
      <w:r w:rsidRPr="0E64EED9">
        <w:rPr>
          <w:rFonts w:eastAsiaTheme="minorEastAsia"/>
          <w:i/>
          <w:iCs/>
          <w:color w:val="000000" w:themeColor="text1"/>
          <w:sz w:val="24"/>
          <w:szCs w:val="24"/>
        </w:rPr>
        <w:t>et al.</w:t>
      </w:r>
      <w:r w:rsidRPr="0E64EED9">
        <w:rPr>
          <w:rFonts w:eastAsiaTheme="minorEastAsia"/>
          <w:color w:val="000000" w:themeColor="text1"/>
          <w:sz w:val="24"/>
          <w:szCs w:val="24"/>
        </w:rPr>
        <w:t xml:space="preserve"> (2020) Believe that when healthcare professionals trust each other, they are more likely to share information, work together to solve problems, and collaborate on patient care. They are also more likely to produce innovative solutions, as trust encourages collaboration and creativity. There were some incredible carers who decided that they could no longer work for a company with so little concern for their service users' well-being and unfortunately left the company. This had a knock-on effect with the remaining employees, Staff morale was extremely low. </w:t>
      </w:r>
      <w:proofErr w:type="spellStart"/>
      <w:r w:rsidRPr="0E64EED9">
        <w:rPr>
          <w:rFonts w:eastAsiaTheme="minorEastAsia"/>
          <w:color w:val="000000" w:themeColor="text1"/>
          <w:sz w:val="24"/>
          <w:szCs w:val="24"/>
        </w:rPr>
        <w:t>Shennan</w:t>
      </w:r>
      <w:proofErr w:type="spellEnd"/>
      <w:r w:rsidRPr="0E64EED9">
        <w:rPr>
          <w:rFonts w:eastAsiaTheme="minorEastAsia"/>
          <w:color w:val="000000" w:themeColor="text1"/>
          <w:sz w:val="24"/>
          <w:szCs w:val="24"/>
        </w:rPr>
        <w:t xml:space="preserve"> (2019) believes in a team environment where the development of solution-focused practice takes place alongside others, it is fair to say that you will be off to a good start. Without trust, it was difficult for people to work together, and collaboration was almost impossible. The negative effect on morale, and the lack of trust also made it difficult to motivate staff to work together and strive for the best outcomes for the service users. Having low morale can spread to other team members, decreasing collaboration and communication, and leading to a toxic work environment (Anonymous, 2021).</w:t>
      </w:r>
    </w:p>
    <w:p w:rsidR="00090524" w:rsidP="0E64EED9" w:rsidRDefault="18635648" w14:paraId="6163845C" w14:textId="54C015A4">
      <w:pPr>
        <w:rPr>
          <w:rFonts w:eastAsiaTheme="minorEastAsia"/>
          <w:color w:val="000000" w:themeColor="text1"/>
          <w:sz w:val="24"/>
          <w:szCs w:val="24"/>
        </w:rPr>
      </w:pPr>
      <w:r w:rsidRPr="0E64EED9">
        <w:rPr>
          <w:rFonts w:eastAsiaTheme="minorEastAsia"/>
          <w:color w:val="000000" w:themeColor="text1"/>
          <w:sz w:val="24"/>
          <w:szCs w:val="24"/>
        </w:rPr>
        <w:t xml:space="preserve">I feel that if the carer that made the mistake with the medication had taken accountability with management and the other carers, they would not have lost respect from colleagues. </w:t>
      </w:r>
      <w:proofErr w:type="spellStart"/>
      <w:r w:rsidRPr="0E64EED9">
        <w:rPr>
          <w:rFonts w:eastAsiaTheme="minorEastAsia"/>
          <w:color w:val="000000" w:themeColor="text1"/>
          <w:sz w:val="24"/>
          <w:szCs w:val="24"/>
        </w:rPr>
        <w:t>Leape</w:t>
      </w:r>
      <w:proofErr w:type="spellEnd"/>
      <w:r w:rsidRPr="0E64EED9">
        <w:rPr>
          <w:rFonts w:eastAsiaTheme="minorEastAsia"/>
          <w:color w:val="000000" w:themeColor="text1"/>
          <w:sz w:val="24"/>
          <w:szCs w:val="24"/>
        </w:rPr>
        <w:t xml:space="preserve"> (2021) suggests that the cause of errors in the workplace is not fundamentally due to faulty people, but to faulty systems. It is necessary to fix the systems to prevent errors. This would have prevented the situation from escalating and would have allowed the carer to resolve the issue quickly and efficiently. By taking responsibility, the carer would have been able to regain the trust of their colleagues and could have prevented any further issues. The lack of action and the delay by management in rectifying the mistake hindered the situation. This caused further mistrust and tension in the workplace and could have been avoided if management had taken appropriate action. This demonstrates the importance of having effective communication channels and an open culture of communication and responsibility. Can, </w:t>
      </w:r>
      <w:proofErr w:type="spellStart"/>
      <w:r w:rsidRPr="0E64EED9">
        <w:rPr>
          <w:rFonts w:eastAsiaTheme="minorEastAsia"/>
          <w:color w:val="000000" w:themeColor="text1"/>
          <w:sz w:val="24"/>
          <w:szCs w:val="24"/>
        </w:rPr>
        <w:t>Durgun</w:t>
      </w:r>
      <w:proofErr w:type="spellEnd"/>
      <w:r w:rsidRPr="0E64EED9">
        <w:rPr>
          <w:rFonts w:eastAsiaTheme="minorEastAsia"/>
          <w:color w:val="000000" w:themeColor="text1"/>
          <w:sz w:val="24"/>
          <w:szCs w:val="24"/>
        </w:rPr>
        <w:t xml:space="preserve">, and </w:t>
      </w:r>
      <w:proofErr w:type="spellStart"/>
      <w:r w:rsidRPr="0E64EED9">
        <w:rPr>
          <w:rFonts w:eastAsiaTheme="minorEastAsia"/>
          <w:color w:val="000000" w:themeColor="text1"/>
          <w:sz w:val="24"/>
          <w:szCs w:val="24"/>
        </w:rPr>
        <w:t>Dalcalı</w:t>
      </w:r>
      <w:proofErr w:type="spellEnd"/>
      <w:r w:rsidRPr="0E64EED9">
        <w:rPr>
          <w:rFonts w:eastAsiaTheme="minorEastAsia"/>
          <w:color w:val="000000" w:themeColor="text1"/>
          <w:sz w:val="24"/>
          <w:szCs w:val="24"/>
        </w:rPr>
        <w:t xml:space="preserve"> (2022) believe that one of the major responsibilities of nurses is to communicate effectively with patients and to work as part of a team to deliver quality health care to patients Management should have acted quickly to rectify the situation and ensure that everyone was aware of what had happened. This would have restored trust, reduced tension, and avoided the need for further negative communication.</w:t>
      </w:r>
    </w:p>
    <w:p w:rsidR="00090524" w:rsidP="0E64EED9" w:rsidRDefault="18635648" w14:paraId="605D1646" w14:textId="72BF1768">
      <w:pPr>
        <w:rPr>
          <w:rFonts w:eastAsiaTheme="minorEastAsia"/>
          <w:color w:val="000000" w:themeColor="text1"/>
          <w:sz w:val="24"/>
          <w:szCs w:val="24"/>
        </w:rPr>
      </w:pPr>
      <w:r w:rsidRPr="0E64EED9">
        <w:rPr>
          <w:rFonts w:eastAsiaTheme="minorEastAsia"/>
          <w:color w:val="000000" w:themeColor="text1"/>
          <w:sz w:val="24"/>
          <w:szCs w:val="24"/>
        </w:rPr>
        <w:t>Reflecting over this incident, I feel as though I could have communicated differently. I should have been more vocal with management and pushed them to do the right thing. I knew what was right and wrong and should have asked why the carer was still allowed to give medication, I regret not speaking up. I should have trusted my own judgement and taken the appropriate action (</w:t>
      </w:r>
      <w:proofErr w:type="spellStart"/>
      <w:r w:rsidRPr="0E64EED9">
        <w:rPr>
          <w:rFonts w:eastAsiaTheme="minorEastAsia"/>
          <w:color w:val="000000" w:themeColor="text1"/>
          <w:sz w:val="24"/>
          <w:szCs w:val="24"/>
        </w:rPr>
        <w:t>Wiisak</w:t>
      </w:r>
      <w:proofErr w:type="spellEnd"/>
      <w:r w:rsidRPr="0E64EED9">
        <w:rPr>
          <w:rFonts w:eastAsiaTheme="minorEastAsia"/>
          <w:color w:val="000000" w:themeColor="text1"/>
          <w:sz w:val="24"/>
          <w:szCs w:val="24"/>
        </w:rPr>
        <w:t xml:space="preserve">, </w:t>
      </w:r>
      <w:proofErr w:type="spellStart"/>
      <w:r w:rsidRPr="0E64EED9">
        <w:rPr>
          <w:rFonts w:eastAsiaTheme="minorEastAsia"/>
          <w:color w:val="000000" w:themeColor="text1"/>
          <w:sz w:val="24"/>
          <w:szCs w:val="24"/>
        </w:rPr>
        <w:t>Suhonen</w:t>
      </w:r>
      <w:proofErr w:type="spellEnd"/>
      <w:r w:rsidRPr="0E64EED9">
        <w:rPr>
          <w:rFonts w:eastAsiaTheme="minorEastAsia"/>
          <w:color w:val="000000" w:themeColor="text1"/>
          <w:sz w:val="24"/>
          <w:szCs w:val="24"/>
        </w:rPr>
        <w:t xml:space="preserve">, and </w:t>
      </w:r>
      <w:proofErr w:type="spellStart"/>
      <w:r w:rsidRPr="0E64EED9">
        <w:rPr>
          <w:rFonts w:eastAsiaTheme="minorEastAsia"/>
          <w:color w:val="000000" w:themeColor="text1"/>
          <w:sz w:val="24"/>
          <w:szCs w:val="24"/>
        </w:rPr>
        <w:t>Leino‐Kilpi</w:t>
      </w:r>
      <w:proofErr w:type="spellEnd"/>
      <w:r w:rsidRPr="0E64EED9">
        <w:rPr>
          <w:rFonts w:eastAsiaTheme="minorEastAsia"/>
          <w:color w:val="000000" w:themeColor="text1"/>
          <w:sz w:val="24"/>
          <w:szCs w:val="24"/>
        </w:rPr>
        <w:t>, 2023). I should have had the courage to take responsibility for the safety of others and not let a barrier in communication become a problem (Morris, 2023)</w:t>
      </w:r>
      <w:r w:rsidRPr="0E64EED9" w:rsidR="3CC14476">
        <w:rPr>
          <w:rFonts w:eastAsiaTheme="minorEastAsia"/>
          <w:color w:val="000000" w:themeColor="text1"/>
          <w:sz w:val="24"/>
          <w:szCs w:val="24"/>
        </w:rPr>
        <w:t xml:space="preserve">. </w:t>
      </w:r>
      <w:r w:rsidRPr="0E64EED9">
        <w:rPr>
          <w:rFonts w:eastAsiaTheme="minorEastAsia"/>
          <w:color w:val="000000" w:themeColor="text1"/>
          <w:sz w:val="24"/>
          <w:szCs w:val="24"/>
        </w:rPr>
        <w:t xml:space="preserve">My awareness of the procedure following a mix-up of medication now makes me more prepared if </w:t>
      </w:r>
      <w:r w:rsidRPr="0E64EED9" w:rsidR="68B6989D">
        <w:rPr>
          <w:rFonts w:eastAsiaTheme="minorEastAsia"/>
          <w:color w:val="000000" w:themeColor="text1"/>
          <w:sz w:val="24"/>
          <w:szCs w:val="24"/>
        </w:rPr>
        <w:t>a comparable situation</w:t>
      </w:r>
      <w:r w:rsidRPr="0E64EED9">
        <w:rPr>
          <w:rFonts w:eastAsiaTheme="minorEastAsia"/>
          <w:color w:val="000000" w:themeColor="text1"/>
          <w:sz w:val="24"/>
          <w:szCs w:val="24"/>
        </w:rPr>
        <w:t xml:space="preserve"> arises in the future. In this case, I would inform meds management personally and urge management and the carer to take responsibility. I would also document the incident in the service user's file and report it to the relevant authorities. Additionally, I would ensure that the service user is monitored for any adverse reactions to the medication. Finally, I would review and update all carers' training regularly to prevent a similar incident in the future.</w:t>
      </w:r>
    </w:p>
    <w:p w:rsidR="00090524" w:rsidP="0E64EED9" w:rsidRDefault="18635648" w14:paraId="2D942065" w14:textId="78BE956C">
      <w:pPr>
        <w:rPr>
          <w:rFonts w:eastAsiaTheme="minorEastAsia"/>
          <w:color w:val="000000" w:themeColor="text1"/>
          <w:sz w:val="24"/>
          <w:szCs w:val="24"/>
        </w:rPr>
      </w:pPr>
      <w:r w:rsidRPr="0E64EED9">
        <w:rPr>
          <w:rFonts w:eastAsiaTheme="minorEastAsia"/>
          <w:color w:val="000000" w:themeColor="text1"/>
          <w:sz w:val="24"/>
          <w:szCs w:val="24"/>
        </w:rPr>
        <w:t>Collaboration between the pharmacy, the medication management team, managers of the care company and carers usually runs smoothly but this is an example of how collaboration can sometimes have a negative effect when communication, trust and accountability are lacking in the workplace. This can lead to misunderstandings, disagreements, and a breakdown of trust, which can have a negative effect the overall quality of care given to the service user.</w:t>
      </w:r>
    </w:p>
    <w:p w:rsidR="00090524" w:rsidP="0E64EED9" w:rsidRDefault="00090524" w14:paraId="5E5787A5" w14:textId="7D9B1B5B"/>
    <w:p w:rsidR="0E64EED9" w:rsidP="0E64EED9" w:rsidRDefault="0E64EED9" w14:paraId="206CFCFA" w14:textId="283E4BD1"/>
    <w:p w:rsidR="0E64EED9" w:rsidP="0E64EED9" w:rsidRDefault="0E64EED9" w14:paraId="49BE3B3F" w14:textId="10BECAF7"/>
    <w:p w:rsidR="0E64EED9" w:rsidP="0E64EED9" w:rsidRDefault="0E64EED9" w14:paraId="4FB7E458" w14:textId="14383B1D"/>
    <w:p w:rsidR="0E64EED9" w:rsidP="0E64EED9" w:rsidRDefault="0E64EED9" w14:paraId="14528ED5" w14:textId="2A8F7417"/>
    <w:p w:rsidR="0E64EED9" w:rsidP="0E64EED9" w:rsidRDefault="0E64EED9" w14:paraId="0C4239D7" w14:textId="56E4847C"/>
    <w:p w:rsidR="0E64EED9" w:rsidP="0E64EED9" w:rsidRDefault="0E64EED9" w14:paraId="7BF2101B" w14:textId="75351806"/>
    <w:p w:rsidR="0E64EED9" w:rsidP="0E64EED9" w:rsidRDefault="0E64EED9" w14:paraId="3E3AB4ED" w14:textId="6E50E63A"/>
    <w:p w:rsidR="0E64EED9" w:rsidP="0E64EED9" w:rsidRDefault="0E64EED9" w14:paraId="562CE49E" w14:textId="689193F8"/>
    <w:p w:rsidR="0E64EED9" w:rsidP="0E64EED9" w:rsidRDefault="0E64EED9" w14:paraId="75262261" w14:textId="6AA41858"/>
    <w:p w:rsidR="0E64EED9" w:rsidP="0E64EED9" w:rsidRDefault="0E64EED9" w14:paraId="310EA0D3" w14:textId="59B827CD"/>
    <w:p w:rsidR="0E64EED9" w:rsidP="0E64EED9" w:rsidRDefault="0E64EED9" w14:paraId="26260DC4" w14:textId="5E8ADA58"/>
    <w:p w:rsidR="0E64EED9" w:rsidP="0E64EED9" w:rsidRDefault="0E64EED9" w14:paraId="357766B8" w14:textId="7794B023"/>
    <w:p w:rsidR="0E64EED9" w:rsidP="0E64EED9" w:rsidRDefault="0E64EED9" w14:paraId="74C51D56" w14:textId="68BFD290"/>
    <w:p w:rsidR="0E64EED9" w:rsidP="0E64EED9" w:rsidRDefault="0E64EED9" w14:paraId="6A1A42CF" w14:textId="30DA7869"/>
    <w:p w:rsidR="0E64EED9" w:rsidP="0E64EED9" w:rsidRDefault="0E64EED9" w14:paraId="64B1606D" w14:textId="6F21B0AD"/>
    <w:p w:rsidR="0E64EED9" w:rsidP="0E64EED9" w:rsidRDefault="0E64EED9" w14:paraId="65EC2EDD" w14:textId="7C885421"/>
    <w:p w:rsidR="0E64EED9" w:rsidP="0E64EED9" w:rsidRDefault="0E64EED9" w14:paraId="2CCC898A" w14:textId="751105AA"/>
    <w:p w:rsidR="0E64EED9" w:rsidP="0E64EED9" w:rsidRDefault="0E64EED9" w14:paraId="600A6FEF" w14:textId="638AE892"/>
    <w:p w:rsidR="0E64EED9" w:rsidP="0E64EED9" w:rsidRDefault="0E64EED9" w14:paraId="1D3BA7EF" w14:textId="74E461BF"/>
    <w:p w:rsidR="0E64EED9" w:rsidP="0E64EED9" w:rsidRDefault="0E64EED9" w14:paraId="7FE437C0" w14:textId="652E6331"/>
    <w:p w:rsidR="0E64EED9" w:rsidP="0E64EED9" w:rsidRDefault="0E64EED9" w14:paraId="02BF22CB" w14:textId="5BA93318"/>
    <w:p w:rsidR="0E64EED9" w:rsidP="0E64EED9" w:rsidRDefault="0E64EED9" w14:paraId="64E0A0B0" w14:textId="7E5E1839"/>
    <w:p w:rsidR="0E64EED9" w:rsidP="0E64EED9" w:rsidRDefault="0E64EED9" w14:paraId="2C017B81" w14:textId="0319902E"/>
    <w:p w:rsidR="0E64EED9" w:rsidP="0E64EED9" w:rsidRDefault="0E64EED9" w14:paraId="7E03339E" w14:textId="0ED599B8"/>
    <w:p w:rsidR="24CD7566" w:rsidP="24CD7566" w:rsidRDefault="24CD7566" w14:paraId="4DD49F7F" w14:textId="37F6ECDF">
      <w:pPr>
        <w:rPr>
          <w:sz w:val="24"/>
          <w:szCs w:val="24"/>
          <w:u w:val="single"/>
        </w:rPr>
      </w:pPr>
    </w:p>
    <w:p w:rsidR="24CD7566" w:rsidP="24CD7566" w:rsidRDefault="24CD7566" w14:paraId="0425D245" w14:textId="763A197E">
      <w:pPr>
        <w:rPr>
          <w:sz w:val="24"/>
          <w:szCs w:val="24"/>
          <w:u w:val="single"/>
        </w:rPr>
      </w:pPr>
    </w:p>
    <w:p w:rsidR="24CD7566" w:rsidP="24CD7566" w:rsidRDefault="24CD7566" w14:paraId="61742C5E" w14:textId="7D2AF11F">
      <w:pPr>
        <w:rPr>
          <w:sz w:val="24"/>
          <w:szCs w:val="24"/>
          <w:u w:val="single"/>
        </w:rPr>
      </w:pPr>
    </w:p>
    <w:p w:rsidR="1F3FE5B4" w:rsidP="0E64EED9" w:rsidRDefault="1F3FE5B4" w14:paraId="304DFBD3" w14:textId="19251656">
      <w:pPr>
        <w:rPr>
          <w:sz w:val="24"/>
          <w:szCs w:val="24"/>
          <w:u w:val="single"/>
        </w:rPr>
      </w:pPr>
      <w:r w:rsidRPr="0E64EED9">
        <w:rPr>
          <w:sz w:val="24"/>
          <w:szCs w:val="24"/>
          <w:u w:val="single"/>
        </w:rPr>
        <w:t>Reference List.</w:t>
      </w:r>
    </w:p>
    <w:p w:rsidR="17CDC31A" w:rsidP="24CD7566" w:rsidRDefault="17CDC31A" w14:paraId="15AD73D7" w14:textId="53BBFDB1">
      <w:pPr>
        <w:rPr>
          <w:rFonts w:ascii="Calibri" w:hAnsi="Calibri" w:eastAsia="Calibri" w:cs="Calibri"/>
          <w:sz w:val="24"/>
          <w:szCs w:val="24"/>
        </w:rPr>
      </w:pPr>
      <w:proofErr w:type="spellStart"/>
      <w:r w:rsidRPr="24CD7566" w:rsidR="35BA193B">
        <w:rPr>
          <w:rFonts w:ascii="Calibri" w:hAnsi="Calibri" w:eastAsia="Calibri" w:cs="Calibri"/>
          <w:color w:val="000000" w:themeColor="text1" w:themeTint="FF" w:themeShade="FF"/>
          <w:sz w:val="24"/>
          <w:szCs w:val="24"/>
        </w:rPr>
        <w:t xml:space="preserve">Anonymous ‘Low nurse morale flagged by membership group’ (2021) </w:t>
      </w:r>
      <w:r w:rsidRPr="24CD7566" w:rsidR="35BA193B">
        <w:rPr>
          <w:rFonts w:ascii="Calibri" w:hAnsi="Calibri" w:eastAsia="Calibri" w:cs="Calibri"/>
          <w:i w:val="1"/>
          <w:iCs w:val="1"/>
          <w:color w:val="000000" w:themeColor="text1" w:themeTint="FF" w:themeShade="FF"/>
          <w:sz w:val="24"/>
          <w:szCs w:val="24"/>
        </w:rPr>
        <w:t xml:space="preserve">Nursing New Zealand (Wellington, </w:t>
      </w:r>
      <w:r w:rsidRPr="24CD7566" w:rsidR="35BA193B">
        <w:rPr>
          <w:rFonts w:ascii="Calibri" w:hAnsi="Calibri" w:eastAsia="Calibri" w:cs="Calibri"/>
          <w:i w:val="1"/>
          <w:iCs w:val="1"/>
          <w:color w:val="000000" w:themeColor="text1" w:themeTint="FF" w:themeShade="FF"/>
          <w:sz w:val="24"/>
          <w:szCs w:val="24"/>
        </w:rPr>
        <w:t>N.Z. :</w:t>
      </w:r>
      <w:r w:rsidRPr="24CD7566" w:rsidR="35BA193B">
        <w:rPr>
          <w:rFonts w:ascii="Calibri" w:hAnsi="Calibri" w:eastAsia="Calibri" w:cs="Calibri"/>
          <w:i w:val="1"/>
          <w:iCs w:val="1"/>
          <w:color w:val="000000" w:themeColor="text1" w:themeTint="FF" w:themeShade="FF"/>
          <w:sz w:val="24"/>
          <w:szCs w:val="24"/>
        </w:rPr>
        <w:t xml:space="preserve"> 1995)</w:t>
      </w:r>
      <w:r w:rsidRPr="24CD7566" w:rsidR="35BA193B">
        <w:rPr>
          <w:rFonts w:ascii="Calibri" w:hAnsi="Calibri" w:eastAsia="Calibri" w:cs="Calibri"/>
          <w:color w:val="000000" w:themeColor="text1" w:themeTint="FF" w:themeShade="FF"/>
          <w:sz w:val="24"/>
          <w:szCs w:val="24"/>
        </w:rPr>
        <w:t xml:space="preserve">, 27(10), pp. 32–32. </w:t>
      </w:r>
      <w:proofErr w:type="spellEnd"/>
      <w:proofErr w:type="spellStart"/>
      <w:proofErr w:type="spellEnd"/>
    </w:p>
    <w:p w:rsidR="17CDC31A" w:rsidP="0E64EED9" w:rsidRDefault="17CDC31A" w14:paraId="7F6A6153" w14:textId="1E83B83D">
      <w:pPr>
        <w:rPr>
          <w:rFonts w:ascii="Calibri" w:hAnsi="Calibri" w:eastAsia="Calibri" w:cs="Calibri"/>
          <w:sz w:val="24"/>
          <w:szCs w:val="24"/>
        </w:rPr>
      </w:pPr>
      <w:r w:rsidRPr="24CD7566" w:rsidR="7A873519">
        <w:rPr>
          <w:rFonts w:ascii="Calibri" w:hAnsi="Calibri" w:eastAsia="Calibri" w:cs="Calibri"/>
          <w:color w:val="212121"/>
          <w:sz w:val="24"/>
          <w:szCs w:val="24"/>
        </w:rPr>
        <w:t>Budson</w:t>
      </w:r>
      <w:r w:rsidRPr="24CD7566" w:rsidR="7A873519">
        <w:rPr>
          <w:rFonts w:ascii="Calibri" w:hAnsi="Calibri" w:eastAsia="Calibri" w:cs="Calibri"/>
          <w:color w:val="212121"/>
          <w:sz w:val="24"/>
          <w:szCs w:val="24"/>
        </w:rPr>
        <w:t xml:space="preserve">, A. and Solomon, P. (2022) </w:t>
      </w:r>
      <w:r w:rsidRPr="24CD7566" w:rsidR="7A873519">
        <w:rPr>
          <w:rFonts w:ascii="Calibri" w:hAnsi="Calibri" w:eastAsia="Calibri" w:cs="Calibri"/>
          <w:i w:val="1"/>
          <w:iCs w:val="1"/>
          <w:color w:val="212121"/>
          <w:sz w:val="24"/>
          <w:szCs w:val="24"/>
        </w:rPr>
        <w:t xml:space="preserve">Memory loss, Alzheimer's disease and dementia, A practical </w:t>
      </w:r>
      <w:r w:rsidRPr="24CD7566" w:rsidR="7A873519">
        <w:rPr>
          <w:rFonts w:eastAsia="" w:eastAsiaTheme="minorEastAsia"/>
          <w:i w:val="1"/>
          <w:iCs w:val="1"/>
          <w:color w:val="212121"/>
          <w:sz w:val="24"/>
          <w:szCs w:val="24"/>
        </w:rPr>
        <w:t>guide</w:t>
      </w:r>
      <w:r w:rsidRPr="24CD7566" w:rsidR="7A873519">
        <w:rPr>
          <w:rFonts w:ascii="Calibri" w:hAnsi="Calibri" w:eastAsia="Calibri" w:cs="Calibri"/>
          <w:i w:val="1"/>
          <w:iCs w:val="1"/>
          <w:color w:val="212121"/>
          <w:sz w:val="24"/>
          <w:szCs w:val="24"/>
        </w:rPr>
        <w:t xml:space="preserve"> for clinicians. </w:t>
      </w:r>
      <w:r w:rsidRPr="24CD7566" w:rsidR="7A873519">
        <w:rPr>
          <w:rFonts w:ascii="Calibri" w:hAnsi="Calibri" w:eastAsia="Calibri" w:cs="Calibri"/>
          <w:color w:val="212121"/>
          <w:sz w:val="24"/>
          <w:szCs w:val="24"/>
        </w:rPr>
        <w:t>3</w:t>
      </w:r>
      <w:r w:rsidRPr="24CD7566" w:rsidR="7A873519">
        <w:rPr>
          <w:rFonts w:ascii="Calibri" w:hAnsi="Calibri" w:eastAsia="Calibri" w:cs="Calibri"/>
          <w:color w:val="212121"/>
          <w:sz w:val="24"/>
          <w:szCs w:val="24"/>
          <w:vertAlign w:val="superscript"/>
        </w:rPr>
        <w:t>rd</w:t>
      </w:r>
      <w:r w:rsidRPr="24CD7566" w:rsidR="7A873519">
        <w:rPr>
          <w:rFonts w:ascii="Calibri" w:hAnsi="Calibri" w:eastAsia="Calibri" w:cs="Calibri"/>
          <w:color w:val="212121"/>
          <w:sz w:val="24"/>
          <w:szCs w:val="24"/>
        </w:rPr>
        <w:t xml:space="preserve"> edition. </w:t>
      </w:r>
      <w:r w:rsidRPr="24CD7566" w:rsidR="7A873519">
        <w:rPr>
          <w:rFonts w:ascii="Calibri" w:hAnsi="Calibri" w:eastAsia="Calibri" w:cs="Calibri"/>
          <w:color w:val="212121"/>
          <w:sz w:val="24"/>
          <w:szCs w:val="24"/>
        </w:rPr>
        <w:t>Philidelphia</w:t>
      </w:r>
      <w:r w:rsidRPr="24CD7566" w:rsidR="7A873519">
        <w:rPr>
          <w:rFonts w:ascii="Calibri" w:hAnsi="Calibri" w:eastAsia="Calibri" w:cs="Calibri"/>
          <w:color w:val="212121"/>
          <w:sz w:val="24"/>
          <w:szCs w:val="24"/>
        </w:rPr>
        <w:t>: Elsevier Inc.</w:t>
      </w:r>
    </w:p>
    <w:p w:rsidR="36C083F0" w:rsidP="0E64EED9" w:rsidRDefault="36C083F0" w14:paraId="4ADAE8D1" w14:textId="098149A1">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Cambridge dictionary (2023) </w:t>
      </w:r>
      <w:r w:rsidRPr="0E64EED9">
        <w:rPr>
          <w:rFonts w:ascii="Calibri" w:hAnsi="Calibri" w:eastAsia="Calibri" w:cs="Calibri"/>
          <w:i/>
          <w:iCs/>
          <w:color w:val="000000" w:themeColor="text1"/>
          <w:sz w:val="24"/>
          <w:szCs w:val="24"/>
        </w:rPr>
        <w:t xml:space="preserve">The meaning of collaborative working in English: </w:t>
      </w:r>
      <w:hyperlink r:id="rId4">
        <w:r w:rsidRPr="0E64EED9">
          <w:rPr>
            <w:rStyle w:val="Hyperlink"/>
            <w:rFonts w:ascii="Calibri" w:hAnsi="Calibri" w:eastAsia="Calibri" w:cs="Calibri"/>
            <w:sz w:val="24"/>
            <w:szCs w:val="24"/>
          </w:rPr>
          <w:t>https://dictionary.cambridge.org/dictionary/english/collaborative-working</w:t>
        </w:r>
      </w:hyperlink>
      <w:r w:rsidRPr="0E64EED9">
        <w:rPr>
          <w:rFonts w:ascii="Calibri" w:hAnsi="Calibri" w:eastAsia="Calibri" w:cs="Calibri"/>
          <w:color w:val="000000" w:themeColor="text1"/>
          <w:sz w:val="24"/>
          <w:szCs w:val="24"/>
        </w:rPr>
        <w:t xml:space="preserve">. (Accessed on 3 November 2023). </w:t>
      </w:r>
      <w:r w:rsidRPr="0E64EED9">
        <w:rPr>
          <w:rFonts w:ascii="Calibri" w:hAnsi="Calibri" w:eastAsia="Calibri" w:cs="Calibri"/>
          <w:sz w:val="24"/>
          <w:szCs w:val="24"/>
        </w:rPr>
        <w:t xml:space="preserve"> </w:t>
      </w:r>
    </w:p>
    <w:p w:rsidR="4DA091D1" w:rsidP="0E64EED9" w:rsidRDefault="4DA091D1" w14:paraId="132D4339" w14:textId="1710FC38">
      <w:r w:rsidRPr="0E64EED9">
        <w:rPr>
          <w:rFonts w:ascii="Calibri" w:hAnsi="Calibri" w:eastAsia="Calibri" w:cs="Calibri"/>
          <w:color w:val="000000" w:themeColor="text1"/>
          <w:sz w:val="24"/>
          <w:szCs w:val="24"/>
        </w:rPr>
        <w:t xml:space="preserve">Can, Ş., </w:t>
      </w:r>
      <w:proofErr w:type="spellStart"/>
      <w:r w:rsidRPr="0E64EED9">
        <w:rPr>
          <w:rFonts w:ascii="Calibri" w:hAnsi="Calibri" w:eastAsia="Calibri" w:cs="Calibri"/>
          <w:color w:val="000000" w:themeColor="text1"/>
          <w:sz w:val="24"/>
          <w:szCs w:val="24"/>
        </w:rPr>
        <w:t>Durgun</w:t>
      </w:r>
      <w:proofErr w:type="spellEnd"/>
      <w:r w:rsidRPr="0E64EED9">
        <w:rPr>
          <w:rFonts w:ascii="Calibri" w:hAnsi="Calibri" w:eastAsia="Calibri" w:cs="Calibri"/>
          <w:color w:val="000000" w:themeColor="text1"/>
          <w:sz w:val="24"/>
          <w:szCs w:val="24"/>
        </w:rPr>
        <w:t xml:space="preserve">, H. and </w:t>
      </w:r>
      <w:proofErr w:type="spellStart"/>
      <w:r w:rsidRPr="0E64EED9">
        <w:rPr>
          <w:rFonts w:ascii="Calibri" w:hAnsi="Calibri" w:eastAsia="Calibri" w:cs="Calibri"/>
          <w:color w:val="000000" w:themeColor="text1"/>
          <w:sz w:val="24"/>
          <w:szCs w:val="24"/>
        </w:rPr>
        <w:t>Dalcalı</w:t>
      </w:r>
      <w:proofErr w:type="spellEnd"/>
      <w:r w:rsidRPr="0E64EED9">
        <w:rPr>
          <w:rFonts w:ascii="Calibri" w:hAnsi="Calibri" w:eastAsia="Calibri" w:cs="Calibri"/>
          <w:color w:val="000000" w:themeColor="text1"/>
          <w:sz w:val="24"/>
          <w:szCs w:val="24"/>
        </w:rPr>
        <w:t xml:space="preserve">, B.K. (2022) ‘Effect of online communication skills training on effective communication and self-efficacy and self-regulated learning skills of nursing students: A randomized controlled study’, </w:t>
      </w:r>
      <w:r w:rsidRPr="0E64EED9">
        <w:rPr>
          <w:rFonts w:ascii="Calibri" w:hAnsi="Calibri" w:eastAsia="Calibri" w:cs="Calibri"/>
          <w:i/>
          <w:iCs/>
          <w:color w:val="000000" w:themeColor="text1"/>
          <w:sz w:val="24"/>
          <w:szCs w:val="24"/>
        </w:rPr>
        <w:t>Nurse education in practice</w:t>
      </w:r>
      <w:r w:rsidRPr="0E64EED9">
        <w:rPr>
          <w:rFonts w:ascii="Calibri" w:hAnsi="Calibri" w:eastAsia="Calibri" w:cs="Calibri"/>
          <w:color w:val="000000" w:themeColor="text1"/>
          <w:sz w:val="24"/>
          <w:szCs w:val="24"/>
        </w:rPr>
        <w:t xml:space="preserve">, 63, pp. 103371–103371. </w:t>
      </w:r>
      <w:r w:rsidRPr="0E64EED9">
        <w:rPr>
          <w:rFonts w:ascii="Calibri" w:hAnsi="Calibri" w:eastAsia="Calibri" w:cs="Calibri"/>
          <w:sz w:val="24"/>
          <w:szCs w:val="24"/>
        </w:rPr>
        <w:t xml:space="preserve"> </w:t>
      </w:r>
    </w:p>
    <w:p w:rsidR="36C083F0" w:rsidP="0E64EED9" w:rsidRDefault="36C083F0" w14:paraId="7F410F32" w14:textId="71D0010B">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Care quality commission (2022) </w:t>
      </w:r>
      <w:r w:rsidRPr="0E64EED9">
        <w:rPr>
          <w:rFonts w:ascii="Calibri" w:hAnsi="Calibri" w:eastAsia="Calibri" w:cs="Calibri"/>
          <w:i/>
          <w:iCs/>
          <w:color w:val="000000" w:themeColor="text1"/>
          <w:sz w:val="24"/>
          <w:szCs w:val="24"/>
        </w:rPr>
        <w:t xml:space="preserve">Better care through collaboration. </w:t>
      </w:r>
      <w:r w:rsidRPr="0E64EED9">
        <w:rPr>
          <w:rFonts w:ascii="Calibri" w:hAnsi="Calibri" w:eastAsia="Calibri" w:cs="Calibri"/>
          <w:color w:val="000000" w:themeColor="text1"/>
          <w:sz w:val="24"/>
          <w:szCs w:val="24"/>
        </w:rPr>
        <w:t xml:space="preserve">Available at: </w:t>
      </w:r>
      <w:hyperlink r:id="rId5">
        <w:r w:rsidRPr="0E64EED9">
          <w:rPr>
            <w:rStyle w:val="Hyperlink"/>
            <w:rFonts w:ascii="Calibri" w:hAnsi="Calibri" w:eastAsia="Calibri" w:cs="Calibri"/>
            <w:sz w:val="24"/>
            <w:szCs w:val="24"/>
          </w:rPr>
          <w:t>Better care through collaboration - Care Quality Commission (cqc.org.uk)</w:t>
        </w:r>
      </w:hyperlink>
      <w:r w:rsidRPr="0E64EED9">
        <w:rPr>
          <w:rFonts w:ascii="Calibri" w:hAnsi="Calibri" w:eastAsia="Calibri" w:cs="Calibri"/>
          <w:color w:val="000000" w:themeColor="text1"/>
          <w:sz w:val="24"/>
          <w:szCs w:val="24"/>
        </w:rPr>
        <w:t xml:space="preserve"> (Accessed 5 November 2023).</w:t>
      </w:r>
    </w:p>
    <w:p w:rsidR="20AA09C4" w:rsidP="0E64EED9" w:rsidRDefault="20AA09C4" w14:paraId="04666F4E" w14:textId="43A4FA40">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Care Quality Commission (2022) </w:t>
      </w:r>
      <w:r w:rsidRPr="0E64EED9">
        <w:rPr>
          <w:rFonts w:ascii="Calibri" w:hAnsi="Calibri" w:eastAsia="Calibri" w:cs="Calibri"/>
          <w:i/>
          <w:iCs/>
          <w:color w:val="000000" w:themeColor="text1"/>
          <w:sz w:val="24"/>
          <w:szCs w:val="24"/>
        </w:rPr>
        <w:t xml:space="preserve">Medicine administration records in adult social care. </w:t>
      </w:r>
      <w:r w:rsidRPr="0E64EED9">
        <w:rPr>
          <w:rFonts w:ascii="Calibri" w:hAnsi="Calibri" w:eastAsia="Calibri" w:cs="Calibri"/>
          <w:color w:val="000000" w:themeColor="text1"/>
          <w:sz w:val="24"/>
          <w:szCs w:val="24"/>
        </w:rPr>
        <w:t xml:space="preserve">Available at: </w:t>
      </w:r>
      <w:hyperlink r:id="rId6">
        <w:r w:rsidRPr="0E64EED9">
          <w:rPr>
            <w:rStyle w:val="Hyperlink"/>
            <w:rFonts w:ascii="Calibri" w:hAnsi="Calibri" w:eastAsia="Calibri" w:cs="Calibri"/>
            <w:sz w:val="24"/>
            <w:szCs w:val="24"/>
          </w:rPr>
          <w:t>https://www.cqc.org.uk/guidance-providers/adult-social-care/medicines-administration-records-adult-social-care</w:t>
        </w:r>
      </w:hyperlink>
      <w:r w:rsidRPr="0E64EED9">
        <w:rPr>
          <w:rFonts w:ascii="Calibri" w:hAnsi="Calibri" w:eastAsia="Calibri" w:cs="Calibri"/>
          <w:color w:val="39363C"/>
          <w:sz w:val="24"/>
          <w:szCs w:val="24"/>
        </w:rPr>
        <w:t>. (Accessed on 20 November 2023).</w:t>
      </w:r>
    </w:p>
    <w:p w:rsidR="5672A84B" w:rsidP="0E64EED9" w:rsidRDefault="5672A84B" w14:paraId="368E5E9A" w14:textId="5F2A4F03">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Faiman</w:t>
      </w:r>
      <w:proofErr w:type="spellEnd"/>
      <w:r w:rsidRPr="0E64EED9">
        <w:rPr>
          <w:rFonts w:ascii="Calibri" w:hAnsi="Calibri" w:eastAsia="Calibri" w:cs="Calibri"/>
          <w:color w:val="000000" w:themeColor="text1"/>
          <w:sz w:val="24"/>
          <w:szCs w:val="24"/>
        </w:rPr>
        <w:t xml:space="preserve">, B. and </w:t>
      </w:r>
      <w:proofErr w:type="spellStart"/>
      <w:r w:rsidRPr="0E64EED9">
        <w:rPr>
          <w:rFonts w:ascii="Calibri" w:hAnsi="Calibri" w:eastAsia="Calibri" w:cs="Calibri"/>
          <w:color w:val="000000" w:themeColor="text1"/>
          <w:sz w:val="24"/>
          <w:szCs w:val="24"/>
        </w:rPr>
        <w:t>Tariman</w:t>
      </w:r>
      <w:proofErr w:type="spellEnd"/>
      <w:r w:rsidRPr="0E64EED9">
        <w:rPr>
          <w:rFonts w:ascii="Calibri" w:hAnsi="Calibri" w:eastAsia="Calibri" w:cs="Calibri"/>
          <w:color w:val="000000" w:themeColor="text1"/>
          <w:sz w:val="24"/>
          <w:szCs w:val="24"/>
        </w:rPr>
        <w:t xml:space="preserve">, J.D. (2019) ‘Shared Decision Making: Improving Patient Outcomes by Understanding the Benefits of and Barriers to Effective Communication’, </w:t>
      </w:r>
      <w:r w:rsidRPr="0E64EED9">
        <w:rPr>
          <w:rFonts w:ascii="Calibri" w:hAnsi="Calibri" w:eastAsia="Calibri" w:cs="Calibri"/>
          <w:i/>
          <w:iCs/>
          <w:color w:val="000000" w:themeColor="text1"/>
          <w:sz w:val="24"/>
          <w:szCs w:val="24"/>
        </w:rPr>
        <w:t>Clinical journal of oncology nursing</w:t>
      </w:r>
      <w:r w:rsidRPr="0E64EED9">
        <w:rPr>
          <w:rFonts w:ascii="Calibri" w:hAnsi="Calibri" w:eastAsia="Calibri" w:cs="Calibri"/>
          <w:color w:val="000000" w:themeColor="text1"/>
          <w:sz w:val="24"/>
          <w:szCs w:val="24"/>
        </w:rPr>
        <w:t>, 23(5), pp. 540–542.</w:t>
      </w:r>
    </w:p>
    <w:p w:rsidR="5672A84B" w:rsidP="0E64EED9" w:rsidRDefault="5672A84B" w14:paraId="4A6574B8" w14:textId="752909DD">
      <w:pPr>
        <w:rPr>
          <w:rFonts w:ascii="Calibri" w:hAnsi="Calibri" w:eastAsia="Calibri" w:cs="Calibri"/>
          <w:color w:val="000000" w:themeColor="text1"/>
          <w:sz w:val="24"/>
          <w:szCs w:val="24"/>
        </w:rPr>
      </w:pPr>
      <w:r w:rsidRPr="0E64EED9">
        <w:rPr>
          <w:rFonts w:ascii="Calibri" w:hAnsi="Calibri" w:eastAsia="Calibri" w:cs="Calibri"/>
          <w:color w:val="000000" w:themeColor="text1"/>
          <w:sz w:val="24"/>
          <w:szCs w:val="24"/>
        </w:rPr>
        <w:t>Gibbs Reflective cycle 1988.</w:t>
      </w:r>
    </w:p>
    <w:p w:rsidR="36C083F0" w:rsidP="0E64EED9" w:rsidRDefault="36C083F0" w14:paraId="67689190" w14:textId="6DC37FEF">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Guck, T. </w:t>
      </w:r>
      <w:proofErr w:type="spellStart"/>
      <w:r w:rsidRPr="0E64EED9">
        <w:rPr>
          <w:rFonts w:ascii="Calibri" w:hAnsi="Calibri" w:eastAsia="Calibri" w:cs="Calibri"/>
          <w:color w:val="000000" w:themeColor="text1"/>
          <w:sz w:val="24"/>
          <w:szCs w:val="24"/>
        </w:rPr>
        <w:t>Potthoff</w:t>
      </w:r>
      <w:proofErr w:type="spellEnd"/>
      <w:r w:rsidRPr="0E64EED9">
        <w:rPr>
          <w:rFonts w:ascii="Calibri" w:hAnsi="Calibri" w:eastAsia="Calibri" w:cs="Calibri"/>
          <w:color w:val="000000" w:themeColor="text1"/>
          <w:sz w:val="24"/>
          <w:szCs w:val="24"/>
        </w:rPr>
        <w:t xml:space="preserve">, M. Walters, R. Doll, J. Greene, M. </w:t>
      </w:r>
      <w:proofErr w:type="spellStart"/>
      <w:r w:rsidRPr="0E64EED9">
        <w:rPr>
          <w:rFonts w:ascii="Calibri" w:hAnsi="Calibri" w:eastAsia="Calibri" w:cs="Calibri"/>
          <w:color w:val="000000" w:themeColor="text1"/>
          <w:sz w:val="24"/>
          <w:szCs w:val="24"/>
        </w:rPr>
        <w:t>DeFreece</w:t>
      </w:r>
      <w:proofErr w:type="spellEnd"/>
      <w:r w:rsidRPr="0E64EED9">
        <w:rPr>
          <w:rFonts w:ascii="Calibri" w:hAnsi="Calibri" w:eastAsia="Calibri" w:cs="Calibri"/>
          <w:color w:val="000000" w:themeColor="text1"/>
          <w:sz w:val="24"/>
          <w:szCs w:val="24"/>
        </w:rPr>
        <w:t xml:space="preserve">, T.(2019) Improved outcomes associated with </w:t>
      </w:r>
      <w:proofErr w:type="spellStart"/>
      <w:r w:rsidRPr="0E64EED9">
        <w:rPr>
          <w:rFonts w:ascii="Calibri" w:hAnsi="Calibri" w:eastAsia="Calibri" w:cs="Calibri"/>
          <w:color w:val="000000" w:themeColor="text1"/>
          <w:sz w:val="24"/>
          <w:szCs w:val="24"/>
        </w:rPr>
        <w:t>interprofessional</w:t>
      </w:r>
      <w:proofErr w:type="spellEnd"/>
      <w:r w:rsidRPr="0E64EED9">
        <w:rPr>
          <w:rFonts w:ascii="Calibri" w:hAnsi="Calibri" w:eastAsia="Calibri" w:cs="Calibri"/>
          <w:color w:val="000000" w:themeColor="text1"/>
          <w:sz w:val="24"/>
          <w:szCs w:val="24"/>
        </w:rPr>
        <w:t xml:space="preserve"> collaborative practice, </w:t>
      </w:r>
      <w:r w:rsidRPr="0E64EED9">
        <w:rPr>
          <w:rFonts w:ascii="Calibri" w:hAnsi="Calibri" w:eastAsia="Calibri" w:cs="Calibri"/>
          <w:i/>
          <w:iCs/>
          <w:color w:val="000000" w:themeColor="text1"/>
          <w:sz w:val="24"/>
          <w:szCs w:val="24"/>
        </w:rPr>
        <w:t xml:space="preserve">Annals of family medicine, </w:t>
      </w:r>
      <w:r w:rsidRPr="0E64EED9">
        <w:rPr>
          <w:rFonts w:ascii="Calibri" w:hAnsi="Calibri" w:eastAsia="Calibri" w:cs="Calibri"/>
          <w:color w:val="000000" w:themeColor="text1"/>
          <w:sz w:val="24"/>
          <w:szCs w:val="24"/>
        </w:rPr>
        <w:t>17(1), pp. S82-S82</w:t>
      </w:r>
      <w:r w:rsidRPr="0E64EED9">
        <w:rPr>
          <w:rFonts w:ascii="Calibri" w:hAnsi="Calibri" w:eastAsia="Calibri" w:cs="Calibri"/>
          <w:i/>
          <w:iCs/>
          <w:color w:val="000000" w:themeColor="text1"/>
          <w:sz w:val="24"/>
          <w:szCs w:val="24"/>
        </w:rPr>
        <w:t>.</w:t>
      </w:r>
    </w:p>
    <w:p w:rsidR="36C083F0" w:rsidP="0E64EED9" w:rsidRDefault="36C083F0" w14:paraId="3C2C603A" w14:textId="56BEA7F9">
      <w:r w:rsidRPr="0E64EED9">
        <w:rPr>
          <w:rFonts w:ascii="Calibri" w:hAnsi="Calibri" w:eastAsia="Calibri" w:cs="Calibri"/>
          <w:color w:val="000000" w:themeColor="text1"/>
          <w:sz w:val="24"/>
          <w:szCs w:val="24"/>
        </w:rPr>
        <w:t xml:space="preserve">Indeed (2022) </w:t>
      </w:r>
      <w:r w:rsidRPr="0E64EED9">
        <w:rPr>
          <w:rFonts w:ascii="Calibri" w:hAnsi="Calibri" w:eastAsia="Calibri" w:cs="Calibri"/>
          <w:i/>
          <w:iCs/>
          <w:color w:val="000000" w:themeColor="text1"/>
          <w:sz w:val="24"/>
          <w:szCs w:val="24"/>
        </w:rPr>
        <w:t xml:space="preserve">What does collaboration mean in the workplace? </w:t>
      </w:r>
      <w:hyperlink r:id="rId7">
        <w:r w:rsidRPr="0E64EED9">
          <w:rPr>
            <w:rStyle w:val="Hyperlink"/>
            <w:rFonts w:ascii="Calibri" w:hAnsi="Calibri" w:eastAsia="Calibri" w:cs="Calibri"/>
            <w:sz w:val="24"/>
            <w:szCs w:val="24"/>
          </w:rPr>
          <w:t>https://uk.indeed.com/career-advice/career-development/what-does-collaboration-mean</w:t>
        </w:r>
      </w:hyperlink>
      <w:r w:rsidRPr="0E64EED9">
        <w:rPr>
          <w:rFonts w:ascii="Calibri" w:hAnsi="Calibri" w:eastAsia="Calibri" w:cs="Calibri"/>
          <w:color w:val="000000" w:themeColor="text1"/>
          <w:sz w:val="24"/>
          <w:szCs w:val="24"/>
        </w:rPr>
        <w:t xml:space="preserve">. (Accessed on 3 November 2023). </w:t>
      </w:r>
      <w:r w:rsidRPr="0E64EED9">
        <w:rPr>
          <w:rFonts w:ascii="Calibri" w:hAnsi="Calibri" w:eastAsia="Calibri" w:cs="Calibri"/>
          <w:sz w:val="24"/>
          <w:szCs w:val="24"/>
        </w:rPr>
        <w:t xml:space="preserve"> </w:t>
      </w:r>
    </w:p>
    <w:p w:rsidR="36C083F0" w:rsidP="0E64EED9" w:rsidRDefault="36C083F0" w14:paraId="4FC3128B" w14:textId="7DE0B03D">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Institute for collaborative working (2023) </w:t>
      </w:r>
      <w:r w:rsidRPr="0E64EED9">
        <w:rPr>
          <w:rFonts w:ascii="Calibri" w:hAnsi="Calibri" w:eastAsia="Calibri" w:cs="Calibri"/>
          <w:i/>
          <w:iCs/>
          <w:color w:val="000000" w:themeColor="text1"/>
          <w:sz w:val="24"/>
          <w:szCs w:val="24"/>
        </w:rPr>
        <w:t xml:space="preserve">What is collaborative working?. </w:t>
      </w:r>
      <w:r w:rsidRPr="0E64EED9">
        <w:rPr>
          <w:rFonts w:ascii="Calibri" w:hAnsi="Calibri" w:eastAsia="Calibri" w:cs="Calibri"/>
          <w:color w:val="000000" w:themeColor="text1"/>
          <w:sz w:val="24"/>
          <w:szCs w:val="24"/>
        </w:rPr>
        <w:t xml:space="preserve">Available at: </w:t>
      </w:r>
      <w:hyperlink r:id="rId8">
        <w:r w:rsidRPr="0E64EED9">
          <w:rPr>
            <w:rStyle w:val="Hyperlink"/>
            <w:rFonts w:ascii="Calibri" w:hAnsi="Calibri" w:eastAsia="Calibri" w:cs="Calibri"/>
            <w:sz w:val="24"/>
            <w:szCs w:val="24"/>
          </w:rPr>
          <w:t>https://instituteforcollaborativeworking.com/About-ICW/What-is-Collaborative-Working</w:t>
        </w:r>
      </w:hyperlink>
      <w:r w:rsidRPr="0E64EED9">
        <w:rPr>
          <w:rFonts w:ascii="Calibri" w:hAnsi="Calibri" w:eastAsia="Calibri" w:cs="Calibri"/>
          <w:color w:val="000000" w:themeColor="text1"/>
          <w:sz w:val="24"/>
          <w:szCs w:val="24"/>
        </w:rPr>
        <w:t>. (Accessed on 3 November 2023).</w:t>
      </w:r>
    </w:p>
    <w:p w:rsidR="36C083F0" w:rsidP="0E64EED9" w:rsidRDefault="36C083F0" w14:paraId="7A195EED" w14:textId="51BD0E45">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Johnson and </w:t>
      </w:r>
      <w:proofErr w:type="spellStart"/>
      <w:r w:rsidRPr="0E64EED9">
        <w:rPr>
          <w:rFonts w:ascii="Calibri" w:hAnsi="Calibri" w:eastAsia="Calibri" w:cs="Calibri"/>
          <w:color w:val="000000" w:themeColor="text1"/>
          <w:sz w:val="24"/>
          <w:szCs w:val="24"/>
        </w:rPr>
        <w:t>johnson</w:t>
      </w:r>
      <w:proofErr w:type="spellEnd"/>
      <w:r w:rsidRPr="0E64EED9">
        <w:rPr>
          <w:rFonts w:ascii="Calibri" w:hAnsi="Calibri" w:eastAsia="Calibri" w:cs="Calibri"/>
          <w:color w:val="000000" w:themeColor="text1"/>
          <w:sz w:val="24"/>
          <w:szCs w:val="24"/>
        </w:rPr>
        <w:t xml:space="preserve"> (2023) </w:t>
      </w:r>
      <w:r w:rsidRPr="0E64EED9">
        <w:rPr>
          <w:rFonts w:ascii="Calibri" w:hAnsi="Calibri" w:eastAsia="Calibri" w:cs="Calibri"/>
          <w:i/>
          <w:iCs/>
          <w:color w:val="000000" w:themeColor="text1"/>
          <w:sz w:val="24"/>
          <w:szCs w:val="24"/>
        </w:rPr>
        <w:t xml:space="preserve">The importance of </w:t>
      </w:r>
      <w:proofErr w:type="spellStart"/>
      <w:r w:rsidRPr="0E64EED9">
        <w:rPr>
          <w:rFonts w:ascii="Calibri" w:hAnsi="Calibri" w:eastAsia="Calibri" w:cs="Calibri"/>
          <w:i/>
          <w:iCs/>
          <w:color w:val="000000" w:themeColor="text1"/>
          <w:sz w:val="24"/>
          <w:szCs w:val="24"/>
        </w:rPr>
        <w:t>interprofessional</w:t>
      </w:r>
      <w:proofErr w:type="spellEnd"/>
      <w:r w:rsidRPr="0E64EED9">
        <w:rPr>
          <w:rFonts w:ascii="Calibri" w:hAnsi="Calibri" w:eastAsia="Calibri" w:cs="Calibri"/>
          <w:i/>
          <w:iCs/>
          <w:color w:val="000000" w:themeColor="text1"/>
          <w:sz w:val="24"/>
          <w:szCs w:val="24"/>
        </w:rPr>
        <w:t xml:space="preserve"> collaboration in healthcare. </w:t>
      </w:r>
      <w:r w:rsidRPr="0E64EED9">
        <w:rPr>
          <w:rFonts w:ascii="Calibri" w:hAnsi="Calibri" w:eastAsia="Calibri" w:cs="Calibri"/>
          <w:color w:val="000000" w:themeColor="text1"/>
          <w:sz w:val="24"/>
          <w:szCs w:val="24"/>
        </w:rPr>
        <w:t>Available at:</w:t>
      </w:r>
      <w:hyperlink r:id="rId9">
        <w:r w:rsidRPr="0E64EED9">
          <w:rPr>
            <w:rStyle w:val="Hyperlink"/>
            <w:rFonts w:ascii="Calibri" w:hAnsi="Calibri" w:eastAsia="Calibri" w:cs="Calibri"/>
            <w:sz w:val="24"/>
            <w:szCs w:val="24"/>
          </w:rPr>
          <w:t>https://nursing.jnj.com/getting-real-nursing-today/the-importance-of-interprofessional-collaboration-in-healthcare</w:t>
        </w:r>
      </w:hyperlink>
      <w:r w:rsidRPr="0E64EED9">
        <w:rPr>
          <w:rFonts w:ascii="Calibri" w:hAnsi="Calibri" w:eastAsia="Calibri" w:cs="Calibri"/>
          <w:color w:val="000000" w:themeColor="text1"/>
          <w:sz w:val="24"/>
          <w:szCs w:val="24"/>
        </w:rPr>
        <w:t>. (Accessed on 15 November 2023).</w:t>
      </w:r>
    </w:p>
    <w:p w:rsidR="0C457703" w:rsidP="0E64EED9" w:rsidRDefault="0C457703" w14:paraId="4FA6950F" w14:textId="38B6773F">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Kriz</w:t>
      </w:r>
      <w:proofErr w:type="spellEnd"/>
      <w:r w:rsidRPr="0E64EED9">
        <w:rPr>
          <w:rFonts w:ascii="Calibri" w:hAnsi="Calibri" w:eastAsia="Calibri" w:cs="Calibri"/>
          <w:color w:val="000000" w:themeColor="text1"/>
          <w:sz w:val="24"/>
          <w:szCs w:val="24"/>
        </w:rPr>
        <w:t xml:space="preserve"> TD, </w:t>
      </w:r>
      <w:proofErr w:type="spellStart"/>
      <w:r w:rsidRPr="0E64EED9">
        <w:rPr>
          <w:rFonts w:ascii="Calibri" w:hAnsi="Calibri" w:eastAsia="Calibri" w:cs="Calibri"/>
          <w:color w:val="000000" w:themeColor="text1"/>
          <w:sz w:val="24"/>
          <w:szCs w:val="24"/>
        </w:rPr>
        <w:t>Kluger</w:t>
      </w:r>
      <w:proofErr w:type="spellEnd"/>
      <w:r w:rsidRPr="0E64EED9">
        <w:rPr>
          <w:rFonts w:ascii="Calibri" w:hAnsi="Calibri" w:eastAsia="Calibri" w:cs="Calibri"/>
          <w:color w:val="000000" w:themeColor="text1"/>
          <w:sz w:val="24"/>
          <w:szCs w:val="24"/>
        </w:rPr>
        <w:t xml:space="preserve"> AN and </w:t>
      </w:r>
      <w:proofErr w:type="spellStart"/>
      <w:r w:rsidRPr="0E64EED9">
        <w:rPr>
          <w:rFonts w:ascii="Calibri" w:hAnsi="Calibri" w:eastAsia="Calibri" w:cs="Calibri"/>
          <w:color w:val="000000" w:themeColor="text1"/>
          <w:sz w:val="24"/>
          <w:szCs w:val="24"/>
        </w:rPr>
        <w:t>Lyddy</w:t>
      </w:r>
      <w:proofErr w:type="spellEnd"/>
      <w:r w:rsidRPr="0E64EED9">
        <w:rPr>
          <w:rFonts w:ascii="Calibri" w:hAnsi="Calibri" w:eastAsia="Calibri" w:cs="Calibri"/>
          <w:color w:val="000000" w:themeColor="text1"/>
          <w:sz w:val="24"/>
          <w:szCs w:val="24"/>
        </w:rPr>
        <w:t xml:space="preserve"> CJ (2021) Feeling Heard: Experiences of Listening (or Not) at Work, Frontiers in Psychology, 12, pp. 1-18.</w:t>
      </w:r>
    </w:p>
    <w:p w:rsidR="0C457703" w:rsidP="0E64EED9" w:rsidRDefault="0C457703" w14:paraId="1CA8EAB8" w14:textId="24ED3A3B">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Leape</w:t>
      </w:r>
      <w:proofErr w:type="spellEnd"/>
      <w:r w:rsidRPr="0E64EED9">
        <w:rPr>
          <w:rFonts w:ascii="Calibri" w:hAnsi="Calibri" w:eastAsia="Calibri" w:cs="Calibri"/>
          <w:color w:val="000000" w:themeColor="text1"/>
          <w:sz w:val="24"/>
          <w:szCs w:val="24"/>
        </w:rPr>
        <w:t xml:space="preserve">, L.L. (2021) </w:t>
      </w:r>
      <w:r w:rsidRPr="0E64EED9">
        <w:rPr>
          <w:rFonts w:ascii="Calibri" w:hAnsi="Calibri" w:eastAsia="Calibri" w:cs="Calibri"/>
          <w:i/>
          <w:iCs/>
          <w:color w:val="000000" w:themeColor="text1"/>
          <w:sz w:val="24"/>
          <w:szCs w:val="24"/>
        </w:rPr>
        <w:t>Making Healthcare Safe : The Story of the Patient Safety Movement.</w:t>
      </w:r>
      <w:r w:rsidRPr="0E64EED9">
        <w:rPr>
          <w:rFonts w:ascii="Calibri" w:hAnsi="Calibri" w:eastAsia="Calibri" w:cs="Calibri"/>
          <w:color w:val="000000" w:themeColor="text1"/>
          <w:sz w:val="24"/>
          <w:szCs w:val="24"/>
        </w:rPr>
        <w:t xml:space="preserve"> Cham: Springer Nature.</w:t>
      </w:r>
    </w:p>
    <w:p w:rsidR="36C083F0" w:rsidP="0E64EED9" w:rsidRDefault="36C083F0" w14:paraId="2E72B696" w14:textId="23218E8E">
      <w:pPr>
        <w:rPr>
          <w:rFonts w:ascii="Calibri" w:hAnsi="Calibri" w:eastAsia="Calibri" w:cs="Calibri"/>
          <w:color w:val="000000" w:themeColor="text1"/>
          <w:sz w:val="24"/>
          <w:szCs w:val="24"/>
        </w:rPr>
      </w:pPr>
      <w:proofErr w:type="spellStart"/>
      <w:r w:rsidRPr="0E64EED9">
        <w:rPr>
          <w:rFonts w:eastAsiaTheme="minorEastAsia"/>
          <w:color w:val="000000" w:themeColor="text1"/>
          <w:sz w:val="24"/>
          <w:szCs w:val="24"/>
        </w:rPr>
        <w:t>McLaney</w:t>
      </w:r>
      <w:proofErr w:type="spellEnd"/>
      <w:r w:rsidRPr="0E64EED9">
        <w:rPr>
          <w:rFonts w:eastAsiaTheme="minorEastAsia"/>
          <w:color w:val="000000" w:themeColor="text1"/>
          <w:sz w:val="24"/>
          <w:szCs w:val="24"/>
        </w:rPr>
        <w:t xml:space="preserve">, E. </w:t>
      </w:r>
      <w:proofErr w:type="spellStart"/>
      <w:r w:rsidRPr="0E64EED9">
        <w:rPr>
          <w:rFonts w:eastAsiaTheme="minorEastAsia"/>
          <w:color w:val="000000" w:themeColor="text1"/>
          <w:sz w:val="24"/>
          <w:szCs w:val="24"/>
        </w:rPr>
        <w:t>Morassaei</w:t>
      </w:r>
      <w:proofErr w:type="spellEnd"/>
      <w:r w:rsidRPr="0E64EED9">
        <w:rPr>
          <w:rFonts w:eastAsiaTheme="minorEastAsia"/>
          <w:color w:val="000000" w:themeColor="text1"/>
          <w:sz w:val="24"/>
          <w:szCs w:val="24"/>
        </w:rPr>
        <w:t xml:space="preserve">, S. Hughes, L. Davies, R. Campbell, M. Di Prospero, L. (2022) A framework for </w:t>
      </w:r>
      <w:proofErr w:type="spellStart"/>
      <w:r w:rsidRPr="0E64EED9">
        <w:rPr>
          <w:rFonts w:eastAsiaTheme="minorEastAsia"/>
          <w:color w:val="000000" w:themeColor="text1"/>
          <w:sz w:val="24"/>
          <w:szCs w:val="24"/>
        </w:rPr>
        <w:t>interprofessional</w:t>
      </w:r>
      <w:proofErr w:type="spellEnd"/>
      <w:r w:rsidRPr="0E64EED9">
        <w:rPr>
          <w:rFonts w:eastAsiaTheme="minorEastAsia"/>
          <w:color w:val="000000" w:themeColor="text1"/>
          <w:sz w:val="24"/>
          <w:szCs w:val="24"/>
        </w:rPr>
        <w:t xml:space="preserve"> team collaboration in a hospital setting: Advancing team competencies and behaviours, Sage journals, 35(2), pp. 112-117. </w:t>
      </w:r>
    </w:p>
    <w:p w:rsidR="3A68CC8E" w:rsidP="0E64EED9" w:rsidRDefault="3A68CC8E" w14:paraId="32D1347B" w14:textId="471FA440">
      <w:pPr>
        <w:keepNext/>
        <w:keepLines/>
        <w:rPr>
          <w:rFonts w:ascii="Calibri" w:hAnsi="Calibri" w:eastAsia="Calibri" w:cs="Calibri"/>
        </w:rPr>
      </w:pPr>
      <w:r w:rsidRPr="0E64EED9">
        <w:rPr>
          <w:rFonts w:ascii="Calibri" w:hAnsi="Calibri" w:eastAsia="Calibri" w:cs="Calibri"/>
          <w:color w:val="000000" w:themeColor="text1"/>
          <w:sz w:val="24"/>
          <w:szCs w:val="24"/>
        </w:rPr>
        <w:t xml:space="preserve">Morgan, K. (2023) </w:t>
      </w:r>
      <w:r w:rsidRPr="0E64EED9">
        <w:rPr>
          <w:rFonts w:ascii="Calibri" w:hAnsi="Calibri" w:eastAsia="Calibri" w:cs="Calibri"/>
          <w:i/>
          <w:iCs/>
          <w:color w:val="000000" w:themeColor="text1"/>
          <w:sz w:val="24"/>
          <w:szCs w:val="24"/>
        </w:rPr>
        <w:t>Alzheimer's vs normal signs of aging: how to tell the difference.</w:t>
      </w:r>
      <w:r w:rsidRPr="0E64EED9">
        <w:rPr>
          <w:rFonts w:ascii="Calibri" w:hAnsi="Calibri" w:eastAsia="Calibri" w:cs="Calibri"/>
          <w:color w:val="000000" w:themeColor="text1"/>
          <w:sz w:val="24"/>
          <w:szCs w:val="24"/>
        </w:rPr>
        <w:t xml:space="preserve"> Available at: </w:t>
      </w:r>
      <w:hyperlink r:id="rId10">
        <w:r w:rsidRPr="0E64EED9">
          <w:rPr>
            <w:rStyle w:val="Hyperlink"/>
            <w:rFonts w:ascii="Calibri" w:hAnsi="Calibri" w:eastAsia="Calibri" w:cs="Calibri"/>
            <w:sz w:val="24"/>
            <w:szCs w:val="24"/>
          </w:rPr>
          <w:t>https://www.webmd.com/alzheimers/ss/slideshow-is-it-aging-or-alzheimers</w:t>
        </w:r>
      </w:hyperlink>
      <w:r w:rsidRPr="0E64EED9">
        <w:rPr>
          <w:rFonts w:ascii="Calibri" w:hAnsi="Calibri" w:eastAsia="Calibri" w:cs="Calibri"/>
          <w:color w:val="212121"/>
          <w:sz w:val="24"/>
          <w:szCs w:val="24"/>
        </w:rPr>
        <w:t>. (Accessed on 12 November 2023).</w:t>
      </w:r>
    </w:p>
    <w:p w:rsidR="36C083F0" w:rsidP="0E64EED9" w:rsidRDefault="36C083F0" w14:paraId="016FD738" w14:textId="59E2A93B">
      <w:pPr>
        <w:keepNext/>
        <w:keepLines/>
        <w:rPr>
          <w:rFonts w:ascii="Calibri" w:hAnsi="Calibri" w:eastAsia="Calibri" w:cs="Calibri"/>
          <w:color w:val="000000" w:themeColor="text1"/>
          <w:sz w:val="24"/>
          <w:szCs w:val="24"/>
        </w:rPr>
      </w:pPr>
      <w:r w:rsidRPr="0E64EED9">
        <w:rPr>
          <w:rFonts w:ascii="Calibri" w:hAnsi="Calibri" w:eastAsia="Calibri" w:cs="Calibri"/>
          <w:color w:val="000000" w:themeColor="text1"/>
          <w:sz w:val="24"/>
          <w:szCs w:val="24"/>
        </w:rPr>
        <w:t xml:space="preserve">Morgan, KH. Barroso, CS. Bateman, S. Dixson, M. Brown, KC. (2020) Patients’ Experiences of </w:t>
      </w:r>
      <w:proofErr w:type="spellStart"/>
      <w:r w:rsidRPr="0E64EED9">
        <w:rPr>
          <w:rFonts w:ascii="Calibri" w:hAnsi="Calibri" w:eastAsia="Calibri" w:cs="Calibri"/>
          <w:color w:val="000000" w:themeColor="text1"/>
          <w:sz w:val="24"/>
          <w:szCs w:val="24"/>
        </w:rPr>
        <w:t>Interprofessional</w:t>
      </w:r>
      <w:proofErr w:type="spellEnd"/>
      <w:r w:rsidRPr="0E64EED9">
        <w:rPr>
          <w:rFonts w:ascii="Calibri" w:hAnsi="Calibri" w:eastAsia="Calibri" w:cs="Calibri"/>
          <w:color w:val="000000" w:themeColor="text1"/>
          <w:sz w:val="24"/>
          <w:szCs w:val="24"/>
        </w:rPr>
        <w:t xml:space="preserve"> Collaborative Practice in Primary Care: A Scoping Review of the Literature. </w:t>
      </w:r>
      <w:r w:rsidRPr="0E64EED9">
        <w:rPr>
          <w:rFonts w:ascii="Calibri" w:hAnsi="Calibri" w:eastAsia="Calibri" w:cs="Calibri"/>
          <w:i/>
          <w:iCs/>
          <w:color w:val="000000" w:themeColor="text1"/>
          <w:sz w:val="24"/>
          <w:szCs w:val="24"/>
        </w:rPr>
        <w:t>Journal of Patient Experience,</w:t>
      </w:r>
      <w:r w:rsidRPr="0E64EED9">
        <w:rPr>
          <w:rFonts w:ascii="Calibri" w:hAnsi="Calibri" w:eastAsia="Calibri" w:cs="Calibri"/>
          <w:color w:val="000000" w:themeColor="text1"/>
          <w:sz w:val="24"/>
          <w:szCs w:val="24"/>
        </w:rPr>
        <w:t xml:space="preserve"> 7(6), pp.1466-1475. </w:t>
      </w:r>
    </w:p>
    <w:p w:rsidR="178D3DC3" w:rsidP="0E64EED9" w:rsidRDefault="178D3DC3" w14:paraId="6CD30159" w14:textId="533F0AC7">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Morris, D.L. (2023) ‘Communication barriers for nursing students: Communication apprehension, emotional intelligence and perceived communication competence’, </w:t>
      </w:r>
      <w:r w:rsidRPr="0E64EED9">
        <w:rPr>
          <w:rFonts w:ascii="Calibri" w:hAnsi="Calibri" w:eastAsia="Calibri" w:cs="Calibri"/>
          <w:i/>
          <w:iCs/>
          <w:color w:val="000000" w:themeColor="text1"/>
          <w:sz w:val="24"/>
          <w:szCs w:val="24"/>
        </w:rPr>
        <w:t>Teaching and learning in nursing</w:t>
      </w:r>
      <w:r w:rsidRPr="0E64EED9">
        <w:rPr>
          <w:rFonts w:ascii="Calibri" w:hAnsi="Calibri" w:eastAsia="Calibri" w:cs="Calibri"/>
          <w:color w:val="000000" w:themeColor="text1"/>
          <w:sz w:val="24"/>
          <w:szCs w:val="24"/>
        </w:rPr>
        <w:t>, 18(3), pp. 389–392.</w:t>
      </w:r>
    </w:p>
    <w:p w:rsidR="36C083F0" w:rsidP="0E64EED9" w:rsidRDefault="36C083F0" w14:paraId="5864989D" w14:textId="6C5821B3">
      <w:pPr>
        <w:keepNext/>
        <w:keepLines/>
        <w:rPr>
          <w:rFonts w:ascii="Calibri" w:hAnsi="Calibri" w:eastAsia="Calibri" w:cs="Calibri"/>
          <w:color w:val="000000" w:themeColor="text1"/>
          <w:sz w:val="24"/>
          <w:szCs w:val="24"/>
        </w:rPr>
      </w:pPr>
      <w:r w:rsidRPr="0E64EED9">
        <w:rPr>
          <w:rFonts w:ascii="Calibri" w:hAnsi="Calibri" w:eastAsia="Calibri" w:cs="Calibri"/>
          <w:color w:val="000000" w:themeColor="text1"/>
          <w:sz w:val="24"/>
          <w:szCs w:val="24"/>
        </w:rPr>
        <w:t xml:space="preserve">NHS England (2021) </w:t>
      </w:r>
      <w:r w:rsidRPr="0E64EED9">
        <w:rPr>
          <w:rFonts w:ascii="Calibri" w:hAnsi="Calibri" w:eastAsia="Calibri" w:cs="Calibri"/>
          <w:i/>
          <w:iCs/>
          <w:color w:val="000000" w:themeColor="text1"/>
          <w:sz w:val="24"/>
          <w:szCs w:val="24"/>
        </w:rPr>
        <w:t>Improving communication between healthcare professionals and patients in the NHS in England:</w:t>
      </w:r>
      <w:r w:rsidRPr="0E64EED9">
        <w:rPr>
          <w:rFonts w:ascii="Calibri" w:hAnsi="Calibri" w:eastAsia="Calibri" w:cs="Calibri"/>
          <w:color w:val="000000" w:themeColor="text1"/>
          <w:sz w:val="24"/>
          <w:szCs w:val="24"/>
        </w:rPr>
        <w:t xml:space="preserve"> Available at: </w:t>
      </w:r>
      <w:hyperlink r:id="rId11">
        <w:r w:rsidRPr="0E64EED9">
          <w:rPr>
            <w:rStyle w:val="Hyperlink"/>
            <w:rFonts w:ascii="Calibri" w:hAnsi="Calibri" w:eastAsia="Calibri" w:cs="Calibri"/>
            <w:sz w:val="24"/>
            <w:szCs w:val="24"/>
          </w:rPr>
          <w:t>https://www.england.nhs.uk/wp-content/uploads/2021/07/SQW-NHS-England-Improving-communications-report-30June.pdf</w:t>
        </w:r>
      </w:hyperlink>
      <w:r w:rsidRPr="0E64EED9">
        <w:rPr>
          <w:rFonts w:ascii="Calibri" w:hAnsi="Calibri" w:eastAsia="Calibri" w:cs="Calibri"/>
          <w:color w:val="000000" w:themeColor="text1"/>
          <w:sz w:val="24"/>
          <w:szCs w:val="24"/>
        </w:rPr>
        <w:t>. (Accessed 1 November 2023).</w:t>
      </w:r>
    </w:p>
    <w:p w:rsidR="03ACDD24" w:rsidP="0E64EED9" w:rsidRDefault="03ACDD24" w14:paraId="63B75247" w14:textId="69836676">
      <w:r w:rsidRPr="0E64EED9">
        <w:rPr>
          <w:rFonts w:ascii="Calibri" w:hAnsi="Calibri" w:eastAsia="Calibri" w:cs="Calibri"/>
          <w:color w:val="39363C"/>
          <w:sz w:val="24"/>
          <w:szCs w:val="24"/>
        </w:rPr>
        <w:t xml:space="preserve">NHS Foundation Trust (20220 </w:t>
      </w:r>
      <w:r w:rsidRPr="0E64EED9">
        <w:rPr>
          <w:rFonts w:ascii="Calibri" w:hAnsi="Calibri" w:eastAsia="Calibri" w:cs="Calibri"/>
          <w:i/>
          <w:iCs/>
          <w:color w:val="39363C"/>
          <w:sz w:val="24"/>
          <w:szCs w:val="24"/>
        </w:rPr>
        <w:t>Medicine administration record (MAR) chart- procedure for use.</w:t>
      </w:r>
      <w:r w:rsidRPr="0E64EED9">
        <w:rPr>
          <w:rFonts w:ascii="Calibri" w:hAnsi="Calibri" w:eastAsia="Calibri" w:cs="Calibri"/>
          <w:color w:val="39363C"/>
          <w:sz w:val="24"/>
          <w:szCs w:val="24"/>
        </w:rPr>
        <w:t xml:space="preserve"> Available at: </w:t>
      </w:r>
      <w:hyperlink r:id="rId12">
        <w:r w:rsidRPr="0E64EED9">
          <w:rPr>
            <w:rStyle w:val="Hyperlink"/>
            <w:rFonts w:ascii="Calibri" w:hAnsi="Calibri" w:eastAsia="Calibri" w:cs="Calibri"/>
            <w:sz w:val="24"/>
            <w:szCs w:val="24"/>
          </w:rPr>
          <w:t>https://www.tewv.nhs.uk/content/uploads/2021/11/MAR-charts-procedure.pdf</w:t>
        </w:r>
      </w:hyperlink>
      <w:r w:rsidRPr="0E64EED9">
        <w:rPr>
          <w:rFonts w:ascii="Calibri" w:hAnsi="Calibri" w:eastAsia="Calibri" w:cs="Calibri"/>
          <w:color w:val="39363C"/>
          <w:sz w:val="24"/>
          <w:szCs w:val="24"/>
        </w:rPr>
        <w:t xml:space="preserve">. (Accessed on 19 November 2023). </w:t>
      </w:r>
      <w:r w:rsidRPr="0E64EED9">
        <w:rPr>
          <w:rFonts w:ascii="Calibri" w:hAnsi="Calibri" w:eastAsia="Calibri" w:cs="Calibri"/>
          <w:sz w:val="24"/>
          <w:szCs w:val="24"/>
        </w:rPr>
        <w:t xml:space="preserve"> </w:t>
      </w:r>
    </w:p>
    <w:p w:rsidR="36C083F0" w:rsidP="0E64EED9" w:rsidRDefault="36C083F0" w14:paraId="51E9D145" w14:textId="64F0ACA4">
      <w:pPr>
        <w:rPr>
          <w:rFonts w:ascii="Calibri" w:hAnsi="Calibri" w:eastAsia="Calibri" w:cs="Calibri"/>
          <w:color w:val="000000" w:themeColor="text1"/>
          <w:sz w:val="24"/>
          <w:szCs w:val="24"/>
        </w:rPr>
      </w:pPr>
      <w:r w:rsidRPr="0E64EED9">
        <w:rPr>
          <w:rFonts w:ascii="Calibri" w:hAnsi="Calibri" w:eastAsia="Calibri" w:cs="Calibri"/>
          <w:color w:val="000000" w:themeColor="text1"/>
          <w:sz w:val="24"/>
          <w:szCs w:val="24"/>
        </w:rPr>
        <w:t xml:space="preserve">NHS Professionals (2019) </w:t>
      </w:r>
      <w:r w:rsidRPr="0E64EED9">
        <w:rPr>
          <w:rFonts w:ascii="Calibri" w:hAnsi="Calibri" w:eastAsia="Calibri" w:cs="Calibri"/>
          <w:i/>
          <w:iCs/>
          <w:color w:val="000000" w:themeColor="text1"/>
          <w:sz w:val="24"/>
          <w:szCs w:val="24"/>
        </w:rPr>
        <w:t xml:space="preserve">Understanding the key success factors in collaborative working. </w:t>
      </w:r>
      <w:r w:rsidRPr="0E64EED9">
        <w:rPr>
          <w:rFonts w:ascii="Calibri" w:hAnsi="Calibri" w:eastAsia="Calibri" w:cs="Calibri"/>
          <w:color w:val="000000" w:themeColor="text1"/>
          <w:sz w:val="24"/>
          <w:szCs w:val="24"/>
        </w:rPr>
        <w:t xml:space="preserve">Available at: </w:t>
      </w:r>
      <w:hyperlink r:id="rId13">
        <w:r w:rsidRPr="0E64EED9">
          <w:rPr>
            <w:rStyle w:val="Hyperlink"/>
            <w:rFonts w:ascii="Calibri" w:hAnsi="Calibri" w:eastAsia="Calibri" w:cs="Calibri"/>
            <w:sz w:val="24"/>
            <w:szCs w:val="24"/>
          </w:rPr>
          <w:t>https://www.nhsprofessionals.nhs.uk/en/partners/publications/-/media/96C3BF9D08194C5096AE45B67EB7B71E.ashx</w:t>
        </w:r>
      </w:hyperlink>
      <w:r w:rsidRPr="0E64EED9">
        <w:rPr>
          <w:rFonts w:ascii="Calibri" w:hAnsi="Calibri" w:eastAsia="Calibri" w:cs="Calibri"/>
          <w:color w:val="000000" w:themeColor="text1"/>
          <w:sz w:val="24"/>
          <w:szCs w:val="24"/>
        </w:rPr>
        <w:t>. (Accessed on 1 November 2023).</w:t>
      </w:r>
    </w:p>
    <w:p w:rsidR="0568E797" w:rsidP="0E64EED9" w:rsidRDefault="0568E797" w14:paraId="38031DFB" w14:textId="30F693B1">
      <w:pPr>
        <w:pStyle w:val="Heading1"/>
        <w:rPr>
          <w:rFonts w:asciiTheme="minorHAnsi" w:hAnsiTheme="minorHAnsi" w:eastAsiaTheme="minorEastAsia" w:cstheme="minorBidi"/>
          <w:color w:val="000000" w:themeColor="text1"/>
          <w:sz w:val="24"/>
          <w:szCs w:val="24"/>
        </w:rPr>
      </w:pPr>
      <w:r w:rsidRPr="0E64EED9">
        <w:rPr>
          <w:rFonts w:asciiTheme="minorHAnsi" w:hAnsiTheme="minorHAnsi" w:eastAsiaTheme="minorEastAsia" w:cstheme="minorBidi"/>
          <w:color w:val="000000" w:themeColor="text1"/>
          <w:sz w:val="24"/>
          <w:szCs w:val="24"/>
        </w:rPr>
        <w:t>Norman, K. (2019) Communication Skills: For Nursing and Healthcare Students (Essentials). Banbury: Lantern Publishing Limited.</w:t>
      </w:r>
      <w:r w:rsidRPr="0E64EED9" w:rsidR="4251C255">
        <w:rPr>
          <w:rFonts w:asciiTheme="minorHAnsi" w:hAnsiTheme="minorHAnsi" w:eastAsiaTheme="minorEastAsia" w:cstheme="minorBidi"/>
          <w:color w:val="000000" w:themeColor="text1"/>
          <w:sz w:val="24"/>
          <w:szCs w:val="24"/>
        </w:rPr>
        <w:t xml:space="preserve">                                                                                                      </w:t>
      </w:r>
    </w:p>
    <w:p w:rsidR="0568E797" w:rsidP="0E64EED9" w:rsidRDefault="0568E797" w14:paraId="34068B8D" w14:textId="34DBF595">
      <w:pPr>
        <w:keepNext/>
        <w:keepLines/>
        <w:rPr>
          <w:rFonts w:ascii="Calibri" w:hAnsi="Calibri" w:eastAsia="Calibri" w:cs="Calibri"/>
        </w:rPr>
      </w:pPr>
      <w:proofErr w:type="spellStart"/>
      <w:r w:rsidRPr="0E64EED9">
        <w:rPr>
          <w:rFonts w:ascii="Calibri" w:hAnsi="Calibri" w:eastAsia="Calibri" w:cs="Calibri"/>
          <w:color w:val="222222"/>
          <w:sz w:val="24"/>
          <w:szCs w:val="24"/>
        </w:rPr>
        <w:t>Porsteinsson</w:t>
      </w:r>
      <w:proofErr w:type="spellEnd"/>
      <w:r w:rsidRPr="0E64EED9">
        <w:rPr>
          <w:rFonts w:ascii="Calibri" w:hAnsi="Calibri" w:eastAsia="Calibri" w:cs="Calibri"/>
          <w:color w:val="222222"/>
          <w:sz w:val="24"/>
          <w:szCs w:val="24"/>
        </w:rPr>
        <w:t xml:space="preserve">, A.P., Isaacson, R.S., Knox, S., </w:t>
      </w:r>
      <w:proofErr w:type="spellStart"/>
      <w:r w:rsidRPr="0E64EED9">
        <w:rPr>
          <w:rFonts w:ascii="Calibri" w:hAnsi="Calibri" w:eastAsia="Calibri" w:cs="Calibri"/>
          <w:color w:val="222222"/>
          <w:sz w:val="24"/>
          <w:szCs w:val="24"/>
        </w:rPr>
        <w:t>Sabbagh</w:t>
      </w:r>
      <w:proofErr w:type="spellEnd"/>
      <w:r w:rsidRPr="0E64EED9">
        <w:rPr>
          <w:rFonts w:ascii="Calibri" w:hAnsi="Calibri" w:eastAsia="Calibri" w:cs="Calibri"/>
          <w:color w:val="222222"/>
          <w:sz w:val="24"/>
          <w:szCs w:val="24"/>
        </w:rPr>
        <w:t>, M.N</w:t>
      </w:r>
      <w:r w:rsidRPr="0E64EED9">
        <w:rPr>
          <w:rFonts w:ascii="Calibri" w:hAnsi="Calibri" w:eastAsia="Calibri" w:cs="Calibri"/>
          <w:i/>
          <w:iCs/>
          <w:color w:val="222222"/>
          <w:sz w:val="24"/>
          <w:szCs w:val="24"/>
        </w:rPr>
        <w:t xml:space="preserve">., </w:t>
      </w:r>
      <w:proofErr w:type="spellStart"/>
      <w:r w:rsidRPr="0E64EED9">
        <w:rPr>
          <w:rFonts w:ascii="Calibri" w:hAnsi="Calibri" w:eastAsia="Calibri" w:cs="Calibri"/>
          <w:color w:val="222222"/>
          <w:sz w:val="24"/>
          <w:szCs w:val="24"/>
        </w:rPr>
        <w:t>Rubino,I</w:t>
      </w:r>
      <w:proofErr w:type="spellEnd"/>
      <w:r w:rsidRPr="0E64EED9">
        <w:rPr>
          <w:rFonts w:ascii="Calibri" w:hAnsi="Calibri" w:eastAsia="Calibri" w:cs="Calibri"/>
          <w:color w:val="222222"/>
          <w:sz w:val="24"/>
          <w:szCs w:val="24"/>
        </w:rPr>
        <w:t xml:space="preserve">. (2021) “Diagnosis of Early Alzheimer’s Disease: Clinical Practice in 2021”, </w:t>
      </w:r>
      <w:r w:rsidRPr="0E64EED9">
        <w:rPr>
          <w:rFonts w:ascii="Calibri" w:hAnsi="Calibri" w:eastAsia="Calibri" w:cs="Calibri"/>
          <w:i/>
          <w:iCs/>
          <w:color w:val="222222"/>
          <w:sz w:val="24"/>
          <w:szCs w:val="24"/>
        </w:rPr>
        <w:t xml:space="preserve">The journal of prevention of Alzheimer's disease, </w:t>
      </w:r>
      <w:r w:rsidRPr="0E64EED9">
        <w:rPr>
          <w:rFonts w:ascii="Calibri" w:hAnsi="Calibri" w:eastAsia="Calibri" w:cs="Calibri"/>
          <w:color w:val="222222"/>
          <w:sz w:val="24"/>
          <w:szCs w:val="24"/>
        </w:rPr>
        <w:t>3(8), pp. 371–386.</w:t>
      </w:r>
    </w:p>
    <w:p w:rsidR="0568E797" w:rsidP="0E64EED9" w:rsidRDefault="0568E797" w14:paraId="36BC8D4E" w14:textId="65FB40B4">
      <w:pPr>
        <w:rPr>
          <w:rFonts w:ascii="Calibri" w:hAnsi="Calibri" w:eastAsia="Calibri" w:cs="Calibri"/>
        </w:rPr>
      </w:pPr>
      <w:r w:rsidRPr="0E64EED9">
        <w:rPr>
          <w:rFonts w:ascii="Calibri" w:hAnsi="Calibri" w:eastAsia="Calibri" w:cs="Calibri"/>
          <w:color w:val="000000" w:themeColor="text1"/>
          <w:sz w:val="24"/>
          <w:szCs w:val="24"/>
        </w:rPr>
        <w:t xml:space="preserve">Rahman, M. and </w:t>
      </w:r>
      <w:proofErr w:type="spellStart"/>
      <w:r w:rsidRPr="0E64EED9">
        <w:rPr>
          <w:rFonts w:ascii="Calibri" w:hAnsi="Calibri" w:eastAsia="Calibri" w:cs="Calibri"/>
          <w:color w:val="000000" w:themeColor="text1"/>
          <w:sz w:val="24"/>
          <w:szCs w:val="24"/>
        </w:rPr>
        <w:t>Lendel</w:t>
      </w:r>
      <w:proofErr w:type="spellEnd"/>
      <w:r w:rsidRPr="0E64EED9">
        <w:rPr>
          <w:rFonts w:ascii="Calibri" w:hAnsi="Calibri" w:eastAsia="Calibri" w:cs="Calibri"/>
          <w:color w:val="000000" w:themeColor="text1"/>
          <w:sz w:val="24"/>
          <w:szCs w:val="24"/>
        </w:rPr>
        <w:t xml:space="preserve">, C. Extracellular protein components of amyloid plaques and their roles in Alzheimer’s disease pathology. </w:t>
      </w:r>
      <w:proofErr w:type="spellStart"/>
      <w:r w:rsidRPr="0E64EED9">
        <w:rPr>
          <w:rFonts w:ascii="Calibri" w:hAnsi="Calibri" w:eastAsia="Calibri" w:cs="Calibri"/>
          <w:i/>
          <w:iCs/>
          <w:color w:val="000000" w:themeColor="text1"/>
          <w:sz w:val="24"/>
          <w:szCs w:val="24"/>
        </w:rPr>
        <w:t>Mol</w:t>
      </w:r>
      <w:proofErr w:type="spellEnd"/>
      <w:r w:rsidRPr="0E64EED9">
        <w:rPr>
          <w:rFonts w:ascii="Calibri" w:hAnsi="Calibri" w:eastAsia="Calibri" w:cs="Calibri"/>
          <w:i/>
          <w:iCs/>
          <w:color w:val="000000" w:themeColor="text1"/>
          <w:sz w:val="24"/>
          <w:szCs w:val="24"/>
        </w:rPr>
        <w:t xml:space="preserve"> Neurodegeneration,</w:t>
      </w:r>
      <w:r w:rsidRPr="0E64EED9">
        <w:rPr>
          <w:rFonts w:ascii="Calibri" w:hAnsi="Calibri" w:eastAsia="Calibri" w:cs="Calibri"/>
          <w:color w:val="000000" w:themeColor="text1"/>
          <w:sz w:val="24"/>
          <w:szCs w:val="24"/>
        </w:rPr>
        <w:t>16(59, pp. 1-30.</w:t>
      </w:r>
    </w:p>
    <w:p w:rsidR="36C083F0" w:rsidP="0E64EED9" w:rsidRDefault="36C083F0" w14:paraId="1B5D91EE" w14:textId="67C42293">
      <w:pPr>
        <w:keepNext/>
        <w:keepLines/>
        <w:rPr>
          <w:rFonts w:ascii="Calibri" w:hAnsi="Calibri" w:eastAsia="Calibri" w:cs="Calibri"/>
          <w:sz w:val="24"/>
          <w:szCs w:val="24"/>
        </w:rPr>
      </w:pPr>
      <w:r w:rsidRPr="0E64EED9">
        <w:rPr>
          <w:rFonts w:ascii="Calibri" w:hAnsi="Calibri" w:eastAsia="Calibri" w:cs="Calibri"/>
          <w:color w:val="212121"/>
          <w:sz w:val="24"/>
          <w:szCs w:val="24"/>
        </w:rPr>
        <w:t xml:space="preserve">Rawlinson C, Carron T, </w:t>
      </w:r>
      <w:proofErr w:type="spellStart"/>
      <w:r w:rsidRPr="0E64EED9">
        <w:rPr>
          <w:rFonts w:ascii="Calibri" w:hAnsi="Calibri" w:eastAsia="Calibri" w:cs="Calibri"/>
          <w:color w:val="212121"/>
          <w:sz w:val="24"/>
          <w:szCs w:val="24"/>
        </w:rPr>
        <w:t>Cohidon</w:t>
      </w:r>
      <w:proofErr w:type="spellEnd"/>
      <w:r w:rsidRPr="0E64EED9">
        <w:rPr>
          <w:rFonts w:ascii="Calibri" w:hAnsi="Calibri" w:eastAsia="Calibri" w:cs="Calibri"/>
          <w:color w:val="212121"/>
          <w:sz w:val="24"/>
          <w:szCs w:val="24"/>
        </w:rPr>
        <w:t xml:space="preserve"> C, </w:t>
      </w:r>
      <w:proofErr w:type="spellStart"/>
      <w:r w:rsidRPr="0E64EED9">
        <w:rPr>
          <w:rFonts w:ascii="Calibri" w:hAnsi="Calibri" w:eastAsia="Calibri" w:cs="Calibri"/>
          <w:color w:val="212121"/>
          <w:sz w:val="24"/>
          <w:szCs w:val="24"/>
        </w:rPr>
        <w:t>Arditi</w:t>
      </w:r>
      <w:proofErr w:type="spellEnd"/>
      <w:r w:rsidRPr="0E64EED9">
        <w:rPr>
          <w:rFonts w:ascii="Calibri" w:hAnsi="Calibri" w:eastAsia="Calibri" w:cs="Calibri"/>
          <w:color w:val="212121"/>
          <w:sz w:val="24"/>
          <w:szCs w:val="24"/>
        </w:rPr>
        <w:t xml:space="preserve"> C, Hong QN, </w:t>
      </w:r>
      <w:proofErr w:type="spellStart"/>
      <w:r w:rsidRPr="0E64EED9">
        <w:rPr>
          <w:rFonts w:ascii="Calibri" w:hAnsi="Calibri" w:eastAsia="Calibri" w:cs="Calibri"/>
          <w:color w:val="212121"/>
          <w:sz w:val="24"/>
          <w:szCs w:val="24"/>
        </w:rPr>
        <w:t>Pluye</w:t>
      </w:r>
      <w:proofErr w:type="spellEnd"/>
      <w:r w:rsidRPr="0E64EED9">
        <w:rPr>
          <w:rFonts w:ascii="Calibri" w:hAnsi="Calibri" w:eastAsia="Calibri" w:cs="Calibri"/>
          <w:color w:val="212121"/>
          <w:sz w:val="24"/>
          <w:szCs w:val="24"/>
        </w:rPr>
        <w:t xml:space="preserve"> P, </w:t>
      </w:r>
      <w:proofErr w:type="spellStart"/>
      <w:r w:rsidRPr="0E64EED9">
        <w:rPr>
          <w:rFonts w:ascii="Calibri" w:hAnsi="Calibri" w:eastAsia="Calibri" w:cs="Calibri"/>
          <w:color w:val="212121"/>
          <w:sz w:val="24"/>
          <w:szCs w:val="24"/>
        </w:rPr>
        <w:t>Peytremann-Bridevaux</w:t>
      </w:r>
      <w:proofErr w:type="spellEnd"/>
      <w:r w:rsidRPr="0E64EED9">
        <w:rPr>
          <w:rFonts w:ascii="Calibri" w:hAnsi="Calibri" w:eastAsia="Calibri" w:cs="Calibri"/>
          <w:color w:val="212121"/>
          <w:sz w:val="24"/>
          <w:szCs w:val="24"/>
        </w:rPr>
        <w:t xml:space="preserve"> I, Gilles I. (2021). An Overview of Reviews on </w:t>
      </w:r>
      <w:proofErr w:type="spellStart"/>
      <w:r w:rsidRPr="0E64EED9">
        <w:rPr>
          <w:rFonts w:ascii="Calibri" w:hAnsi="Calibri" w:eastAsia="Calibri" w:cs="Calibri"/>
          <w:color w:val="212121"/>
          <w:sz w:val="24"/>
          <w:szCs w:val="24"/>
        </w:rPr>
        <w:t>Interprofessional</w:t>
      </w:r>
      <w:proofErr w:type="spellEnd"/>
      <w:r w:rsidRPr="0E64EED9">
        <w:rPr>
          <w:rFonts w:ascii="Calibri" w:hAnsi="Calibri" w:eastAsia="Calibri" w:cs="Calibri"/>
          <w:color w:val="212121"/>
          <w:sz w:val="24"/>
          <w:szCs w:val="24"/>
        </w:rPr>
        <w:t xml:space="preserve"> Collaboration in Primary Care: Barriers and Facilitators.</w:t>
      </w:r>
      <w:r w:rsidRPr="0E64EED9">
        <w:rPr>
          <w:rFonts w:ascii="Calibri" w:hAnsi="Calibri" w:eastAsia="Calibri" w:cs="Calibri"/>
          <w:i/>
          <w:iCs/>
          <w:color w:val="212121"/>
          <w:sz w:val="24"/>
          <w:szCs w:val="24"/>
        </w:rPr>
        <w:t xml:space="preserve"> International journal of integrated care. </w:t>
      </w:r>
      <w:r w:rsidRPr="0E64EED9">
        <w:rPr>
          <w:rFonts w:ascii="Calibri" w:hAnsi="Calibri" w:eastAsia="Calibri" w:cs="Calibri"/>
          <w:color w:val="212121"/>
          <w:sz w:val="24"/>
          <w:szCs w:val="24"/>
        </w:rPr>
        <w:t>21(2), PP. 1—15</w:t>
      </w:r>
      <w:r w:rsidRPr="0E64EED9" w:rsidR="23603F61">
        <w:rPr>
          <w:rFonts w:ascii="Calibri" w:hAnsi="Calibri" w:eastAsia="Calibri" w:cs="Calibri"/>
          <w:color w:val="212121"/>
          <w:sz w:val="24"/>
          <w:szCs w:val="24"/>
        </w:rPr>
        <w:t xml:space="preserve">. </w:t>
      </w:r>
    </w:p>
    <w:p w:rsidR="1DF3D427" w:rsidP="0E64EED9" w:rsidRDefault="1DF3D427" w14:paraId="16D9E0E2" w14:textId="160F71E4">
      <w:pPr>
        <w:rPr>
          <w:rFonts w:ascii="Calibri" w:hAnsi="Calibri" w:eastAsia="Calibri" w:cs="Calibri"/>
          <w:sz w:val="24"/>
          <w:szCs w:val="24"/>
        </w:rPr>
      </w:pPr>
      <w:r w:rsidRPr="0E64EED9">
        <w:rPr>
          <w:rFonts w:ascii="Calibri" w:hAnsi="Calibri" w:eastAsia="Calibri" w:cs="Calibri"/>
          <w:color w:val="39363C"/>
          <w:sz w:val="24"/>
          <w:szCs w:val="24"/>
        </w:rPr>
        <w:t xml:space="preserve">Royal college of nursing (2023) </w:t>
      </w:r>
      <w:r w:rsidRPr="0E64EED9">
        <w:rPr>
          <w:rFonts w:ascii="Calibri" w:hAnsi="Calibri" w:eastAsia="Calibri" w:cs="Calibri"/>
          <w:i/>
          <w:iCs/>
          <w:color w:val="39363C"/>
          <w:sz w:val="24"/>
          <w:szCs w:val="24"/>
        </w:rPr>
        <w:t xml:space="preserve">Medicines management. </w:t>
      </w:r>
      <w:r w:rsidRPr="0E64EED9">
        <w:rPr>
          <w:rFonts w:ascii="Calibri" w:hAnsi="Calibri" w:eastAsia="Calibri" w:cs="Calibri"/>
          <w:color w:val="39363C"/>
          <w:sz w:val="24"/>
          <w:szCs w:val="24"/>
        </w:rPr>
        <w:t xml:space="preserve">Available at: </w:t>
      </w:r>
      <w:hyperlink r:id="rId14">
        <w:r w:rsidRPr="0E64EED9">
          <w:rPr>
            <w:rStyle w:val="Hyperlink"/>
            <w:rFonts w:ascii="Calibri" w:hAnsi="Calibri" w:eastAsia="Calibri" w:cs="Calibri"/>
            <w:sz w:val="24"/>
            <w:szCs w:val="24"/>
          </w:rPr>
          <w:t>https://www.rcn.org.uk/library/subject-guides/medicines-management</w:t>
        </w:r>
      </w:hyperlink>
      <w:r w:rsidRPr="0E64EED9">
        <w:rPr>
          <w:rFonts w:ascii="Calibri" w:hAnsi="Calibri" w:eastAsia="Calibri" w:cs="Calibri"/>
          <w:color w:val="39363C"/>
          <w:sz w:val="24"/>
          <w:szCs w:val="24"/>
        </w:rPr>
        <w:t>. (Accessed on 19 November 2023).</w:t>
      </w:r>
    </w:p>
    <w:p w:rsidR="1DF3D427" w:rsidP="0E64EED9" w:rsidRDefault="1DF3D427" w14:paraId="0B881AB4" w14:textId="24EB7335">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Shennan</w:t>
      </w:r>
      <w:proofErr w:type="spellEnd"/>
      <w:r w:rsidRPr="0E64EED9">
        <w:rPr>
          <w:rFonts w:ascii="Calibri" w:hAnsi="Calibri" w:eastAsia="Calibri" w:cs="Calibri"/>
          <w:color w:val="000000" w:themeColor="text1"/>
          <w:sz w:val="24"/>
          <w:szCs w:val="24"/>
        </w:rPr>
        <w:t xml:space="preserve">, G. (2019) </w:t>
      </w:r>
      <w:r w:rsidRPr="0E64EED9">
        <w:rPr>
          <w:rFonts w:ascii="Calibri" w:hAnsi="Calibri" w:eastAsia="Calibri" w:cs="Calibri"/>
          <w:i/>
          <w:iCs/>
          <w:color w:val="000000" w:themeColor="text1"/>
          <w:sz w:val="24"/>
          <w:szCs w:val="24"/>
        </w:rPr>
        <w:t>Solution-focused practice : effective communication to facilitate change</w:t>
      </w:r>
      <w:r w:rsidRPr="0E64EED9">
        <w:rPr>
          <w:rFonts w:ascii="Calibri" w:hAnsi="Calibri" w:eastAsia="Calibri" w:cs="Calibri"/>
          <w:color w:val="000000" w:themeColor="text1"/>
          <w:sz w:val="24"/>
          <w:szCs w:val="24"/>
        </w:rPr>
        <w:t>. Second edition. London: Macmillan International Higher Education.</w:t>
      </w:r>
    </w:p>
    <w:p w:rsidR="23603F61" w:rsidP="0E64EED9" w:rsidRDefault="23603F61" w14:paraId="407E0B7E" w14:textId="40DFEA11">
      <w:pPr>
        <w:keepNext/>
        <w:keepLines/>
        <w:rPr>
          <w:rFonts w:ascii="Calibri" w:hAnsi="Calibri" w:eastAsia="Calibri" w:cs="Calibri"/>
          <w:color w:val="212121"/>
          <w:sz w:val="24"/>
          <w:szCs w:val="24"/>
        </w:rPr>
      </w:pPr>
      <w:r w:rsidRPr="0E64EED9">
        <w:rPr>
          <w:rFonts w:ascii="Calibri" w:hAnsi="Calibri" w:eastAsia="Calibri" w:cs="Calibri"/>
          <w:color w:val="000000" w:themeColor="text1"/>
          <w:sz w:val="24"/>
          <w:szCs w:val="24"/>
        </w:rPr>
        <w:t xml:space="preserve">Shepherd, V., Griffith, R., Hood, K., Sheehan, M., Wood, F. (2021) </w:t>
      </w:r>
      <w:r w:rsidRPr="0E64EED9">
        <w:rPr>
          <w:rFonts w:ascii="Calibri" w:hAnsi="Calibri" w:eastAsia="Calibri" w:cs="Calibri"/>
          <w:i/>
          <w:iCs/>
          <w:color w:val="000000" w:themeColor="text1"/>
          <w:sz w:val="24"/>
          <w:szCs w:val="24"/>
        </w:rPr>
        <w:t>‘There’s more to life than money and health’: Family caregivers views on the role of Power of Attorney in proxy decisions about research participation for people living with dementia.</w:t>
      </w:r>
      <w:r w:rsidRPr="0E64EED9">
        <w:rPr>
          <w:rFonts w:ascii="Calibri" w:hAnsi="Calibri" w:eastAsia="Calibri" w:cs="Calibri"/>
          <w:color w:val="000000" w:themeColor="text1"/>
          <w:sz w:val="24"/>
          <w:szCs w:val="24"/>
        </w:rPr>
        <w:t xml:space="preserve"> Sage Journals. 20(1), pp. 308-325.</w:t>
      </w:r>
    </w:p>
    <w:p w:rsidR="7D4646BF" w:rsidP="0E64EED9" w:rsidRDefault="7D4646BF" w14:paraId="2BDF1FB6" w14:textId="01A34079">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Sifaki-Pistolla</w:t>
      </w:r>
      <w:proofErr w:type="spellEnd"/>
      <w:r w:rsidRPr="0E64EED9">
        <w:rPr>
          <w:rFonts w:ascii="Calibri" w:hAnsi="Calibri" w:eastAsia="Calibri" w:cs="Calibri"/>
          <w:color w:val="000000" w:themeColor="text1"/>
          <w:sz w:val="24"/>
          <w:szCs w:val="24"/>
        </w:rPr>
        <w:t xml:space="preserve">, D., </w:t>
      </w:r>
      <w:proofErr w:type="spellStart"/>
      <w:r w:rsidRPr="0E64EED9">
        <w:rPr>
          <w:rFonts w:ascii="Calibri" w:hAnsi="Calibri" w:eastAsia="Calibri" w:cs="Calibri"/>
          <w:color w:val="000000" w:themeColor="text1"/>
          <w:sz w:val="24"/>
          <w:szCs w:val="24"/>
        </w:rPr>
        <w:t>Melidoniotis</w:t>
      </w:r>
      <w:proofErr w:type="spellEnd"/>
      <w:r w:rsidRPr="0E64EED9">
        <w:rPr>
          <w:rFonts w:ascii="Calibri" w:hAnsi="Calibri" w:eastAsia="Calibri" w:cs="Calibri"/>
          <w:color w:val="000000" w:themeColor="text1"/>
          <w:sz w:val="24"/>
          <w:szCs w:val="24"/>
        </w:rPr>
        <w:t>, E</w:t>
      </w:r>
      <w:r w:rsidRPr="0E64EED9">
        <w:rPr>
          <w:rFonts w:ascii="Calibri" w:hAnsi="Calibri" w:eastAsia="Calibri" w:cs="Calibri"/>
          <w:i/>
          <w:iCs/>
          <w:color w:val="000000" w:themeColor="text1"/>
          <w:sz w:val="24"/>
          <w:szCs w:val="24"/>
        </w:rPr>
        <w:t xml:space="preserve">., </w:t>
      </w:r>
      <w:proofErr w:type="spellStart"/>
      <w:r w:rsidRPr="0E64EED9">
        <w:rPr>
          <w:rFonts w:ascii="Calibri" w:hAnsi="Calibri" w:eastAsia="Calibri" w:cs="Calibri"/>
          <w:color w:val="000000" w:themeColor="text1"/>
          <w:sz w:val="24"/>
          <w:szCs w:val="24"/>
        </w:rPr>
        <w:t>Dey</w:t>
      </w:r>
      <w:proofErr w:type="spellEnd"/>
      <w:r w:rsidRPr="0E64EED9">
        <w:rPr>
          <w:rFonts w:ascii="Calibri" w:hAnsi="Calibri" w:eastAsia="Calibri" w:cs="Calibri"/>
          <w:color w:val="000000" w:themeColor="text1"/>
          <w:sz w:val="24"/>
          <w:szCs w:val="24"/>
        </w:rPr>
        <w:t xml:space="preserve">, N., </w:t>
      </w:r>
      <w:proofErr w:type="spellStart"/>
      <w:r w:rsidRPr="0E64EED9">
        <w:rPr>
          <w:rFonts w:ascii="Calibri" w:hAnsi="Calibri" w:eastAsia="Calibri" w:cs="Calibri"/>
          <w:color w:val="000000" w:themeColor="text1"/>
          <w:sz w:val="24"/>
          <w:szCs w:val="24"/>
        </w:rPr>
        <w:t>Chatzea,V</w:t>
      </w:r>
      <w:proofErr w:type="spellEnd"/>
      <w:r w:rsidRPr="0E64EED9">
        <w:rPr>
          <w:rFonts w:ascii="Calibri" w:hAnsi="Calibri" w:eastAsia="Calibri" w:cs="Calibri"/>
          <w:i/>
          <w:iCs/>
          <w:color w:val="000000" w:themeColor="text1"/>
          <w:sz w:val="24"/>
          <w:szCs w:val="24"/>
        </w:rPr>
        <w:t xml:space="preserve"> (2020) ‘How trust affects performance of </w:t>
      </w:r>
      <w:proofErr w:type="spellStart"/>
      <w:r w:rsidRPr="0E64EED9">
        <w:rPr>
          <w:rFonts w:ascii="Calibri" w:hAnsi="Calibri" w:eastAsia="Calibri" w:cs="Calibri"/>
          <w:i/>
          <w:iCs/>
          <w:color w:val="000000" w:themeColor="text1"/>
          <w:sz w:val="24"/>
          <w:szCs w:val="24"/>
        </w:rPr>
        <w:t>interprofessional</w:t>
      </w:r>
      <w:proofErr w:type="spellEnd"/>
      <w:r w:rsidRPr="0E64EED9">
        <w:rPr>
          <w:rFonts w:ascii="Calibri" w:hAnsi="Calibri" w:eastAsia="Calibri" w:cs="Calibri"/>
          <w:i/>
          <w:iCs/>
          <w:color w:val="000000" w:themeColor="text1"/>
          <w:sz w:val="24"/>
          <w:szCs w:val="24"/>
        </w:rPr>
        <w:t xml:space="preserve"> health-care teams’, Journal of </w:t>
      </w:r>
      <w:proofErr w:type="spellStart"/>
      <w:r w:rsidRPr="0E64EED9">
        <w:rPr>
          <w:rFonts w:ascii="Calibri" w:hAnsi="Calibri" w:eastAsia="Calibri" w:cs="Calibri"/>
          <w:i/>
          <w:iCs/>
          <w:color w:val="000000" w:themeColor="text1"/>
          <w:sz w:val="24"/>
          <w:szCs w:val="24"/>
        </w:rPr>
        <w:t>interprofessional</w:t>
      </w:r>
      <w:proofErr w:type="spellEnd"/>
      <w:r w:rsidRPr="0E64EED9">
        <w:rPr>
          <w:rFonts w:ascii="Calibri" w:hAnsi="Calibri" w:eastAsia="Calibri" w:cs="Calibri"/>
          <w:i/>
          <w:iCs/>
          <w:color w:val="000000" w:themeColor="text1"/>
          <w:sz w:val="24"/>
          <w:szCs w:val="24"/>
        </w:rPr>
        <w:t xml:space="preserve"> care</w:t>
      </w:r>
      <w:r w:rsidRPr="0E64EED9">
        <w:rPr>
          <w:rFonts w:ascii="Calibri" w:hAnsi="Calibri" w:eastAsia="Calibri" w:cs="Calibri"/>
          <w:color w:val="000000" w:themeColor="text1"/>
          <w:sz w:val="24"/>
          <w:szCs w:val="24"/>
        </w:rPr>
        <w:t>, 34(2), pp. 218–224.</w:t>
      </w:r>
    </w:p>
    <w:p w:rsidR="23603F61" w:rsidP="0E64EED9" w:rsidRDefault="23603F61" w14:paraId="487D629E" w14:textId="2518CF96">
      <w:pPr>
        <w:rPr>
          <w:rFonts w:ascii="Calibri" w:hAnsi="Calibri" w:eastAsia="Calibri" w:cs="Calibri"/>
          <w:sz w:val="24"/>
          <w:szCs w:val="24"/>
        </w:rPr>
      </w:pPr>
      <w:r w:rsidRPr="0E64EED9">
        <w:rPr>
          <w:rFonts w:ascii="Calibri" w:hAnsi="Calibri" w:eastAsia="Calibri" w:cs="Calibri"/>
          <w:color w:val="000000" w:themeColor="text1"/>
          <w:sz w:val="24"/>
          <w:szCs w:val="24"/>
        </w:rPr>
        <w:t xml:space="preserve">Social care institute for excellence (2023) </w:t>
      </w:r>
      <w:proofErr w:type="spellStart"/>
      <w:r w:rsidRPr="0E64EED9">
        <w:rPr>
          <w:rFonts w:ascii="Calibri" w:hAnsi="Calibri" w:eastAsia="Calibri" w:cs="Calibri"/>
          <w:i/>
          <w:iCs/>
          <w:color w:val="000000" w:themeColor="text1"/>
          <w:sz w:val="24"/>
          <w:szCs w:val="24"/>
        </w:rPr>
        <w:t>Intergrated</w:t>
      </w:r>
      <w:proofErr w:type="spellEnd"/>
      <w:r w:rsidRPr="0E64EED9">
        <w:rPr>
          <w:rFonts w:ascii="Calibri" w:hAnsi="Calibri" w:eastAsia="Calibri" w:cs="Calibri"/>
          <w:i/>
          <w:iCs/>
          <w:color w:val="000000" w:themeColor="text1"/>
          <w:sz w:val="24"/>
          <w:szCs w:val="24"/>
        </w:rPr>
        <w:t xml:space="preserve"> care research and practice:</w:t>
      </w:r>
      <w:r w:rsidRPr="0E64EED9">
        <w:rPr>
          <w:rFonts w:ascii="Calibri" w:hAnsi="Calibri" w:eastAsia="Calibri" w:cs="Calibri"/>
          <w:color w:val="000000" w:themeColor="text1"/>
          <w:sz w:val="24"/>
          <w:szCs w:val="24"/>
        </w:rPr>
        <w:t xml:space="preserve"> </w:t>
      </w:r>
      <w:r w:rsidRPr="0E64EED9">
        <w:rPr>
          <w:rFonts w:ascii="Calibri" w:hAnsi="Calibri" w:eastAsia="Calibri" w:cs="Calibri"/>
          <w:i/>
          <w:iCs/>
          <w:color w:val="000000" w:themeColor="text1"/>
          <w:sz w:val="24"/>
          <w:szCs w:val="24"/>
        </w:rPr>
        <w:t xml:space="preserve">multidisciplinary teams working for integrated care. </w:t>
      </w:r>
      <w:r w:rsidRPr="0E64EED9">
        <w:rPr>
          <w:rFonts w:ascii="Calibri" w:hAnsi="Calibri" w:eastAsia="Calibri" w:cs="Calibri"/>
          <w:color w:val="000000" w:themeColor="text1"/>
          <w:sz w:val="24"/>
          <w:szCs w:val="24"/>
        </w:rPr>
        <w:t>Available at:</w:t>
      </w:r>
      <w:r w:rsidRPr="0E64EED9">
        <w:rPr>
          <w:rFonts w:ascii="Calibri" w:hAnsi="Calibri" w:eastAsia="Calibri" w:cs="Calibri"/>
          <w:i/>
          <w:iCs/>
          <w:color w:val="000000" w:themeColor="text1"/>
          <w:sz w:val="24"/>
          <w:szCs w:val="24"/>
        </w:rPr>
        <w:t xml:space="preserve"> </w:t>
      </w:r>
      <w:hyperlink r:id="rId15">
        <w:r w:rsidRPr="0E64EED9">
          <w:rPr>
            <w:rStyle w:val="Hyperlink"/>
            <w:rFonts w:ascii="Calibri" w:hAnsi="Calibri" w:eastAsia="Calibri" w:cs="Calibri"/>
            <w:sz w:val="24"/>
            <w:szCs w:val="24"/>
          </w:rPr>
          <w:t>https://www.scie.org.uk/integrated-care/research-practice/activities/multidisciplinary-teams</w:t>
        </w:r>
      </w:hyperlink>
      <w:r w:rsidRPr="0E64EED9">
        <w:rPr>
          <w:rFonts w:ascii="Calibri" w:hAnsi="Calibri" w:eastAsia="Calibri" w:cs="Calibri"/>
          <w:color w:val="000000" w:themeColor="text1"/>
          <w:sz w:val="24"/>
          <w:szCs w:val="24"/>
        </w:rPr>
        <w:t>. (Accessed on 13 November 2023).</w:t>
      </w:r>
    </w:p>
    <w:p w:rsidR="23603F61" w:rsidP="0E64EED9" w:rsidRDefault="23603F61" w14:paraId="4818DF24" w14:textId="4E5F259E">
      <w:r w:rsidRPr="0E64EED9">
        <w:rPr>
          <w:rFonts w:ascii="Calibri" w:hAnsi="Calibri" w:eastAsia="Calibri" w:cs="Calibri"/>
          <w:color w:val="000000" w:themeColor="text1"/>
          <w:sz w:val="24"/>
          <w:szCs w:val="24"/>
        </w:rPr>
        <w:t xml:space="preserve">Social care Wales (2022) </w:t>
      </w:r>
      <w:r w:rsidRPr="0E64EED9">
        <w:rPr>
          <w:rFonts w:ascii="Calibri" w:hAnsi="Calibri" w:eastAsia="Calibri" w:cs="Calibri"/>
          <w:i/>
          <w:iCs/>
          <w:color w:val="000000" w:themeColor="text1"/>
          <w:sz w:val="24"/>
          <w:szCs w:val="24"/>
        </w:rPr>
        <w:t>Supporting the friends and family of people with dementia.</w:t>
      </w:r>
      <w:r w:rsidRPr="0E64EED9">
        <w:rPr>
          <w:rFonts w:ascii="Calibri" w:hAnsi="Calibri" w:eastAsia="Calibri" w:cs="Calibri"/>
          <w:color w:val="000000" w:themeColor="text1"/>
          <w:sz w:val="24"/>
          <w:szCs w:val="24"/>
        </w:rPr>
        <w:t xml:space="preserve"> Available at:</w:t>
      </w:r>
      <w:hyperlink r:id="rId16">
        <w:r w:rsidRPr="0E64EED9">
          <w:rPr>
            <w:rStyle w:val="Hyperlink"/>
            <w:rFonts w:ascii="Calibri" w:hAnsi="Calibri" w:eastAsia="Calibri" w:cs="Calibri"/>
            <w:sz w:val="24"/>
            <w:szCs w:val="24"/>
          </w:rPr>
          <w:t>https://socialcare.wales/resources-guidance/improving-care-and-support/people-with-dementia/supporting-the-friends-and-family-of-people-with-dementia</w:t>
        </w:r>
      </w:hyperlink>
      <w:r w:rsidRPr="0E64EED9">
        <w:rPr>
          <w:rFonts w:ascii="Calibri" w:hAnsi="Calibri" w:eastAsia="Calibri" w:cs="Calibri"/>
          <w:color w:val="000000" w:themeColor="text1"/>
          <w:sz w:val="24"/>
          <w:szCs w:val="24"/>
        </w:rPr>
        <w:t xml:space="preserve">. (Accessed on 14 November 2023). </w:t>
      </w:r>
      <w:r w:rsidRPr="0E64EED9">
        <w:rPr>
          <w:rFonts w:ascii="Calibri" w:hAnsi="Calibri" w:eastAsia="Calibri" w:cs="Calibri"/>
          <w:sz w:val="24"/>
          <w:szCs w:val="24"/>
        </w:rPr>
        <w:t xml:space="preserve"> </w:t>
      </w:r>
    </w:p>
    <w:p w:rsidR="36C083F0" w:rsidP="0E64EED9" w:rsidRDefault="36C083F0" w14:paraId="752924BD" w14:textId="51FBBD7C">
      <w:pPr>
        <w:keepNext/>
        <w:keepLines/>
        <w:rPr>
          <w:rFonts w:ascii="Calibri" w:hAnsi="Calibri" w:eastAsia="Calibri" w:cs="Calibri"/>
          <w:color w:val="212121"/>
          <w:sz w:val="24"/>
          <w:szCs w:val="24"/>
        </w:rPr>
      </w:pPr>
      <w:r w:rsidRPr="0E64EED9">
        <w:rPr>
          <w:rFonts w:ascii="Calibri" w:hAnsi="Calibri" w:eastAsia="Calibri" w:cs="Calibri"/>
          <w:color w:val="000000" w:themeColor="text1"/>
          <w:sz w:val="24"/>
          <w:szCs w:val="24"/>
        </w:rPr>
        <w:t xml:space="preserve">The </w:t>
      </w:r>
      <w:proofErr w:type="spellStart"/>
      <w:r w:rsidRPr="0E64EED9">
        <w:rPr>
          <w:rFonts w:ascii="Calibri" w:hAnsi="Calibri" w:eastAsia="Calibri" w:cs="Calibri"/>
          <w:color w:val="000000" w:themeColor="text1"/>
          <w:sz w:val="24"/>
          <w:szCs w:val="24"/>
        </w:rPr>
        <w:t>Kingsfund</w:t>
      </w:r>
      <w:proofErr w:type="spellEnd"/>
      <w:r w:rsidRPr="0E64EED9">
        <w:rPr>
          <w:rFonts w:ascii="Calibri" w:hAnsi="Calibri" w:eastAsia="Calibri" w:cs="Calibri"/>
          <w:color w:val="000000" w:themeColor="text1"/>
          <w:sz w:val="24"/>
          <w:szCs w:val="24"/>
        </w:rPr>
        <w:t xml:space="preserve"> (2022) </w:t>
      </w:r>
      <w:r w:rsidRPr="0E64EED9">
        <w:rPr>
          <w:rFonts w:ascii="Calibri" w:hAnsi="Calibri" w:eastAsia="Calibri" w:cs="Calibri"/>
          <w:i/>
          <w:iCs/>
          <w:color w:val="000000" w:themeColor="text1"/>
          <w:sz w:val="24"/>
          <w:szCs w:val="24"/>
        </w:rPr>
        <w:t xml:space="preserve">NHS staffing shortages. </w:t>
      </w:r>
      <w:r w:rsidRPr="0E64EED9">
        <w:rPr>
          <w:rFonts w:ascii="Calibri" w:hAnsi="Calibri" w:eastAsia="Calibri" w:cs="Calibri"/>
          <w:color w:val="000000" w:themeColor="text1"/>
          <w:sz w:val="24"/>
          <w:szCs w:val="24"/>
        </w:rPr>
        <w:t xml:space="preserve">Available at: </w:t>
      </w:r>
      <w:r w:rsidRPr="0E64EED9">
        <w:rPr>
          <w:rFonts w:ascii="Calibri" w:hAnsi="Calibri" w:eastAsia="Calibri" w:cs="Calibri"/>
          <w:i/>
          <w:iCs/>
          <w:color w:val="000000" w:themeColor="text1"/>
          <w:sz w:val="24"/>
          <w:szCs w:val="24"/>
        </w:rPr>
        <w:t xml:space="preserve"> </w:t>
      </w:r>
      <w:hyperlink r:id="rId17">
        <w:proofErr w:type="spellStart"/>
        <w:r w:rsidRPr="0E64EED9">
          <w:rPr>
            <w:rStyle w:val="Hyperlink"/>
            <w:rFonts w:ascii="Calibri" w:hAnsi="Calibri" w:eastAsia="Calibri" w:cs="Calibri"/>
            <w:sz w:val="24"/>
            <w:szCs w:val="24"/>
          </w:rPr>
          <w:t>NHS_staffing_shortages_final_web</w:t>
        </w:r>
        <w:proofErr w:type="spellEnd"/>
        <w:r w:rsidRPr="0E64EED9">
          <w:rPr>
            <w:rStyle w:val="Hyperlink"/>
            <w:rFonts w:ascii="Calibri" w:hAnsi="Calibri" w:eastAsia="Calibri" w:cs="Calibri"/>
            <w:sz w:val="24"/>
            <w:szCs w:val="24"/>
          </w:rPr>
          <w:t xml:space="preserve"> (2).pdf (kingsfund.org.uk)</w:t>
        </w:r>
      </w:hyperlink>
      <w:r w:rsidRPr="0E64EED9">
        <w:rPr>
          <w:rFonts w:ascii="Calibri" w:hAnsi="Calibri" w:eastAsia="Calibri" w:cs="Calibri"/>
          <w:color w:val="000000" w:themeColor="text1"/>
          <w:sz w:val="24"/>
          <w:szCs w:val="24"/>
        </w:rPr>
        <w:t xml:space="preserve"> (Accessed 6 November 2023).</w:t>
      </w:r>
    </w:p>
    <w:p w:rsidR="14D70826" w:rsidP="0E64EED9" w:rsidRDefault="14D70826" w14:paraId="5355730B" w14:textId="6C82CEEC">
      <w:pPr>
        <w:rPr>
          <w:rFonts w:ascii="Calibri" w:hAnsi="Calibri" w:eastAsia="Calibri" w:cs="Calibri"/>
          <w:sz w:val="24"/>
          <w:szCs w:val="24"/>
        </w:rPr>
      </w:pPr>
      <w:proofErr w:type="spellStart"/>
      <w:r w:rsidRPr="0E64EED9">
        <w:rPr>
          <w:rFonts w:ascii="Calibri" w:hAnsi="Calibri" w:eastAsia="Calibri" w:cs="Calibri"/>
          <w:color w:val="000000" w:themeColor="text1"/>
          <w:sz w:val="24"/>
          <w:szCs w:val="24"/>
        </w:rPr>
        <w:t>Wiisak</w:t>
      </w:r>
      <w:proofErr w:type="spellEnd"/>
      <w:r w:rsidRPr="0E64EED9">
        <w:rPr>
          <w:rFonts w:ascii="Calibri" w:hAnsi="Calibri" w:eastAsia="Calibri" w:cs="Calibri"/>
          <w:color w:val="000000" w:themeColor="text1"/>
          <w:sz w:val="24"/>
          <w:szCs w:val="24"/>
        </w:rPr>
        <w:t xml:space="preserve">, J., </w:t>
      </w:r>
      <w:proofErr w:type="spellStart"/>
      <w:r w:rsidRPr="0E64EED9">
        <w:rPr>
          <w:rFonts w:ascii="Calibri" w:hAnsi="Calibri" w:eastAsia="Calibri" w:cs="Calibri"/>
          <w:color w:val="000000" w:themeColor="text1"/>
          <w:sz w:val="24"/>
          <w:szCs w:val="24"/>
        </w:rPr>
        <w:t>Suhonen</w:t>
      </w:r>
      <w:proofErr w:type="spellEnd"/>
      <w:r w:rsidRPr="0E64EED9">
        <w:rPr>
          <w:rFonts w:ascii="Calibri" w:hAnsi="Calibri" w:eastAsia="Calibri" w:cs="Calibri"/>
          <w:color w:val="000000" w:themeColor="text1"/>
          <w:sz w:val="24"/>
          <w:szCs w:val="24"/>
        </w:rPr>
        <w:t xml:space="preserve">, R. and </w:t>
      </w:r>
      <w:proofErr w:type="spellStart"/>
      <w:r w:rsidRPr="0E64EED9">
        <w:rPr>
          <w:rFonts w:ascii="Calibri" w:hAnsi="Calibri" w:eastAsia="Calibri" w:cs="Calibri"/>
          <w:color w:val="000000" w:themeColor="text1"/>
          <w:sz w:val="24"/>
          <w:szCs w:val="24"/>
        </w:rPr>
        <w:t>Leino‐Kilpi</w:t>
      </w:r>
      <w:proofErr w:type="spellEnd"/>
      <w:r w:rsidRPr="0E64EED9">
        <w:rPr>
          <w:rFonts w:ascii="Calibri" w:hAnsi="Calibri" w:eastAsia="Calibri" w:cs="Calibri"/>
          <w:color w:val="000000" w:themeColor="text1"/>
          <w:sz w:val="24"/>
          <w:szCs w:val="24"/>
        </w:rPr>
        <w:t xml:space="preserve">, H. (2023) ‘Reasoning for whistleblowing in health care’, </w:t>
      </w:r>
      <w:r w:rsidRPr="0E64EED9">
        <w:rPr>
          <w:rFonts w:ascii="Calibri" w:hAnsi="Calibri" w:eastAsia="Calibri" w:cs="Calibri"/>
          <w:i/>
          <w:iCs/>
          <w:color w:val="000000" w:themeColor="text1"/>
          <w:sz w:val="24"/>
          <w:szCs w:val="24"/>
        </w:rPr>
        <w:t>Scandinavian journal of caring sciences</w:t>
      </w:r>
      <w:r w:rsidRPr="0E64EED9">
        <w:rPr>
          <w:rFonts w:ascii="Calibri" w:hAnsi="Calibri" w:eastAsia="Calibri" w:cs="Calibri"/>
          <w:color w:val="000000" w:themeColor="text1"/>
          <w:sz w:val="24"/>
          <w:szCs w:val="24"/>
        </w:rPr>
        <w:t>, 37(2), pp. 316–327.</w:t>
      </w:r>
    </w:p>
    <w:p w:rsidR="0E64EED9" w:rsidP="0E64EED9" w:rsidRDefault="0E64EED9" w14:paraId="3C77E109" w14:textId="7AA56A2D">
      <w:pPr>
        <w:rPr>
          <w:rFonts w:ascii="Calibri" w:hAnsi="Calibri" w:eastAsia="Calibri" w:cs="Calibri"/>
          <w:color w:val="000000" w:themeColor="text1"/>
          <w:sz w:val="24"/>
          <w:szCs w:val="24"/>
        </w:rPr>
      </w:pPr>
    </w:p>
    <w:p w:rsidR="0E64EED9" w:rsidP="0E64EED9" w:rsidRDefault="0E64EED9" w14:paraId="6D5829A7" w14:textId="4EFEFBCC">
      <w:pPr>
        <w:keepNext/>
        <w:keepLines/>
        <w:rPr>
          <w:rFonts w:ascii="Calibri" w:hAnsi="Calibri" w:eastAsia="Calibri" w:cs="Calibri"/>
          <w:color w:val="000000" w:themeColor="text1"/>
          <w:sz w:val="24"/>
          <w:szCs w:val="24"/>
        </w:rPr>
      </w:pPr>
    </w:p>
    <w:p w:rsidR="0E64EED9" w:rsidP="0E64EED9" w:rsidRDefault="0E64EED9" w14:paraId="2FBF8077" w14:textId="1065D3FC">
      <w:pPr>
        <w:rPr>
          <w:rFonts w:ascii="Calibri" w:hAnsi="Calibri" w:eastAsia="Calibri" w:cs="Calibri"/>
          <w:color w:val="000000" w:themeColor="text1"/>
          <w:sz w:val="24"/>
          <w:szCs w:val="24"/>
        </w:rPr>
      </w:pPr>
    </w:p>
    <w:p w:rsidR="0E64EED9" w:rsidP="0E64EED9" w:rsidRDefault="0E64EED9" w14:paraId="4065125E" w14:textId="27A4538A">
      <w:pPr>
        <w:keepNext/>
        <w:keepLines/>
      </w:pPr>
    </w:p>
    <w:p w:rsidR="0E64EED9" w:rsidP="0E64EED9" w:rsidRDefault="0E64EED9" w14:paraId="5A3A79EE" w14:textId="5D99D1FC">
      <w:pPr>
        <w:rPr>
          <w:sz w:val="24"/>
          <w:szCs w:val="24"/>
        </w:rPr>
      </w:pPr>
    </w:p>
    <w:sectPr w:rsidR="0E64EED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twM0321Sqh5BLY" int2:id="25N4wUkF">
      <int2:state int2:value="Rejected" int2:type="AugLoop_Text_Critique"/>
    </int2:textHash>
    <int2:textHash int2:hashCode="d86fu0WWIP2kl1" int2:id="bbhYo1VN">
      <int2:state int2:value="Rejected" int2:type="AugLoop_Text_Critique"/>
    </int2:textHash>
    <int2:textHash int2:hashCode="f//hMC4jTfaT/p" int2:id="jsiQBfqU">
      <int2:state int2:value="Rejected" int2:type="AugLoop_Text_Critique"/>
    </int2:textHash>
    <int2:textHash int2:hashCode="ngnHqPgCM5+p0U" int2:id="o8jVzjgW">
      <int2:state int2:value="Rejected" int2:type="AugLoop_Text_Critique"/>
    </int2:textHash>
    <int2:textHash int2:hashCode="kZxYT5UyMWLJIv" int2:id="GdqyPfWv">
      <int2:state int2:value="Rejected" int2:type="AugLoop_Text_Critique"/>
    </int2:textHash>
    <int2:textHash int2:hashCode="iEapr42Qw2OdGj" int2:id="Be3ef0lU">
      <int2:state int2:value="Rejected" int2:type="AugLoop_Text_Critique"/>
    </int2:textHash>
    <int2:textHash int2:hashCode="Zu2MhlfoBvQkkt" int2:id="ztmTqlZ2">
      <int2:state int2:value="Rejected" int2:type="AugLoop_Text_Critique"/>
    </int2:textHash>
    <int2:textHash int2:hashCode="XmY6GrPMA7J8LY" int2:id="0slYKI9Q">
      <int2:state int2:value="Rejected" int2:type="AugLoop_Text_Critique"/>
    </int2:textHash>
    <int2:textHash int2:hashCode="KvzHNE2EhtdBZg" int2:id="hg9FdWvU">
      <int2:state int2:value="Rejected" int2:type="AugLoop_Text_Critique"/>
    </int2:textHash>
    <int2:textHash int2:hashCode="i8qckQ92O5I/QF" int2:id="6xQ45LQp">
      <int2:state int2:value="Rejected" int2:type="AugLoop_Text_Critique"/>
    </int2:textHash>
    <int2:textHash int2:hashCode="BqgkRKCrnxomoJ" int2:id="E5jM4ixw">
      <int2:state int2:value="Rejected" int2:type="AugLoop_Text_Critique"/>
    </int2:textHash>
    <int2:bookmark int2:bookmarkName="_Int_LptLsMBf" int2:invalidationBookmarkName="" int2:hashCode="A6sI3V5iIaE9vO" int2:id="kzyypPl7">
      <int2:state int2:value="Rejected" int2:type="AugLoop_Text_Critique"/>
    </int2:bookmark>
    <int2:bookmark int2:bookmarkName="_Int_gNVh96uQ" int2:invalidationBookmarkName="" int2:hashCode="uDDXCMXhiIF+Hw" int2:id="rLt2AYmR">
      <int2:state int2:value="Rejected" int2:type="AugLoop_Text_Critique"/>
    </int2:bookmark>
    <int2:bookmark int2:bookmarkName="_Int_tB0B7hZu" int2:invalidationBookmarkName="" int2:hashCode="gj5v6xbXJu9AAb" int2:id="754Iflyl">
      <int2:state int2:value="Rejected" int2:type="AugLoop_Acronyms_AcronymsCritique"/>
    </int2:bookmark>
  </int2:observations>
  <int2:intelligenceSettings/>
  <int2:onDemandWorkflows>
    <int2:onDemandWorkflow int2:type="SimilarityCheck" int2:paragraphVersions="79F00258-2FCEFB14 2FD25AD2-66A5B150 61045DB7-3A8F206E 22F1FAB2-31C7548E 351E3018-13DF016E 706D96FB-31D3185C 17AA5CC0-2F263FCE 4752D3C8-75A50107 0F2D1CF3-17F21C06 2BEC7937-4F65B526 4EACE317-6E93D050 3B01C590-3B497A27 2018E00A-6E2DC487 78670BDF-5CB749CC 3574AAFF-5058D802 7B537CED-4ADBF40E 7F5558E4-358A7B29 498D075D-3B2F811A 66D56262-16678AC3 7A5F0213-07494CF5 12C1D5ED-06AE7710 6163845C-54C015A4 605D1646-72BF1768 2D942065-78BE956C 5E5787A5-7D9B1B5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D18B64"/>
    <w:rsid w:val="00090524"/>
    <w:rsid w:val="00447B31"/>
    <w:rsid w:val="00A03120"/>
    <w:rsid w:val="01C8462A"/>
    <w:rsid w:val="02B2B1FA"/>
    <w:rsid w:val="03ACDD24"/>
    <w:rsid w:val="046085BA"/>
    <w:rsid w:val="0568E797"/>
    <w:rsid w:val="0645AAA0"/>
    <w:rsid w:val="06FF4B6C"/>
    <w:rsid w:val="0798267C"/>
    <w:rsid w:val="0C08E5C7"/>
    <w:rsid w:val="0C457703"/>
    <w:rsid w:val="0E64EED9"/>
    <w:rsid w:val="0F408689"/>
    <w:rsid w:val="10DC2419"/>
    <w:rsid w:val="10DC56EA"/>
    <w:rsid w:val="1277F47A"/>
    <w:rsid w:val="1278274B"/>
    <w:rsid w:val="1413F7AC"/>
    <w:rsid w:val="14D70826"/>
    <w:rsid w:val="15AF953C"/>
    <w:rsid w:val="174B659D"/>
    <w:rsid w:val="178D3DC3"/>
    <w:rsid w:val="17CDC31A"/>
    <w:rsid w:val="18635648"/>
    <w:rsid w:val="18E735FE"/>
    <w:rsid w:val="1C1ED6C0"/>
    <w:rsid w:val="1DF3D427"/>
    <w:rsid w:val="1F3FE5B4"/>
    <w:rsid w:val="1F567782"/>
    <w:rsid w:val="20AA09C4"/>
    <w:rsid w:val="228E1844"/>
    <w:rsid w:val="22F6645A"/>
    <w:rsid w:val="23603F61"/>
    <w:rsid w:val="2429E8A5"/>
    <w:rsid w:val="24CD7566"/>
    <w:rsid w:val="262E051C"/>
    <w:rsid w:val="26EA0FE8"/>
    <w:rsid w:val="2965A5DE"/>
    <w:rsid w:val="2A21B0AA"/>
    <w:rsid w:val="2B01763F"/>
    <w:rsid w:val="2D0F9520"/>
    <w:rsid w:val="2E926FF5"/>
    <w:rsid w:val="2EF521CD"/>
    <w:rsid w:val="337ED6A4"/>
    <w:rsid w:val="35BA193B"/>
    <w:rsid w:val="35D18B64"/>
    <w:rsid w:val="365AAE12"/>
    <w:rsid w:val="36B67766"/>
    <w:rsid w:val="36C083F0"/>
    <w:rsid w:val="3A68CC8E"/>
    <w:rsid w:val="3CBB57F0"/>
    <w:rsid w:val="3CC14476"/>
    <w:rsid w:val="42090B4C"/>
    <w:rsid w:val="424AD3DF"/>
    <w:rsid w:val="4251C255"/>
    <w:rsid w:val="4DA091D1"/>
    <w:rsid w:val="4DAC1650"/>
    <w:rsid w:val="4E34D53E"/>
    <w:rsid w:val="4EDF9A9B"/>
    <w:rsid w:val="4F47E6B1"/>
    <w:rsid w:val="4FBACCA9"/>
    <w:rsid w:val="519FC1DE"/>
    <w:rsid w:val="51C88AA9"/>
    <w:rsid w:val="527F8773"/>
    <w:rsid w:val="533B923F"/>
    <w:rsid w:val="554EDC1F"/>
    <w:rsid w:val="5672A84B"/>
    <w:rsid w:val="5908EA09"/>
    <w:rsid w:val="5FB7636F"/>
    <w:rsid w:val="68B6989D"/>
    <w:rsid w:val="7386699D"/>
    <w:rsid w:val="77B5C8E0"/>
    <w:rsid w:val="77D8664D"/>
    <w:rsid w:val="7A873519"/>
    <w:rsid w:val="7B10070F"/>
    <w:rsid w:val="7CABD770"/>
    <w:rsid w:val="7D4646BF"/>
    <w:rsid w:val="7E1C5F44"/>
    <w:rsid w:val="7EE3B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18B64"/>
  <w15:chartTrackingRefBased/>
  <w15:docId w15:val="{A724C6CD-53A3-46CB-8BA6-C49B299E2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instituteforcollaborativeworking.com/About-ICW/What-is-Collaborative-Working" TargetMode="External" Id="rId8" /><Relationship Type="http://schemas.openxmlformats.org/officeDocument/2006/relationships/hyperlink" Target="https://www.nhsprofessionals.nhs.uk/en/partners/publications/-/media/96C3BF9D08194C5096AE45B67EB7B71E.ashx" TargetMode="External"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hyperlink" Target="https://uk.indeed.com/career-advice/career-development/what-does-collaboration-mean" TargetMode="External" Id="rId7" /><Relationship Type="http://schemas.openxmlformats.org/officeDocument/2006/relationships/hyperlink" Target="https://www.tewv.nhs.uk/content/uploads/2021/11/MAR-charts-procedure.pdf" TargetMode="External" Id="rId12" /><Relationship Type="http://schemas.openxmlformats.org/officeDocument/2006/relationships/hyperlink" Target="https://www.kingsfund.org.uk/sites/default/files/2022-11/NHS_staffing_shortages_final_web%20%282%29.pdf" TargetMode="External" Id="rId17" /><Relationship Type="http://schemas.openxmlformats.org/officeDocument/2006/relationships/settings" Target="settings.xml" Id="rId2" /><Relationship Type="http://schemas.openxmlformats.org/officeDocument/2006/relationships/hyperlink" Target="https://socialcare.wales/resources-guidance/improving-care-and-support/people-with-dementia/supporting-the-friends-and-family-of-people-with-dementia" TargetMode="External" Id="rId16" /><Relationship Type="http://schemas.microsoft.com/office/2020/10/relationships/intelligence" Target="intelligence2.xml" Id="rId20" /><Relationship Type="http://schemas.openxmlformats.org/officeDocument/2006/relationships/styles" Target="styles.xml" Id="rId1" /><Relationship Type="http://schemas.openxmlformats.org/officeDocument/2006/relationships/hyperlink" Target="https://www.cqc.org.uk/guidance-providers/adult-social-care/medicines-administration-records-adult-social-care" TargetMode="External" Id="rId6" /><Relationship Type="http://schemas.openxmlformats.org/officeDocument/2006/relationships/hyperlink" Target="https://www.england.nhs.uk/wp-content/uploads/2021/07/SQW-NHS-England-Improving-communications-report-30June.pdf" TargetMode="External" Id="rId11" /><Relationship Type="http://schemas.openxmlformats.org/officeDocument/2006/relationships/hyperlink" Target="https://www.cqc.org.uk/publications/major-reports/better-care-through-collaboration" TargetMode="External" Id="rId5" /><Relationship Type="http://schemas.openxmlformats.org/officeDocument/2006/relationships/hyperlink" Target="https://www.scie.org.uk/integrated-care/research-practice/activities/multidisciplinary-teams" TargetMode="External" Id="rId15" /><Relationship Type="http://schemas.openxmlformats.org/officeDocument/2006/relationships/hyperlink" Target="https://www.webmd.com/alzheimers/ss/slideshow-is-it-aging-or-alzheimers" TargetMode="External" Id="rId10" /><Relationship Type="http://schemas.openxmlformats.org/officeDocument/2006/relationships/theme" Target="theme/theme1.xml" Id="rId19" /><Relationship Type="http://schemas.openxmlformats.org/officeDocument/2006/relationships/hyperlink" Target="https://dictionary.cambridge.org/dictionary/english/collaborative-working" TargetMode="External" Id="rId4" /><Relationship Type="http://schemas.openxmlformats.org/officeDocument/2006/relationships/hyperlink" Target="https://nursing.jnj.com/getting-real-nursing-today/the-importance-of-interprofessional-collaboration-in-healthcare" TargetMode="External" Id="rId9" /><Relationship Type="http://schemas.openxmlformats.org/officeDocument/2006/relationships/hyperlink" Target="https://www.rcn.org.uk/library/subject-guides/medicines-management"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Mwenya (2238202)</dc:creator>
  <keywords/>
  <dc:description/>
  <lastModifiedBy>Clare Mwenya (2238202)</lastModifiedBy>
  <revision>6</revision>
  <dcterms:created xsi:type="dcterms:W3CDTF">2023-11-26T13:12:00.0000000Z</dcterms:created>
  <dcterms:modified xsi:type="dcterms:W3CDTF">2023-11-28T14:05:05.3628350Z</dcterms:modified>
</coreProperties>
</file>