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8D8D8" w:themeColor="background1" w:themeShade="D8"/>
  <w:body>
    <w:p w14:paraId="62FAD2A7" w14:textId="4CB230FB" w:rsidR="00891062" w:rsidRDefault="00194006" w:rsidP="003B7FD5">
      <w:pPr>
        <w:jc w:val="center"/>
      </w:pPr>
      <w:r>
        <w:rPr>
          <w:b/>
          <w:noProof/>
          <w:sz w:val="96"/>
          <w:szCs w:val="96"/>
        </w:rPr>
        <mc:AlternateContent>
          <mc:Choice Requires="wps">
            <w:drawing>
              <wp:anchor distT="0" distB="0" distL="114300" distR="114300" simplePos="0" relativeHeight="251665408" behindDoc="0" locked="0" layoutInCell="1" allowOverlap="1" wp14:anchorId="214D3F1A" wp14:editId="21566819">
                <wp:simplePos x="0" y="0"/>
                <wp:positionH relativeFrom="column">
                  <wp:posOffset>-368300</wp:posOffset>
                </wp:positionH>
                <wp:positionV relativeFrom="paragraph">
                  <wp:posOffset>520065</wp:posOffset>
                </wp:positionV>
                <wp:extent cx="4302125" cy="2425700"/>
                <wp:effectExtent l="25400" t="63500" r="117475" b="76200"/>
                <wp:wrapNone/>
                <wp:docPr id="8" name="Rounded Rectangle 8"/>
                <wp:cNvGraphicFramePr/>
                <a:graphic xmlns:a="http://schemas.openxmlformats.org/drawingml/2006/main">
                  <a:graphicData uri="http://schemas.microsoft.com/office/word/2010/wordprocessingShape">
                    <wps:wsp>
                      <wps:cNvSpPr/>
                      <wps:spPr>
                        <a:xfrm>
                          <a:off x="0" y="0"/>
                          <a:ext cx="4302125" cy="2425700"/>
                        </a:xfrm>
                        <a:prstGeom prst="roundRect">
                          <a:avLst/>
                        </a:prstGeom>
                        <a:solidFill>
                          <a:srgbClr val="ECBAEF"/>
                        </a:solidFill>
                        <a:ln w="38100">
                          <a:solidFill>
                            <a:srgbClr val="FF40FF"/>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16E214C" w14:textId="7615F1CD" w:rsidR="003B7FD5" w:rsidRPr="003B7FD5" w:rsidRDefault="003B7FD5" w:rsidP="003B7FD5">
                            <w:pPr>
                              <w:rPr>
                                <w:b/>
                                <w:color w:val="000000" w:themeColor="text1"/>
                                <w:sz w:val="18"/>
                                <w:u w:val="single"/>
                              </w:rPr>
                            </w:pPr>
                            <w:r w:rsidRPr="003B7FD5">
                              <w:rPr>
                                <w:b/>
                                <w:color w:val="000000" w:themeColor="text1"/>
                                <w:sz w:val="18"/>
                                <w:u w:val="single"/>
                              </w:rPr>
                              <w:t>ENVIRONMENTAL</w:t>
                            </w:r>
                          </w:p>
                          <w:p w14:paraId="14080426" w14:textId="442959FD" w:rsidR="003B7FD5" w:rsidRPr="003B7FD5" w:rsidRDefault="003B7FD5" w:rsidP="003B7FD5">
                            <w:pPr>
                              <w:rPr>
                                <w:color w:val="000000" w:themeColor="text1"/>
                                <w:sz w:val="18"/>
                              </w:rPr>
                            </w:pPr>
                            <w:r w:rsidRPr="003B7FD5">
                              <w:rPr>
                                <w:color w:val="000000" w:themeColor="text1"/>
                                <w:sz w:val="18"/>
                              </w:rPr>
                              <w:t>Environmental factors refer to the physical and natural environment in which the organization operates. These can include natural disasters, climate change, and pollution. In Climate Change and Strategic Management, Andrew Hoffman states that global warming has become “a critical strategic issue for organizations”, though insists that it also “presents opportunities for innovation, competitive advantage, and societal leadership.” (Hoffman, 2010). Environmental factors can also include those which occur on a smaller scale, such as particularly warm or cold weather. In the private sector, it is important that organisations are aware of any adverse weather conditions which might have a negative impact on the way in which their business or their employees are able to work efficiently. In some cases, it might be necessary for the company to make investments into upgraded infrastructure.</w:t>
                            </w:r>
                          </w:p>
                          <w:p w14:paraId="00653E41" w14:textId="77777777" w:rsidR="003B7FD5" w:rsidRDefault="003B7FD5" w:rsidP="003B7F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4D3F1A" id="Rounded Rectangle 8" o:spid="_x0000_s1026" style="position:absolute;left:0;text-align:left;margin-left:-29pt;margin-top:40.95pt;width:338.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" fillcolor="#ecbaef" strokecolor="#ff40ff" strokeweight="3pt">
                <v:stroke joinstyle="miter"/>
                <v:shadow on="t" color="black" opacity="26214f" origin="-.5" offset="3pt,0"/>
                <v:textbox>
                  <w:txbxContent>
                    <w:p w14:paraId="016E214C" w14:textId="7615F1CD" w:rsidR="003B7FD5" w:rsidRPr="003B7FD5" w:rsidRDefault="003B7FD5" w:rsidP="003B7FD5">
                      <w:pPr>
                        <w:rPr>
                          <w:b/>
                          <w:color w:val="000000" w:themeColor="text1"/>
                          <w:sz w:val="18"/>
                          <w:u w:val="single"/>
                        </w:rPr>
                      </w:pPr>
                      <w:r w:rsidRPr="003B7FD5">
                        <w:rPr>
                          <w:b/>
                          <w:color w:val="000000" w:themeColor="text1"/>
                          <w:sz w:val="18"/>
                          <w:u w:val="single"/>
                        </w:rPr>
                        <w:t>ENVIRONMENTAL</w:t>
                      </w:r>
                    </w:p>
                    <w:p w14:paraId="14080426" w14:textId="442959FD" w:rsidR="003B7FD5" w:rsidRPr="003B7FD5" w:rsidRDefault="003B7FD5" w:rsidP="003B7FD5">
                      <w:pPr>
                        <w:rPr>
                          <w:color w:val="000000" w:themeColor="text1"/>
                          <w:sz w:val="18"/>
                        </w:rPr>
                      </w:pPr>
                      <w:r w:rsidRPr="003B7FD5">
                        <w:rPr>
                          <w:color w:val="000000" w:themeColor="text1"/>
                          <w:sz w:val="18"/>
                        </w:rPr>
                        <w:t>Environmental factors refer to the physical and natural environment in which the organization operates. These can include natural disasters, climate change, and pollution. In Climate Change and Strategic Management, Andrew Hoffman states that global warming has become “a critical strategic issue for organizations”, though insists that it also “presents opportunities for innovation, competitive advantage, and societal leadership.” (Hoffman, 2010). Environmental factors can also include those which occur on a smaller scale, such as particularly warm or cold weather. In the private sector, it is important that organisations are aware of any adverse weather conditions which might have a negative impact on the way in which their business or their employees are able to work efficiently. In some cases, it might be necessary for the company to make investments into upgraded infrastructure.</w:t>
                      </w:r>
                    </w:p>
                    <w:p w14:paraId="00653E41" w14:textId="77777777" w:rsidR="003B7FD5" w:rsidRDefault="003B7FD5" w:rsidP="003B7FD5">
                      <w:pPr>
                        <w:jc w:val="center"/>
                      </w:pPr>
                    </w:p>
                  </w:txbxContent>
                </v:textbox>
              </v:roundrect>
            </w:pict>
          </mc:Fallback>
        </mc:AlternateContent>
      </w:r>
      <w:r>
        <w:rPr>
          <w:b/>
          <w:noProof/>
          <w:sz w:val="96"/>
          <w:szCs w:val="96"/>
        </w:rPr>
        <mc:AlternateContent>
          <mc:Choice Requires="wps">
            <w:drawing>
              <wp:anchor distT="0" distB="0" distL="114300" distR="114300" simplePos="0" relativeHeight="251654140" behindDoc="0" locked="0" layoutInCell="1" allowOverlap="1" wp14:anchorId="30D2BE61" wp14:editId="04B975DC">
                <wp:simplePos x="0" y="0"/>
                <wp:positionH relativeFrom="column">
                  <wp:posOffset>-304800</wp:posOffset>
                </wp:positionH>
                <wp:positionV relativeFrom="paragraph">
                  <wp:posOffset>2986405</wp:posOffset>
                </wp:positionV>
                <wp:extent cx="4879340" cy="2414905"/>
                <wp:effectExtent l="25400" t="63500" r="111760" b="74295"/>
                <wp:wrapNone/>
                <wp:docPr id="9" name="Rounded Rectangle 9"/>
                <wp:cNvGraphicFramePr/>
                <a:graphic xmlns:a="http://schemas.openxmlformats.org/drawingml/2006/main">
                  <a:graphicData uri="http://schemas.microsoft.com/office/word/2010/wordprocessingShape">
                    <wps:wsp>
                      <wps:cNvSpPr/>
                      <wps:spPr>
                        <a:xfrm>
                          <a:off x="0" y="0"/>
                          <a:ext cx="4879340" cy="2414905"/>
                        </a:xfrm>
                        <a:prstGeom prst="roundRect">
                          <a:avLst/>
                        </a:prstGeom>
                        <a:solidFill>
                          <a:schemeClr val="accent6">
                            <a:lumMod val="60000"/>
                            <a:lumOff val="40000"/>
                          </a:schemeClr>
                        </a:solidFill>
                        <a:ln w="38100">
                          <a:solidFill>
                            <a:schemeClr val="accent6"/>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D1789A6" w14:textId="272BC92E" w:rsidR="003B7FD5" w:rsidRPr="003B7FD5" w:rsidRDefault="003B7FD5" w:rsidP="003B7FD5">
                            <w:pPr>
                              <w:jc w:val="right"/>
                              <w:rPr>
                                <w:b/>
                                <w:color w:val="000000" w:themeColor="text1"/>
                                <w:sz w:val="18"/>
                                <w:u w:val="single"/>
                              </w:rPr>
                            </w:pPr>
                            <w:r w:rsidRPr="003B7FD5">
                              <w:rPr>
                                <w:b/>
                                <w:color w:val="000000" w:themeColor="text1"/>
                                <w:sz w:val="18"/>
                                <w:u w:val="single"/>
                              </w:rPr>
                              <w:t>LEGAL</w:t>
                            </w:r>
                          </w:p>
                          <w:p w14:paraId="1AE274DB" w14:textId="421AE6DD" w:rsidR="003B7FD5" w:rsidRPr="003B7FD5" w:rsidRDefault="003B7FD5" w:rsidP="003B7FD5">
                            <w:pPr>
                              <w:rPr>
                                <w:color w:val="000000" w:themeColor="text1"/>
                                <w:sz w:val="18"/>
                              </w:rPr>
                            </w:pPr>
                            <w:r w:rsidRPr="003B7FD5">
                              <w:rPr>
                                <w:color w:val="000000" w:themeColor="text1"/>
                                <w:sz w:val="18"/>
                              </w:rPr>
                              <w:t>Legal factors refer to the laws and regulations that an organisation must comply with. These can include employment laws, health and safety regulations, and environmental laws. In both the private and public sector, legal factors obviously play a very important role in the way that organisations run. Companies will be required to abide by different laws and legislation depending on what industry they operate in &amp; it is vital that they are aware both aware of and abide by these laws. There are some laws that will impact companies more broadly, however. An example of this could be the government's decision to increase the minimum wage, which can have a positive effect on the lives of low-paid workers but also can increase the cost of doing business for companies (Neumark et al., 2014). Challenges will differ depending on the sector that the company operates in. For example, “public sector companies are subject to a unique set of legal and ethical considerations that can greatly impact their operations… and they can be particularly challenging for public sector companies to navigate.” (Phillips, 2015).</w:t>
                            </w:r>
                          </w:p>
                          <w:p w14:paraId="6BC25D22" w14:textId="77777777" w:rsidR="003B7FD5" w:rsidRDefault="003B7FD5" w:rsidP="003B7F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D2BE61" id="Rounded Rectangle 9" o:spid="_x0000_s1027" style="position:absolute;left:0;text-align:left;margin-left:-24pt;margin-top:235.15pt;width:384.2pt;height:190.15pt;z-index:2516541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" fillcolor="#a8d08d [1945]" strokecolor="#70ad47 [3209]" strokeweight="3pt">
                <v:stroke joinstyle="miter"/>
                <v:shadow on="t" color="black" opacity="26214f" origin="-.5" offset="3pt,0"/>
                <v:textbox>
                  <w:txbxContent>
                    <w:p w14:paraId="1D1789A6" w14:textId="272BC92E" w:rsidR="003B7FD5" w:rsidRPr="003B7FD5" w:rsidRDefault="003B7FD5" w:rsidP="003B7FD5">
                      <w:pPr>
                        <w:jc w:val="right"/>
                        <w:rPr>
                          <w:b/>
                          <w:color w:val="000000" w:themeColor="text1"/>
                          <w:sz w:val="18"/>
                          <w:u w:val="single"/>
                        </w:rPr>
                      </w:pPr>
                      <w:r w:rsidRPr="003B7FD5">
                        <w:rPr>
                          <w:b/>
                          <w:color w:val="000000" w:themeColor="text1"/>
                          <w:sz w:val="18"/>
                          <w:u w:val="single"/>
                        </w:rPr>
                        <w:t>LEGAL</w:t>
                      </w:r>
                    </w:p>
                    <w:p w14:paraId="1AE274DB" w14:textId="421AE6DD" w:rsidR="003B7FD5" w:rsidRPr="003B7FD5" w:rsidRDefault="003B7FD5" w:rsidP="003B7FD5">
                      <w:pPr>
                        <w:rPr>
                          <w:color w:val="000000" w:themeColor="text1"/>
                          <w:sz w:val="18"/>
                        </w:rPr>
                      </w:pPr>
                      <w:r w:rsidRPr="003B7FD5">
                        <w:rPr>
                          <w:color w:val="000000" w:themeColor="text1"/>
                          <w:sz w:val="18"/>
                        </w:rPr>
                        <w:t>Legal factors refer to the laws and regulations that an organisation must comply with. These can include employment laws, health and safety regulations, and environmental laws. In both the private and public sector, legal factors obviously play a very important role in the way that organisations run. Companies will be required to abide by different laws and legislation depending on what industry they operate in &amp; it is vital that they are aware both aware of and abide by these laws. There are some laws that will impact companies more broadly, however. An example of this could be the government's decision to increase the minimum wage, which can have a positive effect on the lives of low-paid workers but also can increase the cost of doing business for companies (Neumark et al., 2014). Challenges will differ depending on the sector that the company operates in. For example, “public sector companies are subject to a unique set of legal and ethical considerations that can greatly impact their operations… and they can be particularly challenging for public sector companies to navigate.” (Phillips, 2015).</w:t>
                      </w:r>
                    </w:p>
                    <w:p w14:paraId="6BC25D22" w14:textId="77777777" w:rsidR="003B7FD5" w:rsidRDefault="003B7FD5" w:rsidP="003B7FD5">
                      <w:pPr>
                        <w:jc w:val="center"/>
                      </w:pPr>
                    </w:p>
                  </w:txbxContent>
                </v:textbox>
              </v:roundrect>
            </w:pict>
          </mc:Fallback>
        </mc:AlternateContent>
      </w:r>
      <w:r>
        <w:rPr>
          <w:b/>
          <w:noProof/>
          <w:sz w:val="96"/>
          <w:szCs w:val="96"/>
        </w:rPr>
        <mc:AlternateContent>
          <mc:Choice Requires="wps">
            <w:drawing>
              <wp:anchor distT="0" distB="0" distL="114300" distR="114300" simplePos="0" relativeHeight="251656190" behindDoc="0" locked="0" layoutInCell="1" allowOverlap="1" wp14:anchorId="32A5CDBD" wp14:editId="38BCC6DE">
                <wp:simplePos x="0" y="0"/>
                <wp:positionH relativeFrom="column">
                  <wp:posOffset>4660901</wp:posOffset>
                </wp:positionH>
                <wp:positionV relativeFrom="paragraph">
                  <wp:posOffset>3021965</wp:posOffset>
                </wp:positionV>
                <wp:extent cx="5257800" cy="2379345"/>
                <wp:effectExtent l="25400" t="63500" r="114300" b="71755"/>
                <wp:wrapNone/>
                <wp:docPr id="7" name="Rounded Rectangle 7"/>
                <wp:cNvGraphicFramePr/>
                <a:graphic xmlns:a="http://schemas.openxmlformats.org/drawingml/2006/main">
                  <a:graphicData uri="http://schemas.microsoft.com/office/word/2010/wordprocessingShape">
                    <wps:wsp>
                      <wps:cNvSpPr/>
                      <wps:spPr>
                        <a:xfrm>
                          <a:off x="0" y="0"/>
                          <a:ext cx="5257800" cy="2379345"/>
                        </a:xfrm>
                        <a:prstGeom prst="roundRect">
                          <a:avLst/>
                        </a:prstGeom>
                        <a:solidFill>
                          <a:schemeClr val="accent4">
                            <a:lumMod val="60000"/>
                            <a:lumOff val="40000"/>
                          </a:schemeClr>
                        </a:solidFill>
                        <a:ln w="38100">
                          <a:solidFill>
                            <a:schemeClr val="accent4"/>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C287B1D" w14:textId="7540EB30" w:rsidR="003B7FD5" w:rsidRPr="003B7FD5" w:rsidRDefault="003B7FD5" w:rsidP="003B7FD5">
                            <w:pPr>
                              <w:rPr>
                                <w:b/>
                                <w:color w:val="000000" w:themeColor="text1"/>
                                <w:sz w:val="18"/>
                                <w:u w:val="single"/>
                              </w:rPr>
                            </w:pPr>
                            <w:r w:rsidRPr="003B7FD5">
                              <w:rPr>
                                <w:b/>
                                <w:color w:val="000000" w:themeColor="text1"/>
                                <w:sz w:val="18"/>
                                <w:u w:val="single"/>
                              </w:rPr>
                              <w:t>SOCIOLOGICAL</w:t>
                            </w:r>
                          </w:p>
                          <w:p w14:paraId="736FC9E7" w14:textId="27815CDC" w:rsidR="003B7FD5" w:rsidRPr="003B7FD5" w:rsidRDefault="003B7FD5" w:rsidP="003B7FD5">
                            <w:pPr>
                              <w:rPr>
                                <w:color w:val="000000" w:themeColor="text1"/>
                                <w:sz w:val="18"/>
                              </w:rPr>
                            </w:pPr>
                            <w:r w:rsidRPr="003B7FD5">
                              <w:rPr>
                                <w:color w:val="000000" w:themeColor="text1"/>
                                <w:sz w:val="18"/>
                              </w:rPr>
                              <w:t>Sociological factors refer to the cultural norms, values and expectations which exist &amp; change within society that can affect an organisation. These can include things like the changes in demographic, such as an ageing population &amp; changes in consumer behaviour and changing attitudes towards certain products or services (Hopkin, 2012). An example of how this might impact a company within the third sector could be the increasing awareness of issues around sustainability which has led to a rise in demand for fundraising for environmentally-friendly charities. As society has become more aware of the need to support these organisations. Change in attitudes towards charitable giving can also impact the funding available to non-profit organisations. Another example of organisations having to keep up with societal trends is the shift towards healthier lifestyle. In ‘Healthy Eating and the Changing Food Industry’, Dr. Lawrence Kuznar (2011) writes that "The food industry is responding to the growing demand for healthy and sustainable food in a variety of ways, including the development of new products, the reformulation of existing products, and the use of healthier ingredients.”.</w:t>
                            </w:r>
                          </w:p>
                          <w:p w14:paraId="128F525C" w14:textId="77777777" w:rsidR="003B7FD5" w:rsidRPr="003B7FD5" w:rsidRDefault="003B7FD5" w:rsidP="003B7FD5">
                            <w:pPr>
                              <w:jc w:val="center"/>
                              <w:rPr>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5CDBD" id="Rounded Rectangle 7" o:spid="_x0000_s1028" style="position:absolute;left:0;text-align:left;margin-left:367pt;margin-top:237.95pt;width:414pt;height:187.35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" fillcolor="#ffd966 [1943]" strokecolor="#ffc000 [3207]" strokeweight="3pt">
                <v:stroke joinstyle="miter"/>
                <v:shadow on="t" color="black" opacity="26214f" origin="-.5" offset="3pt,0"/>
                <v:textbox>
                  <w:txbxContent>
                    <w:p w14:paraId="3C287B1D" w14:textId="7540EB30" w:rsidR="003B7FD5" w:rsidRPr="003B7FD5" w:rsidRDefault="003B7FD5" w:rsidP="003B7FD5">
                      <w:pPr>
                        <w:rPr>
                          <w:b/>
                          <w:color w:val="000000" w:themeColor="text1"/>
                          <w:sz w:val="18"/>
                          <w:u w:val="single"/>
                        </w:rPr>
                      </w:pPr>
                      <w:r w:rsidRPr="003B7FD5">
                        <w:rPr>
                          <w:b/>
                          <w:color w:val="000000" w:themeColor="text1"/>
                          <w:sz w:val="18"/>
                          <w:u w:val="single"/>
                        </w:rPr>
                        <w:t>SOCIOLOGICAL</w:t>
                      </w:r>
                    </w:p>
                    <w:p w14:paraId="736FC9E7" w14:textId="27815CDC" w:rsidR="003B7FD5" w:rsidRPr="003B7FD5" w:rsidRDefault="003B7FD5" w:rsidP="003B7FD5">
                      <w:pPr>
                        <w:rPr>
                          <w:color w:val="000000" w:themeColor="text1"/>
                          <w:sz w:val="18"/>
                        </w:rPr>
                      </w:pPr>
                      <w:r w:rsidRPr="003B7FD5">
                        <w:rPr>
                          <w:color w:val="000000" w:themeColor="text1"/>
                          <w:sz w:val="18"/>
                        </w:rPr>
                        <w:t>Sociological factors refer to the cultural norms, values and expectations which exist &amp; change within society that can affect an organisation. These can include things like the changes in demographic, such as an ageing population &amp; changes in consumer behaviour and changing attitudes towards certain products or services (Hopkin, 2012). An example of how this might impact a company within the third sector could be the increasing awareness of issues around sustainability which has led to a rise in demand for fundraising for environmentally-friendly charities. As society has become more aware of the need to support these organisations. Change in attitudes towards charitable giving can also impact the funding available to non-profit organisations. Another example of organisations having to keep up with societal trends is the shift towards healthier lifestyle. In ‘Healthy Eating and the Changing Food Industry’, Dr. Lawrence Kuznar (2011) writes that "The food industry is responding to the growing demand for healthy and sustainable food in a variety of ways, including the development of new products, the reformulation of existing products, and the use of healthier ingredients.”.</w:t>
                      </w:r>
                    </w:p>
                    <w:p w14:paraId="128F525C" w14:textId="77777777" w:rsidR="003B7FD5" w:rsidRPr="003B7FD5" w:rsidRDefault="003B7FD5" w:rsidP="003B7FD5">
                      <w:pPr>
                        <w:jc w:val="center"/>
                        <w:rPr>
                          <w:color w:val="000000" w:themeColor="text1"/>
                          <w:sz w:val="20"/>
                        </w:rPr>
                      </w:pPr>
                    </w:p>
                  </w:txbxContent>
                </v:textbox>
              </v:roundrect>
            </w:pict>
          </mc:Fallback>
        </mc:AlternateContent>
      </w:r>
      <w:r>
        <w:rPr>
          <w:b/>
          <w:noProof/>
          <w:sz w:val="96"/>
          <w:szCs w:val="96"/>
        </w:rPr>
        <mc:AlternateContent>
          <mc:Choice Requires="wps">
            <w:drawing>
              <wp:anchor distT="0" distB="0" distL="114300" distR="114300" simplePos="0" relativeHeight="251655165" behindDoc="0" locked="0" layoutInCell="1" allowOverlap="1" wp14:anchorId="73C5A174" wp14:editId="225ED154">
                <wp:simplePos x="0" y="0"/>
                <wp:positionH relativeFrom="column">
                  <wp:posOffset>-101600</wp:posOffset>
                </wp:positionH>
                <wp:positionV relativeFrom="paragraph">
                  <wp:posOffset>5511165</wp:posOffset>
                </wp:positionV>
                <wp:extent cx="9931400" cy="1219200"/>
                <wp:effectExtent l="25400" t="63500" r="114300" b="76200"/>
                <wp:wrapNone/>
                <wp:docPr id="10" name="Rounded Rectangle 10"/>
                <wp:cNvGraphicFramePr/>
                <a:graphic xmlns:a="http://schemas.openxmlformats.org/drawingml/2006/main">
                  <a:graphicData uri="http://schemas.microsoft.com/office/word/2010/wordprocessingShape">
                    <wps:wsp>
                      <wps:cNvSpPr/>
                      <wps:spPr>
                        <a:xfrm>
                          <a:off x="0" y="0"/>
                          <a:ext cx="9931400" cy="1219200"/>
                        </a:xfrm>
                        <a:prstGeom prst="roundRect">
                          <a:avLst/>
                        </a:prstGeom>
                        <a:solidFill>
                          <a:schemeClr val="accent5">
                            <a:lumMod val="60000"/>
                            <a:lumOff val="40000"/>
                          </a:schemeClr>
                        </a:solidFill>
                        <a:ln w="38100">
                          <a:solidFill>
                            <a:schemeClr val="accent5"/>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7420A3B" w14:textId="1EA89147" w:rsidR="003B7FD5" w:rsidRPr="003B7FD5" w:rsidRDefault="003B7FD5" w:rsidP="003B7FD5">
                            <w:pPr>
                              <w:rPr>
                                <w:b/>
                                <w:color w:val="000000" w:themeColor="text1"/>
                                <w:sz w:val="18"/>
                                <w:u w:val="single"/>
                              </w:rPr>
                            </w:pPr>
                            <w:r w:rsidRPr="003B7FD5">
                              <w:rPr>
                                <w:b/>
                                <w:color w:val="000000" w:themeColor="text1"/>
                                <w:sz w:val="18"/>
                                <w:u w:val="single"/>
                              </w:rPr>
                              <w:t>TECHNOLOGICAL</w:t>
                            </w:r>
                          </w:p>
                          <w:p w14:paraId="17A38E36" w14:textId="57C83910" w:rsidR="003B7FD5" w:rsidRPr="003B7FD5" w:rsidRDefault="003B7FD5" w:rsidP="003B7FD5">
                            <w:pPr>
                              <w:rPr>
                                <w:color w:val="000000" w:themeColor="text1"/>
                                <w:sz w:val="18"/>
                              </w:rPr>
                            </w:pPr>
                            <w:r w:rsidRPr="003B7FD5">
                              <w:rPr>
                                <w:color w:val="000000" w:themeColor="text1"/>
                                <w:sz w:val="18"/>
                              </w:rPr>
                              <w:t>Technological factors refer to the advancements in technology that can affect an organisation. For example, the growing use of automation and artificial intelligence in the workplace has the potential to change the nature of work and the skills required for certain jobs. In the private sector, technological factors can have a huge impact on companies. For example, companies such as Uber and Airbnb have disrupted traditional business models by utilizing the latest technologies, such as mobile apps and location-based services (Alton, 2016). It could also be said that the development of new technologies has the potential to make processes more efficient, completing tasks alongside or even instead of humans who would have been employed to complete them previously, while continuously changing technologies also mean it is important for private sector companies to keep on top of new developments to prevent them from being left behind by their competitors.</w:t>
                            </w:r>
                          </w:p>
                          <w:p w14:paraId="2708D2C5" w14:textId="77777777" w:rsidR="003B7FD5" w:rsidRDefault="003B7FD5" w:rsidP="003B7F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C5A174" id="Rounded Rectangle 10" o:spid="_x0000_s1029" style="position:absolute;left:0;text-align:left;margin-left:-8pt;margin-top:433.95pt;width:782pt;height:96pt;z-index:2516551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" fillcolor="#9cc2e5 [1944]" strokecolor="#5b9bd5 [3208]" strokeweight="3pt">
                <v:stroke joinstyle="miter"/>
                <v:shadow on="t" color="black" opacity="26214f" origin="-.5" offset="3pt,0"/>
                <v:textbox>
                  <w:txbxContent>
                    <w:p w14:paraId="37420A3B" w14:textId="1EA89147" w:rsidR="003B7FD5" w:rsidRPr="003B7FD5" w:rsidRDefault="003B7FD5" w:rsidP="003B7FD5">
                      <w:pPr>
                        <w:rPr>
                          <w:b/>
                          <w:color w:val="000000" w:themeColor="text1"/>
                          <w:sz w:val="18"/>
                          <w:u w:val="single"/>
                        </w:rPr>
                      </w:pPr>
                      <w:r w:rsidRPr="003B7FD5">
                        <w:rPr>
                          <w:b/>
                          <w:color w:val="000000" w:themeColor="text1"/>
                          <w:sz w:val="18"/>
                          <w:u w:val="single"/>
                        </w:rPr>
                        <w:t>TECHNOLOGICAL</w:t>
                      </w:r>
                    </w:p>
                    <w:p w14:paraId="17A38E36" w14:textId="57C83910" w:rsidR="003B7FD5" w:rsidRPr="003B7FD5" w:rsidRDefault="003B7FD5" w:rsidP="003B7FD5">
                      <w:pPr>
                        <w:rPr>
                          <w:color w:val="000000" w:themeColor="text1"/>
                          <w:sz w:val="18"/>
                        </w:rPr>
                      </w:pPr>
                      <w:r w:rsidRPr="003B7FD5">
                        <w:rPr>
                          <w:color w:val="000000" w:themeColor="text1"/>
                          <w:sz w:val="18"/>
                        </w:rPr>
                        <w:t>Technological factors refer to the advancements in technology that can affect an organisation. For example, the growing use of automation and artificial intelligence in the workplace has the potential to change the nature of work and the skills required for certain jobs. In the private sector, technological factors can have a huge impact on companies. For example, companies such as Uber and Airbnb have disrupted traditional business models by utilizing the latest technologies, such as mobile apps and location-based services (Alton, 2016). It could also be said that the development of new technologies has the potential to make processes more efficient, completing tasks alongside or even instead of humans who would have been employed to complete them previously, while continuously changing technologies also mean it is important for private sector companies to keep on top of new developments to prevent them from being left behind by their competitors.</w:t>
                      </w:r>
                    </w:p>
                    <w:p w14:paraId="2708D2C5" w14:textId="77777777" w:rsidR="003B7FD5" w:rsidRDefault="003B7FD5" w:rsidP="003B7FD5">
                      <w:pPr>
                        <w:jc w:val="center"/>
                      </w:pPr>
                    </w:p>
                  </w:txbxContent>
                </v:textbox>
              </v:roundrect>
            </w:pict>
          </mc:Fallback>
        </mc:AlternateContent>
      </w:r>
      <w:r w:rsidR="002272F4">
        <w:rPr>
          <w:b/>
          <w:noProof/>
          <w:sz w:val="96"/>
          <w:szCs w:val="96"/>
        </w:rPr>
        <mc:AlternateContent>
          <mc:Choice Requires="wps">
            <w:drawing>
              <wp:anchor distT="0" distB="0" distL="114300" distR="114300" simplePos="0" relativeHeight="251666432" behindDoc="0" locked="0" layoutInCell="1" allowOverlap="1" wp14:anchorId="358A3DE2" wp14:editId="2E8D7E1A">
                <wp:simplePos x="0" y="0"/>
                <wp:positionH relativeFrom="column">
                  <wp:posOffset>4324985</wp:posOffset>
                </wp:positionH>
                <wp:positionV relativeFrom="paragraph">
                  <wp:posOffset>1146175</wp:posOffset>
                </wp:positionV>
                <wp:extent cx="1629507" cy="949569"/>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629507" cy="949569"/>
                        </a:xfrm>
                        <a:prstGeom prst="rect">
                          <a:avLst/>
                        </a:prstGeom>
                        <a:noFill/>
                        <a:ln w="6350">
                          <a:noFill/>
                        </a:ln>
                      </wps:spPr>
                      <wps:txbx>
                        <w:txbxContent>
                          <w:p w14:paraId="7DC33C65" w14:textId="3F7985F5" w:rsidR="003B7FD5" w:rsidRPr="003B7FD5" w:rsidRDefault="003B7FD5" w:rsidP="003B7FD5">
                            <w:pPr>
                              <w:jc w:val="center"/>
                              <w:rPr>
                                <w:b/>
                                <w:sz w:val="52"/>
                                <w:u w:val="single"/>
                              </w:rPr>
                            </w:pPr>
                            <w:r w:rsidRPr="003B7FD5">
                              <w:rPr>
                                <w:b/>
                                <w:sz w:val="52"/>
                                <w:u w:val="single"/>
                              </w:rPr>
                              <w:t>PESTLE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8A3DE2" id="_x0000_t202" coordsize="21600,21600" o:spt="202" path="m,l,21600r21600,l21600,xe">
                <v:stroke joinstyle="miter"/>
                <v:path gradientshapeok="t" o:connecttype="rect"/>
              </v:shapetype>
              <v:shape id="Text Box 11" o:spid="_x0000_s1030" type="#_x0000_t202" style="position:absolute;left:0;text-align:left;margin-left:340.55pt;margin-top:90.25pt;width:128.3pt;height:7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" filled="f" stroked="f" strokeweight=".5pt">
                <v:textbox>
                  <w:txbxContent>
                    <w:p w14:paraId="7DC33C65" w14:textId="3F7985F5" w:rsidR="003B7FD5" w:rsidRPr="003B7FD5" w:rsidRDefault="003B7FD5" w:rsidP="003B7FD5">
                      <w:pPr>
                        <w:jc w:val="center"/>
                        <w:rPr>
                          <w:b/>
                          <w:sz w:val="52"/>
                          <w:u w:val="single"/>
                        </w:rPr>
                      </w:pPr>
                      <w:r w:rsidRPr="003B7FD5">
                        <w:rPr>
                          <w:b/>
                          <w:sz w:val="52"/>
                          <w:u w:val="single"/>
                        </w:rPr>
                        <w:t>PESTLE ANALYSIS</w:t>
                      </w:r>
                    </w:p>
                  </w:txbxContent>
                </v:textbox>
              </v:shape>
            </w:pict>
          </mc:Fallback>
        </mc:AlternateContent>
      </w:r>
      <w:r w:rsidR="002272F4" w:rsidRPr="003B7FD5">
        <w:rPr>
          <w:b/>
          <w:noProof/>
          <w:sz w:val="96"/>
          <w:szCs w:val="96"/>
        </w:rPr>
        <w:drawing>
          <wp:anchor distT="0" distB="0" distL="114300" distR="114300" simplePos="0" relativeHeight="251658240" behindDoc="0" locked="0" layoutInCell="1" allowOverlap="1" wp14:anchorId="5CAD442D" wp14:editId="135C084F">
            <wp:simplePos x="0" y="0"/>
            <wp:positionH relativeFrom="column">
              <wp:posOffset>3739515</wp:posOffset>
            </wp:positionH>
            <wp:positionV relativeFrom="paragraph">
              <wp:posOffset>625475</wp:posOffset>
            </wp:positionV>
            <wp:extent cx="2789555" cy="2286000"/>
            <wp:effectExtent l="0" t="12700" r="0" b="3810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r w:rsidR="002272F4">
        <w:rPr>
          <w:b/>
          <w:noProof/>
          <w:sz w:val="96"/>
          <w:szCs w:val="96"/>
        </w:rPr>
        <mc:AlternateContent>
          <mc:Choice Requires="wps">
            <w:drawing>
              <wp:anchor distT="0" distB="0" distL="114300" distR="114300" simplePos="0" relativeHeight="251659264" behindDoc="0" locked="0" layoutInCell="1" allowOverlap="1" wp14:anchorId="623207D3" wp14:editId="3218624D">
                <wp:simplePos x="0" y="0"/>
                <wp:positionH relativeFrom="column">
                  <wp:posOffset>-241300</wp:posOffset>
                </wp:positionH>
                <wp:positionV relativeFrom="paragraph">
                  <wp:posOffset>-534670</wp:posOffset>
                </wp:positionV>
                <wp:extent cx="10071100" cy="1054735"/>
                <wp:effectExtent l="25400" t="63500" r="114300" b="75565"/>
                <wp:wrapNone/>
                <wp:docPr id="5" name="Rounded Rectangle 5"/>
                <wp:cNvGraphicFramePr/>
                <a:graphic xmlns:a="http://schemas.openxmlformats.org/drawingml/2006/main">
                  <a:graphicData uri="http://schemas.microsoft.com/office/word/2010/wordprocessingShape">
                    <wps:wsp>
                      <wps:cNvSpPr/>
                      <wps:spPr>
                        <a:xfrm>
                          <a:off x="0" y="0"/>
                          <a:ext cx="10071100" cy="1054735"/>
                        </a:xfrm>
                        <a:prstGeom prst="roundRect">
                          <a:avLst/>
                        </a:prstGeom>
                        <a:solidFill>
                          <a:schemeClr val="accent2">
                            <a:lumMod val="60000"/>
                            <a:lumOff val="40000"/>
                          </a:schemeClr>
                        </a:solidFill>
                        <a:ln w="38100">
                          <a:solidFill>
                            <a:schemeClr val="accent2"/>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171CE7" w14:textId="1606C29F" w:rsidR="003B7FD5" w:rsidRPr="003B7FD5" w:rsidRDefault="003B7FD5" w:rsidP="003B7FD5">
                            <w:pPr>
                              <w:rPr>
                                <w:b/>
                                <w:color w:val="000000" w:themeColor="text1"/>
                                <w:sz w:val="18"/>
                                <w:u w:val="single"/>
                              </w:rPr>
                            </w:pPr>
                            <w:r w:rsidRPr="003B7FD5">
                              <w:rPr>
                                <w:b/>
                                <w:color w:val="000000" w:themeColor="text1"/>
                                <w:sz w:val="18"/>
                                <w:u w:val="single"/>
                              </w:rPr>
                              <w:t>POLITICAL</w:t>
                            </w:r>
                          </w:p>
                          <w:p w14:paraId="2E3623B1" w14:textId="2C0244D3" w:rsidR="003B7FD5" w:rsidRPr="003B7FD5" w:rsidRDefault="003B7FD5" w:rsidP="003B7FD5">
                            <w:pPr>
                              <w:rPr>
                                <w:color w:val="000000" w:themeColor="text1"/>
                                <w:sz w:val="18"/>
                              </w:rPr>
                            </w:pPr>
                            <w:r w:rsidRPr="003B7FD5">
                              <w:rPr>
                                <w:color w:val="000000" w:themeColor="text1"/>
                                <w:sz w:val="18"/>
                              </w:rPr>
                              <w:t>Political factors refer to the government policies and regulations that can affect the operations of the organization. For example, trade tariffs, taxes, and labour laws. Recently, the COVID-19 pandemic has brought about new political challenges for organizations, such as travel restrictions and lockdowns (Odey, 2021). When looking specifically at the public sector, political factors are crucial. For example, the if the government was to make a decision to increase funding for healthcare services, this would likely have a positive effect on public hospitals, allowing them to invest more in resources to improve the quality of output at the hospital. Naturally, the decision to cut funding would have the reverse effect (Bush, 2019).</w:t>
                            </w:r>
                          </w:p>
                          <w:p w14:paraId="2331729D" w14:textId="77777777" w:rsidR="003B7FD5" w:rsidRDefault="003B7FD5" w:rsidP="003B7F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207D3" id="Rounded Rectangle 5" o:spid="_x0000_s1031" style="position:absolute;left:0;text-align:left;margin-left:-19pt;margin-top:-42.1pt;width:793pt;height:8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" fillcolor="#f4b083 [1941]" strokecolor="#ed7d31 [3205]" strokeweight="3pt">
                <v:stroke joinstyle="miter"/>
                <v:shadow on="t" color="black" opacity="26214f" origin="-.5" offset="3pt,0"/>
                <v:textbox>
                  <w:txbxContent>
                    <w:p w14:paraId="6E171CE7" w14:textId="1606C29F" w:rsidR="003B7FD5" w:rsidRPr="003B7FD5" w:rsidRDefault="003B7FD5" w:rsidP="003B7FD5">
                      <w:pPr>
                        <w:rPr>
                          <w:b/>
                          <w:color w:val="000000" w:themeColor="text1"/>
                          <w:sz w:val="18"/>
                          <w:u w:val="single"/>
                        </w:rPr>
                      </w:pPr>
                      <w:r w:rsidRPr="003B7FD5">
                        <w:rPr>
                          <w:b/>
                          <w:color w:val="000000" w:themeColor="text1"/>
                          <w:sz w:val="18"/>
                          <w:u w:val="single"/>
                        </w:rPr>
                        <w:t>POLITICAL</w:t>
                      </w:r>
                    </w:p>
                    <w:p w14:paraId="2E3623B1" w14:textId="2C0244D3" w:rsidR="003B7FD5" w:rsidRPr="003B7FD5" w:rsidRDefault="003B7FD5" w:rsidP="003B7FD5">
                      <w:pPr>
                        <w:rPr>
                          <w:color w:val="000000" w:themeColor="text1"/>
                          <w:sz w:val="18"/>
                        </w:rPr>
                      </w:pPr>
                      <w:r w:rsidRPr="003B7FD5">
                        <w:rPr>
                          <w:color w:val="000000" w:themeColor="text1"/>
                          <w:sz w:val="18"/>
                        </w:rPr>
                        <w:t>Political factors refer to the government policies and regulations that can affect the operations of the organization. For example, trade tariffs, taxes, and labour laws. Recently, the COVID-19 pandemic has brought about new political challenges for organizations, such as travel restrictions and lockdowns (Odey, 2021). When looking specifically at the public sector, political factors are crucial. For example, the if the government was to make a decision to increase funding for healthcare services, this would likely have a positive effect on public hospitals, allowing them to invest more in resources to improve the quality of output at the hospital. Naturally, the decision to cut funding would have the reverse effect (Bush, 2019).</w:t>
                      </w:r>
                    </w:p>
                    <w:p w14:paraId="2331729D" w14:textId="77777777" w:rsidR="003B7FD5" w:rsidRDefault="003B7FD5" w:rsidP="003B7FD5">
                      <w:pPr>
                        <w:jc w:val="center"/>
                      </w:pPr>
                    </w:p>
                  </w:txbxContent>
                </v:textbox>
              </v:roundrect>
            </w:pict>
          </mc:Fallback>
        </mc:AlternateContent>
      </w:r>
      <w:r w:rsidR="00A9013B">
        <w:rPr>
          <w:b/>
          <w:noProof/>
          <w:sz w:val="96"/>
          <w:szCs w:val="96"/>
        </w:rPr>
        <mc:AlternateContent>
          <mc:Choice Requires="wps">
            <w:drawing>
              <wp:anchor distT="0" distB="0" distL="114300" distR="114300" simplePos="0" relativeHeight="251657215" behindDoc="0" locked="0" layoutInCell="1" allowOverlap="1" wp14:anchorId="7B06D8CF" wp14:editId="29D8B628">
                <wp:simplePos x="0" y="0"/>
                <wp:positionH relativeFrom="column">
                  <wp:posOffset>6295292</wp:posOffset>
                </wp:positionH>
                <wp:positionV relativeFrom="paragraph">
                  <wp:posOffset>419443</wp:posOffset>
                </wp:positionV>
                <wp:extent cx="3821430" cy="2942492"/>
                <wp:effectExtent l="25400" t="63500" r="115570" b="80645"/>
                <wp:wrapNone/>
                <wp:docPr id="6" name="Rounded Rectangle 6"/>
                <wp:cNvGraphicFramePr/>
                <a:graphic xmlns:a="http://schemas.openxmlformats.org/drawingml/2006/main">
                  <a:graphicData uri="http://schemas.microsoft.com/office/word/2010/wordprocessingShape">
                    <wps:wsp>
                      <wps:cNvSpPr/>
                      <wps:spPr>
                        <a:xfrm>
                          <a:off x="0" y="0"/>
                          <a:ext cx="3821430" cy="2942492"/>
                        </a:xfrm>
                        <a:prstGeom prst="roundRect">
                          <a:avLst>
                            <a:gd name="adj" fmla="val 17917"/>
                          </a:avLst>
                        </a:prstGeom>
                        <a:solidFill>
                          <a:srgbClr val="AC8CEA"/>
                        </a:solidFill>
                        <a:ln w="38100">
                          <a:solidFill>
                            <a:srgbClr val="7030A0"/>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291076" w14:textId="798FA57C" w:rsidR="003B7FD5" w:rsidRPr="003B7FD5" w:rsidRDefault="003B7FD5" w:rsidP="003B7FD5">
                            <w:pPr>
                              <w:rPr>
                                <w:color w:val="000000" w:themeColor="text1"/>
                                <w:sz w:val="18"/>
                              </w:rPr>
                            </w:pPr>
                            <w:r w:rsidRPr="003B7FD5">
                              <w:rPr>
                                <w:color w:val="000000" w:themeColor="text1"/>
                                <w:sz w:val="18"/>
                              </w:rPr>
                              <w:t xml:space="preserve">Economic factors which could potentially have an impact on an organisation include factors such as the rate of inflation, interest rates, and exchange rates. The ongoing COVID-19 pandemic has also had a significant economic impact on organizations, as many businesses have had to close down temporarily or permanently, leading to job losses and reduced consumer spending (BBC, 2020). </w:t>
                            </w:r>
                          </w:p>
                          <w:p w14:paraId="714A3838" w14:textId="50D1F004" w:rsidR="00A9013B" w:rsidRPr="00A9013B" w:rsidRDefault="003B7FD5" w:rsidP="00A9013B">
                            <w:pPr>
                              <w:rPr>
                                <w:color w:val="000000" w:themeColor="text1"/>
                                <w:sz w:val="18"/>
                              </w:rPr>
                            </w:pPr>
                            <w:r w:rsidRPr="003B7FD5">
                              <w:rPr>
                                <w:color w:val="000000" w:themeColor="text1"/>
                                <w:sz w:val="18"/>
                              </w:rPr>
                              <w:t>In the private sector, economic factors can be particularly important as they can affect the cost of goods and services, rate consumer spending and the availability of finance to run the business efficiently. For example, a rise in interest rates can make it more expensive for businesses to borrow money, which can lead to reduced investment and lower profits (Bank of England, 2023). Inflation is another factor which can impact organisations in the private sector. “The most significant effects of inflation is the uncertainty created when the inflation rate is fluctuating, which can reduce or increase consumer purchasing power” (Olusola, 2022).</w:t>
                            </w:r>
                            <w:r w:rsidR="00A9013B">
                              <w:rPr>
                                <w:color w:val="000000" w:themeColor="text1"/>
                                <w:sz w:val="18"/>
                              </w:rPr>
                              <w:t xml:space="preserve">                                    </w:t>
                            </w:r>
                            <w:r w:rsidR="00A9013B" w:rsidRPr="00A9013B">
                              <w:rPr>
                                <w:b/>
                                <w:color w:val="000000" w:themeColor="text1"/>
                                <w:sz w:val="18"/>
                                <w:u w:val="single"/>
                              </w:rPr>
                              <w:t>ECONOMIC</w:t>
                            </w:r>
                          </w:p>
                          <w:p w14:paraId="49121BCE" w14:textId="77777777" w:rsidR="003B7FD5" w:rsidRPr="003B7FD5" w:rsidRDefault="003B7FD5" w:rsidP="003B7FD5">
                            <w:pPr>
                              <w:jc w:val="center"/>
                              <w:rPr>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06D8CF" id="Rounded Rectangle 6" o:spid="_x0000_s1032" style="position:absolute;left:0;text-align:left;margin-left:495.7pt;margin-top:33.05pt;width:300.9pt;height:231.7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174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" fillcolor="#ac8cea" strokecolor="#7030a0" strokeweight="3pt">
                <v:stroke joinstyle="miter"/>
                <v:shadow on="t" color="black" opacity="26214f" origin="-.5" offset="3pt,0"/>
                <v:textbox>
                  <w:txbxContent>
                    <w:p w14:paraId="21291076" w14:textId="798FA57C" w:rsidR="003B7FD5" w:rsidRPr="003B7FD5" w:rsidRDefault="003B7FD5" w:rsidP="003B7FD5">
                      <w:pPr>
                        <w:rPr>
                          <w:color w:val="000000" w:themeColor="text1"/>
                          <w:sz w:val="18"/>
                        </w:rPr>
                      </w:pPr>
                      <w:r w:rsidRPr="003B7FD5">
                        <w:rPr>
                          <w:color w:val="000000" w:themeColor="text1"/>
                          <w:sz w:val="18"/>
                        </w:rPr>
                        <w:t xml:space="preserve">Economic factors which could potentially have an impact on an organisation include factors such as the rate of inflation, interest rates, and exchange rates. The ongoing COVID-19 pandemic has also had a significant economic impact on organizations, as many businesses have had to close down temporarily or permanently, leading to job losses and reduced consumer spending (BBC, 2020). </w:t>
                      </w:r>
                    </w:p>
                    <w:p w14:paraId="714A3838" w14:textId="50D1F004" w:rsidR="00A9013B" w:rsidRPr="00A9013B" w:rsidRDefault="003B7FD5" w:rsidP="00A9013B">
                      <w:pPr>
                        <w:rPr>
                          <w:color w:val="000000" w:themeColor="text1"/>
                          <w:sz w:val="18"/>
                        </w:rPr>
                      </w:pPr>
                      <w:r w:rsidRPr="003B7FD5">
                        <w:rPr>
                          <w:color w:val="000000" w:themeColor="text1"/>
                          <w:sz w:val="18"/>
                        </w:rPr>
                        <w:t>In the private sector, economic factors can be particularly important as they can affect the cost of goods and services, rate consumer spending and the availability of finance to run the business efficiently. For example, a rise in interest rates can make it more expensive for businesses to borrow money, which can lead to reduced investment and lower profits (Bank of England, 2023). Inflation is another factor which can impact organisations in the private sector. “The most significant effects of inflation is the uncertainty created when the inflation rate is fluctuating, which can reduce or increase consumer purchasing power” (Olusola, 2022).</w:t>
                      </w:r>
                      <w:r w:rsidR="00A9013B">
                        <w:rPr>
                          <w:color w:val="000000" w:themeColor="text1"/>
                          <w:sz w:val="18"/>
                        </w:rPr>
                        <w:t xml:space="preserve">                                    </w:t>
                      </w:r>
                      <w:r w:rsidR="00A9013B" w:rsidRPr="00A9013B">
                        <w:rPr>
                          <w:b/>
                          <w:color w:val="000000" w:themeColor="text1"/>
                          <w:sz w:val="18"/>
                          <w:u w:val="single"/>
                        </w:rPr>
                        <w:t>ECONOMIC</w:t>
                      </w:r>
                    </w:p>
                    <w:p w14:paraId="49121BCE" w14:textId="77777777" w:rsidR="003B7FD5" w:rsidRPr="003B7FD5" w:rsidRDefault="003B7FD5" w:rsidP="003B7FD5">
                      <w:pPr>
                        <w:jc w:val="center"/>
                        <w:rPr>
                          <w:color w:val="000000" w:themeColor="text1"/>
                          <w:sz w:val="20"/>
                        </w:rPr>
                      </w:pPr>
                    </w:p>
                  </w:txbxContent>
                </v:textbox>
              </v:roundrect>
            </w:pict>
          </mc:Fallback>
        </mc:AlternateContent>
      </w:r>
    </w:p>
    <w:p w14:paraId="525133F7" w14:textId="77777777" w:rsidR="00891062" w:rsidRPr="00891062" w:rsidRDefault="00891062" w:rsidP="00891062"/>
    <w:p w14:paraId="0575DB34" w14:textId="77777777" w:rsidR="00891062" w:rsidRPr="00891062" w:rsidRDefault="00891062" w:rsidP="00891062"/>
    <w:p w14:paraId="2FEE2480" w14:textId="77777777" w:rsidR="00891062" w:rsidRPr="00891062" w:rsidRDefault="00891062" w:rsidP="00891062"/>
    <w:p w14:paraId="02648AD9" w14:textId="77777777" w:rsidR="00891062" w:rsidRPr="00891062" w:rsidRDefault="00891062" w:rsidP="00891062"/>
    <w:p w14:paraId="3EF3998B" w14:textId="77777777" w:rsidR="00891062" w:rsidRPr="00891062" w:rsidRDefault="00891062" w:rsidP="00891062"/>
    <w:p w14:paraId="5F5FAE92" w14:textId="77777777" w:rsidR="00891062" w:rsidRPr="00891062" w:rsidRDefault="00891062" w:rsidP="00891062"/>
    <w:p w14:paraId="7A75C5EF" w14:textId="77777777" w:rsidR="00891062" w:rsidRPr="00891062" w:rsidRDefault="00891062" w:rsidP="00891062"/>
    <w:p w14:paraId="501168C5" w14:textId="77777777" w:rsidR="00891062" w:rsidRPr="00891062" w:rsidRDefault="00891062" w:rsidP="00891062"/>
    <w:p w14:paraId="14A89FF6" w14:textId="77777777" w:rsidR="00891062" w:rsidRPr="00891062" w:rsidRDefault="00891062" w:rsidP="00891062"/>
    <w:p w14:paraId="31F10DA1" w14:textId="77777777" w:rsidR="00891062" w:rsidRPr="00891062" w:rsidRDefault="00891062" w:rsidP="00891062"/>
    <w:p w14:paraId="51A92FE8" w14:textId="77777777" w:rsidR="00891062" w:rsidRPr="00891062" w:rsidRDefault="00891062" w:rsidP="00891062"/>
    <w:p w14:paraId="244F18F1" w14:textId="77777777" w:rsidR="00891062" w:rsidRPr="00891062" w:rsidRDefault="00891062" w:rsidP="00891062"/>
    <w:p w14:paraId="0E8F8A72" w14:textId="77777777" w:rsidR="00891062" w:rsidRPr="00891062" w:rsidRDefault="00891062" w:rsidP="00891062"/>
    <w:p w14:paraId="3D4BE9C0" w14:textId="77777777" w:rsidR="00891062" w:rsidRPr="00891062" w:rsidRDefault="00891062" w:rsidP="00891062"/>
    <w:p w14:paraId="2B66B06A" w14:textId="77777777" w:rsidR="00891062" w:rsidRPr="00891062" w:rsidRDefault="00891062" w:rsidP="00891062"/>
    <w:p w14:paraId="69D21D38" w14:textId="77777777" w:rsidR="00891062" w:rsidRPr="00891062" w:rsidRDefault="00891062" w:rsidP="00891062"/>
    <w:p w14:paraId="76C209CC" w14:textId="77777777" w:rsidR="00891062" w:rsidRPr="00891062" w:rsidRDefault="00891062" w:rsidP="00891062"/>
    <w:p w14:paraId="6B0DF7BB" w14:textId="6FD4CED1" w:rsidR="00891062" w:rsidRDefault="00891062" w:rsidP="00891062">
      <w:pPr>
        <w:jc w:val="center"/>
      </w:pPr>
    </w:p>
    <w:p w14:paraId="520F0FB3" w14:textId="77777777" w:rsidR="00891062" w:rsidRDefault="00891062">
      <w:pPr>
        <w:spacing w:after="0" w:line="240" w:lineRule="auto"/>
      </w:pPr>
      <w:r>
        <w:br w:type="page"/>
      </w:r>
    </w:p>
    <w:p w14:paraId="764F0BD3" w14:textId="51942D4A" w:rsidR="00891062" w:rsidRDefault="00891062" w:rsidP="00891062">
      <w:pPr>
        <w:rPr>
          <w:rFonts w:ascii="Arial" w:hAnsi="Arial" w:cs="Arial"/>
          <w:b/>
          <w:sz w:val="32"/>
          <w:u w:val="single"/>
        </w:rPr>
      </w:pPr>
      <w:r w:rsidRPr="00891062">
        <w:rPr>
          <w:rFonts w:ascii="Arial" w:hAnsi="Arial" w:cs="Arial"/>
          <w:b/>
          <w:sz w:val="32"/>
          <w:u w:val="single"/>
        </w:rPr>
        <w:lastRenderedPageBreak/>
        <w:t>References</w:t>
      </w:r>
    </w:p>
    <w:p w14:paraId="6D1C7ABD" w14:textId="77777777" w:rsidR="00891062" w:rsidRPr="00891062" w:rsidRDefault="00891062" w:rsidP="00891062">
      <w:pPr>
        <w:rPr>
          <w:rFonts w:ascii="Arial" w:hAnsi="Arial" w:cs="Arial"/>
          <w:sz w:val="24"/>
        </w:rPr>
      </w:pPr>
      <w:r w:rsidRPr="00891062">
        <w:rPr>
          <w:rFonts w:ascii="Arial" w:hAnsi="Arial" w:cs="Arial"/>
          <w:sz w:val="24"/>
        </w:rPr>
        <w:t xml:space="preserve">Alton, L. (2016) </w:t>
      </w:r>
      <w:r w:rsidRPr="00891062">
        <w:rPr>
          <w:rFonts w:ascii="Arial" w:hAnsi="Arial" w:cs="Arial"/>
          <w:i/>
          <w:sz w:val="24"/>
        </w:rPr>
        <w:t>How Purple, Uber and Airbnb Are Disrupting and Redefining Old Industries.</w:t>
      </w:r>
      <w:r w:rsidRPr="00891062">
        <w:rPr>
          <w:rFonts w:ascii="Arial" w:hAnsi="Arial" w:cs="Arial"/>
          <w:sz w:val="24"/>
        </w:rPr>
        <w:t xml:space="preserve"> Available at: </w:t>
      </w:r>
      <w:hyperlink r:id="rId11" w:history="1">
        <w:r w:rsidRPr="00891062">
          <w:rPr>
            <w:rStyle w:val="Hyperlink"/>
            <w:rFonts w:ascii="Arial" w:hAnsi="Arial" w:cs="Arial"/>
            <w:sz w:val="24"/>
          </w:rPr>
          <w:t>https://www.entrepreneur.com/leadership/how-purple-uber-and-airbnb-are-disrupting-and-redefining/273650</w:t>
        </w:r>
      </w:hyperlink>
      <w:r w:rsidRPr="00891062">
        <w:rPr>
          <w:rFonts w:ascii="Arial" w:hAnsi="Arial" w:cs="Arial"/>
          <w:sz w:val="24"/>
        </w:rPr>
        <w:t xml:space="preserve"> </w:t>
      </w:r>
      <w:r w:rsidRPr="00891062">
        <w:rPr>
          <w:rFonts w:ascii="Arial" w:hAnsi="Arial" w:cs="Arial"/>
          <w:color w:val="000000" w:themeColor="text1"/>
          <w:sz w:val="24"/>
        </w:rPr>
        <w:t>(Accessed: 15 Jan. 2023)</w:t>
      </w:r>
    </w:p>
    <w:p w14:paraId="789D91C1" w14:textId="77777777" w:rsidR="00891062" w:rsidRPr="00891062" w:rsidRDefault="00891062" w:rsidP="00891062">
      <w:pPr>
        <w:rPr>
          <w:rFonts w:ascii="Arial" w:hAnsi="Arial" w:cs="Arial"/>
          <w:sz w:val="24"/>
        </w:rPr>
      </w:pPr>
      <w:r w:rsidRPr="00891062">
        <w:rPr>
          <w:rFonts w:ascii="Arial" w:hAnsi="Arial" w:cs="Arial"/>
          <w:sz w:val="24"/>
        </w:rPr>
        <w:t xml:space="preserve">Bank of England. (2023) </w:t>
      </w:r>
      <w:r w:rsidRPr="00891062">
        <w:rPr>
          <w:rFonts w:ascii="Arial" w:hAnsi="Arial" w:cs="Arial"/>
          <w:i/>
          <w:sz w:val="24"/>
        </w:rPr>
        <w:t xml:space="preserve">Why have interest rates gone up?. </w:t>
      </w:r>
      <w:r w:rsidRPr="00891062">
        <w:rPr>
          <w:rFonts w:ascii="Arial" w:hAnsi="Arial" w:cs="Arial"/>
          <w:sz w:val="24"/>
        </w:rPr>
        <w:t xml:space="preserve">Available at: </w:t>
      </w:r>
      <w:hyperlink r:id="rId12" w:history="1">
        <w:r w:rsidRPr="00891062">
          <w:rPr>
            <w:rStyle w:val="Hyperlink"/>
            <w:rFonts w:ascii="Arial" w:hAnsi="Arial" w:cs="Arial"/>
            <w:sz w:val="24"/>
          </w:rPr>
          <w:t>http</w:t>
        </w:r>
        <w:r w:rsidRPr="00891062">
          <w:rPr>
            <w:rStyle w:val="Hyperlink"/>
            <w:rFonts w:ascii="Arial" w:hAnsi="Arial" w:cs="Arial"/>
            <w:sz w:val="24"/>
          </w:rPr>
          <w:t>s</w:t>
        </w:r>
        <w:r w:rsidRPr="00891062">
          <w:rPr>
            <w:rStyle w:val="Hyperlink"/>
            <w:rFonts w:ascii="Arial" w:hAnsi="Arial" w:cs="Arial"/>
            <w:sz w:val="24"/>
          </w:rPr>
          <w:t>://www.bankofengland.co.uk/knowledgebank/why-are-interest-rates-in-the-uk-going-up</w:t>
        </w:r>
      </w:hyperlink>
      <w:r w:rsidRPr="00891062">
        <w:rPr>
          <w:rFonts w:ascii="Arial" w:hAnsi="Arial" w:cs="Arial"/>
          <w:sz w:val="24"/>
        </w:rPr>
        <w:t xml:space="preserve">  (Accessed: 15 Jan. 2023)</w:t>
      </w:r>
    </w:p>
    <w:p w14:paraId="4FED84EF" w14:textId="77777777" w:rsidR="00891062" w:rsidRPr="00891062" w:rsidRDefault="00891062" w:rsidP="00891062">
      <w:pPr>
        <w:rPr>
          <w:rFonts w:ascii="Arial" w:hAnsi="Arial" w:cs="Arial"/>
          <w:sz w:val="24"/>
        </w:rPr>
      </w:pPr>
      <w:r w:rsidRPr="00891062">
        <w:rPr>
          <w:rFonts w:ascii="Arial" w:hAnsi="Arial" w:cs="Arial"/>
          <w:sz w:val="24"/>
        </w:rPr>
        <w:t xml:space="preserve">BBC. (2020) </w:t>
      </w:r>
      <w:r w:rsidRPr="00891062">
        <w:rPr>
          <w:rFonts w:ascii="Arial" w:hAnsi="Arial" w:cs="Arial"/>
          <w:i/>
          <w:sz w:val="24"/>
        </w:rPr>
        <w:t xml:space="preserve">Coronavirus: Job cuts warning as 600,000 roles go in lockdown. </w:t>
      </w:r>
      <w:r w:rsidRPr="00891062">
        <w:rPr>
          <w:rFonts w:ascii="Arial" w:hAnsi="Arial" w:cs="Arial"/>
          <w:sz w:val="24"/>
        </w:rPr>
        <w:t xml:space="preserve">Available at: </w:t>
      </w:r>
      <w:hyperlink r:id="rId13" w:history="1">
        <w:r w:rsidRPr="00891062">
          <w:rPr>
            <w:rStyle w:val="Hyperlink"/>
            <w:rFonts w:ascii="Arial" w:hAnsi="Arial" w:cs="Arial"/>
            <w:sz w:val="24"/>
          </w:rPr>
          <w:t>http</w:t>
        </w:r>
        <w:r w:rsidRPr="00891062">
          <w:rPr>
            <w:rStyle w:val="Hyperlink"/>
            <w:rFonts w:ascii="Arial" w:hAnsi="Arial" w:cs="Arial"/>
            <w:sz w:val="24"/>
          </w:rPr>
          <w:t>s</w:t>
        </w:r>
        <w:r w:rsidRPr="00891062">
          <w:rPr>
            <w:rStyle w:val="Hyperlink"/>
            <w:rFonts w:ascii="Arial" w:hAnsi="Arial" w:cs="Arial"/>
            <w:sz w:val="24"/>
          </w:rPr>
          <w:t>://www.bbc.co.uk/news/business-53060529</w:t>
        </w:r>
      </w:hyperlink>
      <w:r w:rsidRPr="00891062">
        <w:rPr>
          <w:rStyle w:val="Hyperlink"/>
          <w:rFonts w:ascii="Arial" w:hAnsi="Arial" w:cs="Arial"/>
          <w:sz w:val="24"/>
        </w:rPr>
        <w:t xml:space="preserve"> </w:t>
      </w:r>
      <w:r w:rsidRPr="00891062">
        <w:rPr>
          <w:rFonts w:ascii="Arial" w:hAnsi="Arial" w:cs="Arial"/>
          <w:sz w:val="24"/>
        </w:rPr>
        <w:t>(Accessed: 15 Jan. 2023)</w:t>
      </w:r>
    </w:p>
    <w:p w14:paraId="6611AD59" w14:textId="77777777" w:rsidR="00891062" w:rsidRPr="00891062" w:rsidRDefault="00891062" w:rsidP="00891062">
      <w:pPr>
        <w:rPr>
          <w:rFonts w:ascii="Arial" w:hAnsi="Arial" w:cs="Arial"/>
          <w:sz w:val="24"/>
        </w:rPr>
      </w:pPr>
      <w:r w:rsidRPr="00891062">
        <w:rPr>
          <w:rFonts w:ascii="Arial" w:hAnsi="Arial" w:cs="Arial"/>
          <w:sz w:val="24"/>
        </w:rPr>
        <w:t xml:space="preserve">Bush, T.  (2019) </w:t>
      </w:r>
      <w:r w:rsidRPr="00891062">
        <w:rPr>
          <w:rFonts w:ascii="Arial" w:hAnsi="Arial" w:cs="Arial"/>
          <w:i/>
          <w:sz w:val="24"/>
        </w:rPr>
        <w:t xml:space="preserve">PESTLE Analysis of the NHS. </w:t>
      </w:r>
      <w:r w:rsidRPr="00891062">
        <w:rPr>
          <w:rFonts w:ascii="Arial" w:hAnsi="Arial" w:cs="Arial"/>
          <w:sz w:val="24"/>
        </w:rPr>
        <w:t xml:space="preserve">Available at: </w:t>
      </w:r>
      <w:hyperlink r:id="rId14" w:history="1">
        <w:r w:rsidRPr="00891062">
          <w:rPr>
            <w:rStyle w:val="Hyperlink"/>
            <w:rFonts w:ascii="Arial" w:hAnsi="Arial" w:cs="Arial"/>
            <w:sz w:val="24"/>
          </w:rPr>
          <w:t>https://pestleanalysis.com/</w:t>
        </w:r>
        <w:r w:rsidRPr="00891062">
          <w:rPr>
            <w:rStyle w:val="Hyperlink"/>
            <w:rFonts w:ascii="Arial" w:hAnsi="Arial" w:cs="Arial"/>
            <w:sz w:val="24"/>
          </w:rPr>
          <w:t>n</w:t>
        </w:r>
        <w:r w:rsidRPr="00891062">
          <w:rPr>
            <w:rStyle w:val="Hyperlink"/>
            <w:rFonts w:ascii="Arial" w:hAnsi="Arial" w:cs="Arial"/>
            <w:sz w:val="24"/>
          </w:rPr>
          <w:t>hs-pestle-analysis/</w:t>
        </w:r>
      </w:hyperlink>
      <w:r w:rsidRPr="00891062">
        <w:rPr>
          <w:rFonts w:ascii="Arial" w:hAnsi="Arial" w:cs="Arial"/>
          <w:sz w:val="24"/>
        </w:rPr>
        <w:t xml:space="preserve"> (Accessed: 15 Jan. 2023)</w:t>
      </w:r>
    </w:p>
    <w:p w14:paraId="4F341815" w14:textId="77777777" w:rsidR="00891062" w:rsidRPr="00891062" w:rsidRDefault="00891062" w:rsidP="00891062">
      <w:pPr>
        <w:rPr>
          <w:rFonts w:ascii="Arial" w:hAnsi="Arial" w:cs="Arial"/>
          <w:sz w:val="24"/>
        </w:rPr>
      </w:pPr>
      <w:r w:rsidRPr="00891062">
        <w:rPr>
          <w:rFonts w:ascii="Arial" w:hAnsi="Arial" w:cs="Arial"/>
          <w:sz w:val="24"/>
        </w:rPr>
        <w:t>Hoffman, A. J. (2010). Climate change and strategic management. Strategic Management Journal, 31(3), 435-455.</w:t>
      </w:r>
    </w:p>
    <w:p w14:paraId="079D1A15" w14:textId="16CB3785" w:rsidR="003A1FE0" w:rsidRPr="003A1FE0" w:rsidRDefault="003A1FE0" w:rsidP="00891062">
      <w:pPr>
        <w:rPr>
          <w:rFonts w:ascii="Arial" w:hAnsi="Arial" w:cs="Arial"/>
          <w:sz w:val="24"/>
          <w:szCs w:val="24"/>
        </w:rPr>
      </w:pPr>
      <w:r w:rsidRPr="003A1FE0">
        <w:rPr>
          <w:rFonts w:ascii="Arial" w:hAnsi="Arial" w:cs="Arial"/>
          <w:sz w:val="24"/>
          <w:szCs w:val="24"/>
        </w:rPr>
        <w:t>Hopkin, P. (2012) Fundamentals of Risk Management: Understanding, Evaluating and Implementing Effective Risk Management. Kogan Page Publishers, London.</w:t>
      </w:r>
    </w:p>
    <w:p w14:paraId="1C8CB4EC" w14:textId="75C7A8A1" w:rsidR="00891062" w:rsidRPr="00891062" w:rsidRDefault="00891062" w:rsidP="00891062">
      <w:pPr>
        <w:rPr>
          <w:rFonts w:ascii="Arial" w:hAnsi="Arial" w:cs="Arial"/>
          <w:sz w:val="24"/>
        </w:rPr>
      </w:pPr>
      <w:r w:rsidRPr="00891062">
        <w:rPr>
          <w:rFonts w:ascii="Arial" w:hAnsi="Arial" w:cs="Arial"/>
          <w:sz w:val="24"/>
        </w:rPr>
        <w:t>Kuznar, D. L. (2011). Healthy Eating and the Changing Food Industry. Journal of Agriculture and Human Values, 28(1), 1-14.</w:t>
      </w:r>
    </w:p>
    <w:p w14:paraId="5D058CA9" w14:textId="77777777" w:rsidR="00891062" w:rsidRPr="00891062" w:rsidRDefault="00891062" w:rsidP="00891062">
      <w:pPr>
        <w:rPr>
          <w:rFonts w:ascii="Arial" w:hAnsi="Arial" w:cs="Arial"/>
          <w:sz w:val="24"/>
        </w:rPr>
      </w:pPr>
      <w:r w:rsidRPr="00891062">
        <w:rPr>
          <w:rFonts w:ascii="Arial" w:hAnsi="Arial" w:cs="Arial"/>
          <w:sz w:val="24"/>
        </w:rPr>
        <w:t xml:space="preserve">Neumark, D., Salas, J. M. I., &amp; Wascher, W. (2014). Minimum Wages and Employment: A Review of Evidence from the New Minimum Wage Research. National Bureau of Economic Research. </w:t>
      </w:r>
    </w:p>
    <w:p w14:paraId="38F221D0" w14:textId="77777777" w:rsidR="00891062" w:rsidRPr="00891062" w:rsidRDefault="00891062" w:rsidP="00891062">
      <w:pPr>
        <w:rPr>
          <w:rFonts w:ascii="Arial" w:hAnsi="Arial" w:cs="Arial"/>
          <w:sz w:val="24"/>
        </w:rPr>
      </w:pPr>
      <w:r w:rsidRPr="00891062">
        <w:rPr>
          <w:rFonts w:ascii="Arial" w:hAnsi="Arial" w:cs="Arial"/>
          <w:sz w:val="24"/>
        </w:rPr>
        <w:t xml:space="preserve">Odey. L  (2021) </w:t>
      </w:r>
      <w:r w:rsidRPr="00891062">
        <w:rPr>
          <w:rFonts w:ascii="Arial" w:hAnsi="Arial" w:cs="Arial"/>
          <w:i/>
          <w:sz w:val="24"/>
        </w:rPr>
        <w:t>An Evaluation of Challenges Affecting New Technology Startups in the United Kingdom Today: A Pest Analysis</w:t>
      </w:r>
      <w:r w:rsidRPr="00891062">
        <w:rPr>
          <w:rFonts w:ascii="Arial" w:hAnsi="Arial" w:cs="Arial"/>
          <w:sz w:val="24"/>
        </w:rPr>
        <w:t>. Bournemouth University: England</w:t>
      </w:r>
    </w:p>
    <w:p w14:paraId="3C07EA0D" w14:textId="77777777" w:rsidR="00891062" w:rsidRPr="00891062" w:rsidRDefault="00891062" w:rsidP="00891062">
      <w:pPr>
        <w:rPr>
          <w:rFonts w:ascii="Arial" w:hAnsi="Arial" w:cs="Arial"/>
          <w:sz w:val="24"/>
        </w:rPr>
      </w:pPr>
      <w:r w:rsidRPr="00891062">
        <w:rPr>
          <w:rFonts w:ascii="Arial" w:hAnsi="Arial" w:cs="Arial"/>
          <w:sz w:val="24"/>
        </w:rPr>
        <w:t>Olusola, B.E., Chimezie, M.E., Shuuya, S.M. and Addeh, G.Y.A. (2022). The Impact of Inflation Rate on Private Consumption Expenditure and Economic Growth—Evidence from Ghana. Open Journal of Business and Management, 10(04), pp.1601–1646. doi:10.4236/ojbm.2022.104084.</w:t>
      </w:r>
    </w:p>
    <w:p w14:paraId="16AAC520" w14:textId="77777777" w:rsidR="00891062" w:rsidRPr="00891062" w:rsidRDefault="00891062" w:rsidP="00891062">
      <w:pPr>
        <w:rPr>
          <w:rFonts w:ascii="Arial" w:hAnsi="Arial" w:cs="Arial"/>
          <w:sz w:val="24"/>
        </w:rPr>
      </w:pPr>
      <w:r w:rsidRPr="00891062">
        <w:rPr>
          <w:rFonts w:ascii="Arial" w:hAnsi="Arial" w:cs="Arial"/>
          <w:sz w:val="24"/>
        </w:rPr>
        <w:t>Phillips, L. A. (2015). Legal and Ethical Challenges Faced by Public Sector Companies. Journal of Public Affairs Education, 21(3)</w:t>
      </w:r>
    </w:p>
    <w:p w14:paraId="30590C48" w14:textId="4B2D9FAA" w:rsidR="00891062" w:rsidRPr="00891062" w:rsidRDefault="00891062" w:rsidP="00891062">
      <w:pPr>
        <w:rPr>
          <w:rFonts w:ascii="Arial" w:hAnsi="Arial" w:cs="Arial"/>
          <w:color w:val="FF0000"/>
          <w:sz w:val="24"/>
        </w:rPr>
      </w:pPr>
    </w:p>
    <w:p w14:paraId="6338EDB6" w14:textId="7F95E16F" w:rsidR="00891062" w:rsidRPr="00E42AB0" w:rsidRDefault="0036585D" w:rsidP="00E42AB0">
      <w:pPr>
        <w:jc w:val="center"/>
        <w:rPr>
          <w:rFonts w:ascii="Arial" w:hAnsi="Arial" w:cs="Arial"/>
          <w:b/>
          <w:sz w:val="28"/>
          <w:u w:val="single"/>
        </w:rPr>
      </w:pPr>
      <w:bookmarkStart w:id="0" w:name="_GoBack"/>
      <w:r w:rsidRPr="00E42AB0">
        <w:rPr>
          <w:rFonts w:ascii="Arial" w:hAnsi="Arial" w:cs="Arial"/>
          <w:b/>
          <w:sz w:val="28"/>
          <w:u w:val="single"/>
        </w:rPr>
        <w:t>WORDCOUNT: 913</w:t>
      </w:r>
    </w:p>
    <w:bookmarkEnd w:id="0"/>
    <w:p w14:paraId="0CA9DC08" w14:textId="77777777" w:rsidR="00891062" w:rsidRPr="00891062" w:rsidRDefault="00891062" w:rsidP="00891062">
      <w:pPr>
        <w:rPr>
          <w:rFonts w:ascii="Arial" w:hAnsi="Arial" w:cs="Arial"/>
          <w:b/>
          <w:sz w:val="32"/>
          <w:u w:val="single"/>
        </w:rPr>
      </w:pPr>
    </w:p>
    <w:sectPr w:rsidR="00891062" w:rsidRPr="00891062" w:rsidSect="00A9013B">
      <w:headerReference w:type="even" r:id="rId15"/>
      <w:headerReference w:type="default" r:id="rId16"/>
      <w:footerReference w:type="even" r:id="rId17"/>
      <w:footerReference w:type="default" r:id="rId18"/>
      <w:headerReference w:type="first" r:id="rId19"/>
      <w:footerReference w:type="first" r:id="rId20"/>
      <w:pgSz w:w="16838" w:h="11906"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91FD6" w14:textId="77777777" w:rsidR="00C47B13" w:rsidRDefault="00C47B13" w:rsidP="003B7FD5">
      <w:pPr>
        <w:spacing w:after="0" w:line="240" w:lineRule="auto"/>
      </w:pPr>
      <w:r>
        <w:separator/>
      </w:r>
    </w:p>
  </w:endnote>
  <w:endnote w:type="continuationSeparator" w:id="0">
    <w:p w14:paraId="0ED465BF" w14:textId="77777777" w:rsidR="00C47B13" w:rsidRDefault="00C47B13" w:rsidP="003B7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24014" w14:textId="77777777" w:rsidR="003B7FD5" w:rsidRDefault="003B7F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B9227" w14:textId="77777777" w:rsidR="003B7FD5" w:rsidRDefault="003B7F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D1D5B" w14:textId="77777777" w:rsidR="003B7FD5" w:rsidRDefault="003B7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282D2" w14:textId="77777777" w:rsidR="00C47B13" w:rsidRDefault="00C47B13" w:rsidP="003B7FD5">
      <w:pPr>
        <w:spacing w:after="0" w:line="240" w:lineRule="auto"/>
      </w:pPr>
      <w:r>
        <w:separator/>
      </w:r>
    </w:p>
  </w:footnote>
  <w:footnote w:type="continuationSeparator" w:id="0">
    <w:p w14:paraId="0CE3DFEC" w14:textId="77777777" w:rsidR="00C47B13" w:rsidRDefault="00C47B13" w:rsidP="003B7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B464" w14:textId="77777777" w:rsidR="003B7FD5" w:rsidRDefault="003B7F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0E22B" w14:textId="77777777" w:rsidR="003B7FD5" w:rsidRDefault="003B7F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723D1" w14:textId="77777777" w:rsidR="003B7FD5" w:rsidRDefault="003B7F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FD5"/>
    <w:rsid w:val="00055AF5"/>
    <w:rsid w:val="00194006"/>
    <w:rsid w:val="002272F4"/>
    <w:rsid w:val="0036585D"/>
    <w:rsid w:val="003A1FE0"/>
    <w:rsid w:val="003B7FD5"/>
    <w:rsid w:val="003F744B"/>
    <w:rsid w:val="004D2ABC"/>
    <w:rsid w:val="00690FCD"/>
    <w:rsid w:val="006B79F5"/>
    <w:rsid w:val="00717BEB"/>
    <w:rsid w:val="00891062"/>
    <w:rsid w:val="00A9013B"/>
    <w:rsid w:val="00C47B13"/>
    <w:rsid w:val="00CA5E79"/>
    <w:rsid w:val="00CE70EB"/>
    <w:rsid w:val="00E42AB0"/>
    <w:rsid w:val="00F46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6FDD4"/>
  <w15:chartTrackingRefBased/>
  <w15:docId w15:val="{B80B8B8D-55A3-0B4B-BEDA-0643E601A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7FD5"/>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FD5"/>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3B7FD5"/>
  </w:style>
  <w:style w:type="paragraph" w:styleId="Footer">
    <w:name w:val="footer"/>
    <w:basedOn w:val="Normal"/>
    <w:link w:val="FooterChar"/>
    <w:uiPriority w:val="99"/>
    <w:unhideWhenUsed/>
    <w:rsid w:val="003B7FD5"/>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3B7FD5"/>
  </w:style>
  <w:style w:type="character" w:styleId="Hyperlink">
    <w:name w:val="Hyperlink"/>
    <w:basedOn w:val="DefaultParagraphFont"/>
    <w:uiPriority w:val="99"/>
    <w:unhideWhenUsed/>
    <w:rsid w:val="00891062"/>
    <w:rPr>
      <w:color w:val="0563C1" w:themeColor="hyperlink"/>
      <w:u w:val="single"/>
    </w:rPr>
  </w:style>
  <w:style w:type="character" w:styleId="FollowedHyperlink">
    <w:name w:val="FollowedHyperlink"/>
    <w:basedOn w:val="DefaultParagraphFont"/>
    <w:uiPriority w:val="99"/>
    <w:semiHidden/>
    <w:unhideWhenUsed/>
    <w:rsid w:val="008910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bbc.co.uk/news/business-53060529"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hyperlink" Target="https://www.bankofengland.co.uk/knowledgebank/why-are-interest-rates-in-the-uk-going-up"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hyperlink" Target="https://www.entrepreneur.com/leadership/how-purple-uber-and-airbnb-are-disrupting-and-redefining/273650" TargetMode="External"/><Relationship Id="rId5" Type="http://schemas.openxmlformats.org/officeDocument/2006/relationships/endnotes" Target="endnotes.xml"/><Relationship Id="rId15" Type="http://schemas.openxmlformats.org/officeDocument/2006/relationships/header" Target="header1.xml"/><Relationship Id="rId10" Type="http://schemas.microsoft.com/office/2007/relationships/diagramDrawing" Target="diagrams/drawing1.xm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hyperlink" Target="https://pestleanalysis.com/nhs-pestle-analysis/"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54834A-8E2B-7543-8A84-F7A56BFA8224}" type="doc">
      <dgm:prSet loTypeId="urn:microsoft.com/office/officeart/2005/8/layout/cycle6" loCatId="" qsTypeId="urn:microsoft.com/office/officeart/2005/8/quickstyle/simple1" qsCatId="simple" csTypeId="urn:microsoft.com/office/officeart/2005/8/colors/colorful1" csCatId="colorful" phldr="1"/>
      <dgm:spPr/>
      <dgm:t>
        <a:bodyPr/>
        <a:lstStyle/>
        <a:p>
          <a:endParaRPr lang="en-US"/>
        </a:p>
      </dgm:t>
    </dgm:pt>
    <dgm:pt modelId="{F691A5E7-2DFC-1B41-AA4C-6F8F0EFC32C6}">
      <dgm:prSet phldrT="[Text]"/>
      <dgm:spPr>
        <a:solidFill>
          <a:schemeClr val="accent2">
            <a:lumMod val="60000"/>
            <a:lumOff val="40000"/>
          </a:schemeClr>
        </a:solidFill>
      </dgm:spPr>
      <dgm:t>
        <a:bodyPr/>
        <a:lstStyle/>
        <a:p>
          <a:r>
            <a:rPr lang="en-US"/>
            <a:t>P</a:t>
          </a:r>
        </a:p>
      </dgm:t>
    </dgm:pt>
    <dgm:pt modelId="{E5F0A759-7B6B-1F4B-A515-54A8642AABAF}" type="parTrans" cxnId="{B19DD7F8-73A6-974C-82AD-29F9E70238BB}">
      <dgm:prSet/>
      <dgm:spPr/>
      <dgm:t>
        <a:bodyPr/>
        <a:lstStyle/>
        <a:p>
          <a:endParaRPr lang="en-US"/>
        </a:p>
      </dgm:t>
    </dgm:pt>
    <dgm:pt modelId="{614E26B0-65B4-A847-9A16-62950693AE3B}" type="sibTrans" cxnId="{B19DD7F8-73A6-974C-82AD-29F9E70238BB}">
      <dgm:prSet>
        <dgm:style>
          <a:lnRef idx="0">
            <a:scrgbClr r="0" g="0" b="0"/>
          </a:lnRef>
          <a:fillRef idx="0">
            <a:scrgbClr r="0" g="0" b="0"/>
          </a:fillRef>
          <a:effectRef idx="0">
            <a:scrgbClr r="0" g="0" b="0"/>
          </a:effectRef>
          <a:fontRef idx="minor">
            <a:schemeClr val="tx1"/>
          </a:fontRef>
        </dgm:style>
      </dgm:prSet>
      <dgm:spPr>
        <a:ln w="9525" cap="flat" cmpd="sng" algn="ctr">
          <a:solidFill>
            <a:schemeClr val="dk1"/>
          </a:solidFill>
          <a:prstDash val="dash"/>
          <a:round/>
          <a:headEnd type="none" w="med" len="med"/>
          <a:tailEnd type="none" w="med" len="med"/>
        </a:ln>
      </dgm:spPr>
      <dgm:t>
        <a:bodyPr/>
        <a:lstStyle/>
        <a:p>
          <a:endParaRPr lang="en-US"/>
        </a:p>
      </dgm:t>
    </dgm:pt>
    <dgm:pt modelId="{095C04FF-2814-1C48-980A-6B96DCE5F6AA}">
      <dgm:prSet phldrT="[Text]"/>
      <dgm:spPr>
        <a:solidFill>
          <a:srgbClr val="AC8CEA"/>
        </a:solidFill>
      </dgm:spPr>
      <dgm:t>
        <a:bodyPr/>
        <a:lstStyle/>
        <a:p>
          <a:r>
            <a:rPr lang="en-US"/>
            <a:t>E</a:t>
          </a:r>
        </a:p>
      </dgm:t>
    </dgm:pt>
    <dgm:pt modelId="{FF17CF3D-CF60-0147-A23B-9390633B20AF}" type="parTrans" cxnId="{046371B9-0B8B-6C40-9925-C481755895C4}">
      <dgm:prSet/>
      <dgm:spPr/>
      <dgm:t>
        <a:bodyPr/>
        <a:lstStyle/>
        <a:p>
          <a:endParaRPr lang="en-US"/>
        </a:p>
      </dgm:t>
    </dgm:pt>
    <dgm:pt modelId="{E9741F9A-24C8-E647-B870-755AF36159E0}" type="sibTrans" cxnId="{046371B9-0B8B-6C40-9925-C481755895C4}">
      <dgm:prSet>
        <dgm:style>
          <a:lnRef idx="0">
            <a:scrgbClr r="0" g="0" b="0"/>
          </a:lnRef>
          <a:fillRef idx="0">
            <a:scrgbClr r="0" g="0" b="0"/>
          </a:fillRef>
          <a:effectRef idx="0">
            <a:scrgbClr r="0" g="0" b="0"/>
          </a:effectRef>
          <a:fontRef idx="minor">
            <a:schemeClr val="tx1"/>
          </a:fontRef>
        </dgm:style>
      </dgm:prSet>
      <dgm:spPr>
        <a:ln w="9525" cap="flat" cmpd="sng" algn="ctr">
          <a:solidFill>
            <a:schemeClr val="dk1"/>
          </a:solidFill>
          <a:prstDash val="dash"/>
          <a:round/>
          <a:headEnd type="none" w="med" len="med"/>
          <a:tailEnd type="none" w="med" len="med"/>
        </a:ln>
      </dgm:spPr>
      <dgm:t>
        <a:bodyPr/>
        <a:lstStyle/>
        <a:p>
          <a:endParaRPr lang="en-US"/>
        </a:p>
      </dgm:t>
    </dgm:pt>
    <dgm:pt modelId="{6B40541F-B05C-884A-B99B-01D4CEABA675}">
      <dgm:prSet phldrT="[Text]"/>
      <dgm:spPr>
        <a:solidFill>
          <a:schemeClr val="accent4">
            <a:lumMod val="60000"/>
            <a:lumOff val="40000"/>
          </a:schemeClr>
        </a:solidFill>
      </dgm:spPr>
      <dgm:t>
        <a:bodyPr/>
        <a:lstStyle/>
        <a:p>
          <a:r>
            <a:rPr lang="en-US"/>
            <a:t>S</a:t>
          </a:r>
        </a:p>
      </dgm:t>
    </dgm:pt>
    <dgm:pt modelId="{322E0EBB-AEB9-364D-BF22-B75DF7C8C167}" type="parTrans" cxnId="{C39B405B-42A4-3B4E-9CCD-83DAB92B4332}">
      <dgm:prSet/>
      <dgm:spPr/>
      <dgm:t>
        <a:bodyPr/>
        <a:lstStyle/>
        <a:p>
          <a:endParaRPr lang="en-US"/>
        </a:p>
      </dgm:t>
    </dgm:pt>
    <dgm:pt modelId="{FFC8F754-1BE4-6746-B2B3-3126F93F8609}" type="sibTrans" cxnId="{C39B405B-42A4-3B4E-9CCD-83DAB92B4332}">
      <dgm:prSet>
        <dgm:style>
          <a:lnRef idx="0">
            <a:scrgbClr r="0" g="0" b="0"/>
          </a:lnRef>
          <a:fillRef idx="0">
            <a:scrgbClr r="0" g="0" b="0"/>
          </a:fillRef>
          <a:effectRef idx="0">
            <a:scrgbClr r="0" g="0" b="0"/>
          </a:effectRef>
          <a:fontRef idx="minor">
            <a:schemeClr val="tx1"/>
          </a:fontRef>
        </dgm:style>
      </dgm:prSet>
      <dgm:spPr>
        <a:ln w="9525" cap="flat" cmpd="sng" algn="ctr">
          <a:solidFill>
            <a:schemeClr val="dk1"/>
          </a:solidFill>
          <a:prstDash val="dash"/>
          <a:round/>
          <a:headEnd type="none" w="med" len="med"/>
          <a:tailEnd type="none" w="med" len="med"/>
        </a:ln>
      </dgm:spPr>
      <dgm:t>
        <a:bodyPr/>
        <a:lstStyle/>
        <a:p>
          <a:endParaRPr lang="en-US"/>
        </a:p>
      </dgm:t>
    </dgm:pt>
    <dgm:pt modelId="{DFBFBB57-C91C-4A44-A4C9-B848A672308F}">
      <dgm:prSet phldrT="[Text]"/>
      <dgm:spPr>
        <a:solidFill>
          <a:schemeClr val="accent5">
            <a:lumMod val="60000"/>
            <a:lumOff val="40000"/>
          </a:schemeClr>
        </a:solidFill>
      </dgm:spPr>
      <dgm:t>
        <a:bodyPr/>
        <a:lstStyle/>
        <a:p>
          <a:r>
            <a:rPr lang="en-US"/>
            <a:t>T</a:t>
          </a:r>
        </a:p>
      </dgm:t>
    </dgm:pt>
    <dgm:pt modelId="{1981D740-421A-6F4A-A0A2-68D603B0A362}" type="parTrans" cxnId="{15AB7B56-4464-1242-A2AB-E622186CC0C0}">
      <dgm:prSet/>
      <dgm:spPr/>
      <dgm:t>
        <a:bodyPr/>
        <a:lstStyle/>
        <a:p>
          <a:endParaRPr lang="en-US"/>
        </a:p>
      </dgm:t>
    </dgm:pt>
    <dgm:pt modelId="{53D01827-726E-DA4D-A37F-C8D8036B30DB}" type="sibTrans" cxnId="{15AB7B56-4464-1242-A2AB-E622186CC0C0}">
      <dgm:prSet>
        <dgm:style>
          <a:lnRef idx="0">
            <a:scrgbClr r="0" g="0" b="0"/>
          </a:lnRef>
          <a:fillRef idx="0">
            <a:scrgbClr r="0" g="0" b="0"/>
          </a:fillRef>
          <a:effectRef idx="0">
            <a:scrgbClr r="0" g="0" b="0"/>
          </a:effectRef>
          <a:fontRef idx="minor">
            <a:schemeClr val="tx1"/>
          </a:fontRef>
        </dgm:style>
      </dgm:prSet>
      <dgm:spPr>
        <a:ln w="9525" cap="flat" cmpd="sng" algn="ctr">
          <a:solidFill>
            <a:schemeClr val="dk1"/>
          </a:solidFill>
          <a:prstDash val="dash"/>
          <a:round/>
          <a:headEnd type="none" w="med" len="med"/>
          <a:tailEnd type="none" w="med" len="med"/>
        </a:ln>
      </dgm:spPr>
      <dgm:t>
        <a:bodyPr/>
        <a:lstStyle/>
        <a:p>
          <a:endParaRPr lang="en-US"/>
        </a:p>
      </dgm:t>
    </dgm:pt>
    <dgm:pt modelId="{349D74D2-E0EC-4842-87F2-CF73E336EA85}">
      <dgm:prSet phldrT="[Text]"/>
      <dgm:spPr>
        <a:solidFill>
          <a:schemeClr val="accent6">
            <a:lumMod val="60000"/>
            <a:lumOff val="40000"/>
          </a:schemeClr>
        </a:solidFill>
      </dgm:spPr>
      <dgm:t>
        <a:bodyPr/>
        <a:lstStyle/>
        <a:p>
          <a:r>
            <a:rPr lang="en-US"/>
            <a:t>L</a:t>
          </a:r>
        </a:p>
      </dgm:t>
    </dgm:pt>
    <dgm:pt modelId="{123E8824-CBFE-154F-A12E-78D6A4C04E07}" type="parTrans" cxnId="{0C379635-291E-C347-B5DF-907032DCD7C5}">
      <dgm:prSet/>
      <dgm:spPr/>
      <dgm:t>
        <a:bodyPr/>
        <a:lstStyle/>
        <a:p>
          <a:endParaRPr lang="en-US"/>
        </a:p>
      </dgm:t>
    </dgm:pt>
    <dgm:pt modelId="{2CF57A0C-285F-F647-8534-D42A94919A86}" type="sibTrans" cxnId="{0C379635-291E-C347-B5DF-907032DCD7C5}">
      <dgm:prSet>
        <dgm:style>
          <a:lnRef idx="0">
            <a:scrgbClr r="0" g="0" b="0"/>
          </a:lnRef>
          <a:fillRef idx="0">
            <a:scrgbClr r="0" g="0" b="0"/>
          </a:fillRef>
          <a:effectRef idx="0">
            <a:scrgbClr r="0" g="0" b="0"/>
          </a:effectRef>
          <a:fontRef idx="minor">
            <a:schemeClr val="tx1"/>
          </a:fontRef>
        </dgm:style>
      </dgm:prSet>
      <dgm:spPr>
        <a:ln w="9525" cap="flat" cmpd="sng" algn="ctr">
          <a:solidFill>
            <a:schemeClr val="dk1"/>
          </a:solidFill>
          <a:prstDash val="dash"/>
          <a:round/>
          <a:headEnd type="none" w="med" len="med"/>
          <a:tailEnd type="none" w="med" len="med"/>
        </a:ln>
      </dgm:spPr>
      <dgm:t>
        <a:bodyPr/>
        <a:lstStyle/>
        <a:p>
          <a:endParaRPr lang="en-US"/>
        </a:p>
      </dgm:t>
    </dgm:pt>
    <dgm:pt modelId="{5D6AA624-A47F-3A45-973A-EA0C1C83A1BD}">
      <dgm:prSet/>
      <dgm:spPr>
        <a:solidFill>
          <a:srgbClr val="ECBAEF"/>
        </a:solidFill>
      </dgm:spPr>
      <dgm:t>
        <a:bodyPr/>
        <a:lstStyle/>
        <a:p>
          <a:r>
            <a:rPr lang="en-US"/>
            <a:t>E</a:t>
          </a:r>
        </a:p>
      </dgm:t>
    </dgm:pt>
    <dgm:pt modelId="{093EF331-9D76-CD47-A73B-FDAD2281C711}" type="parTrans" cxnId="{D93D2EEE-709F-E74C-95B7-8F4CE11B0AF2}">
      <dgm:prSet/>
      <dgm:spPr/>
      <dgm:t>
        <a:bodyPr/>
        <a:lstStyle/>
        <a:p>
          <a:endParaRPr lang="en-US"/>
        </a:p>
      </dgm:t>
    </dgm:pt>
    <dgm:pt modelId="{87A664FB-C306-264F-A982-923CED655609}" type="sibTrans" cxnId="{D93D2EEE-709F-E74C-95B7-8F4CE11B0AF2}">
      <dgm:prSet>
        <dgm:style>
          <a:lnRef idx="0">
            <a:scrgbClr r="0" g="0" b="0"/>
          </a:lnRef>
          <a:fillRef idx="0">
            <a:scrgbClr r="0" g="0" b="0"/>
          </a:fillRef>
          <a:effectRef idx="0">
            <a:scrgbClr r="0" g="0" b="0"/>
          </a:effectRef>
          <a:fontRef idx="minor">
            <a:schemeClr val="tx1"/>
          </a:fontRef>
        </dgm:style>
      </dgm:prSet>
      <dgm:spPr>
        <a:ln w="9525" cap="flat" cmpd="sng" algn="ctr">
          <a:solidFill>
            <a:schemeClr val="dk1"/>
          </a:solidFill>
          <a:prstDash val="dash"/>
          <a:round/>
          <a:headEnd type="none" w="med" len="med"/>
          <a:tailEnd type="none" w="med" len="med"/>
        </a:ln>
      </dgm:spPr>
      <dgm:t>
        <a:bodyPr/>
        <a:lstStyle/>
        <a:p>
          <a:endParaRPr lang="en-US"/>
        </a:p>
      </dgm:t>
    </dgm:pt>
    <dgm:pt modelId="{F089FD29-7BD5-204D-8CB1-F8990178FC99}" type="pres">
      <dgm:prSet presAssocID="{9A54834A-8E2B-7543-8A84-F7A56BFA8224}" presName="cycle" presStyleCnt="0">
        <dgm:presLayoutVars>
          <dgm:dir/>
          <dgm:resizeHandles val="exact"/>
        </dgm:presLayoutVars>
      </dgm:prSet>
      <dgm:spPr/>
    </dgm:pt>
    <dgm:pt modelId="{BFFADACE-BD2E-D84B-90DE-1F093403C0A6}" type="pres">
      <dgm:prSet presAssocID="{F691A5E7-2DFC-1B41-AA4C-6F8F0EFC32C6}" presName="node" presStyleLbl="node1" presStyleIdx="0" presStyleCnt="6">
        <dgm:presLayoutVars>
          <dgm:bulletEnabled val="1"/>
        </dgm:presLayoutVars>
      </dgm:prSet>
      <dgm:spPr/>
    </dgm:pt>
    <dgm:pt modelId="{FA6B604A-0B21-9A4A-8162-FA2F23EA57FE}" type="pres">
      <dgm:prSet presAssocID="{F691A5E7-2DFC-1B41-AA4C-6F8F0EFC32C6}" presName="spNode" presStyleCnt="0"/>
      <dgm:spPr/>
    </dgm:pt>
    <dgm:pt modelId="{D4AB2BD5-3A0F-0F47-AC6F-6F3B9215339E}" type="pres">
      <dgm:prSet presAssocID="{614E26B0-65B4-A847-9A16-62950693AE3B}" presName="sibTrans" presStyleLbl="sibTrans1D1" presStyleIdx="0" presStyleCnt="6"/>
      <dgm:spPr/>
    </dgm:pt>
    <dgm:pt modelId="{3E493DC8-F8E5-A646-9B74-D807EE92E241}" type="pres">
      <dgm:prSet presAssocID="{095C04FF-2814-1C48-980A-6B96DCE5F6AA}" presName="node" presStyleLbl="node1" presStyleIdx="1" presStyleCnt="6">
        <dgm:presLayoutVars>
          <dgm:bulletEnabled val="1"/>
        </dgm:presLayoutVars>
      </dgm:prSet>
      <dgm:spPr/>
    </dgm:pt>
    <dgm:pt modelId="{0E589553-33B4-FF4E-A83A-3DD01461874A}" type="pres">
      <dgm:prSet presAssocID="{095C04FF-2814-1C48-980A-6B96DCE5F6AA}" presName="spNode" presStyleCnt="0"/>
      <dgm:spPr/>
    </dgm:pt>
    <dgm:pt modelId="{6A5C1793-E94E-4845-A83F-8940C670AEC7}" type="pres">
      <dgm:prSet presAssocID="{E9741F9A-24C8-E647-B870-755AF36159E0}" presName="sibTrans" presStyleLbl="sibTrans1D1" presStyleIdx="1" presStyleCnt="6"/>
      <dgm:spPr/>
    </dgm:pt>
    <dgm:pt modelId="{D3E6D1A9-EDB4-DA49-A862-06C24D290857}" type="pres">
      <dgm:prSet presAssocID="{6B40541F-B05C-884A-B99B-01D4CEABA675}" presName="node" presStyleLbl="node1" presStyleIdx="2" presStyleCnt="6">
        <dgm:presLayoutVars>
          <dgm:bulletEnabled val="1"/>
        </dgm:presLayoutVars>
      </dgm:prSet>
      <dgm:spPr/>
    </dgm:pt>
    <dgm:pt modelId="{E2AEAD99-28E3-2F4A-B711-4D5889A01A90}" type="pres">
      <dgm:prSet presAssocID="{6B40541F-B05C-884A-B99B-01D4CEABA675}" presName="spNode" presStyleCnt="0"/>
      <dgm:spPr/>
    </dgm:pt>
    <dgm:pt modelId="{B6B12E60-99A7-5346-A602-7FC37786FFCB}" type="pres">
      <dgm:prSet presAssocID="{FFC8F754-1BE4-6746-B2B3-3126F93F8609}" presName="sibTrans" presStyleLbl="sibTrans1D1" presStyleIdx="2" presStyleCnt="6"/>
      <dgm:spPr/>
    </dgm:pt>
    <dgm:pt modelId="{B5C44BB2-2E07-9742-BA7B-65E8C5495E43}" type="pres">
      <dgm:prSet presAssocID="{DFBFBB57-C91C-4A44-A4C9-B848A672308F}" presName="node" presStyleLbl="node1" presStyleIdx="3" presStyleCnt="6">
        <dgm:presLayoutVars>
          <dgm:bulletEnabled val="1"/>
        </dgm:presLayoutVars>
      </dgm:prSet>
      <dgm:spPr/>
    </dgm:pt>
    <dgm:pt modelId="{443C9CBA-2230-CB41-814B-DC402CB64063}" type="pres">
      <dgm:prSet presAssocID="{DFBFBB57-C91C-4A44-A4C9-B848A672308F}" presName="spNode" presStyleCnt="0"/>
      <dgm:spPr/>
    </dgm:pt>
    <dgm:pt modelId="{BA553047-4F1A-E649-A508-F30947B0BDC6}" type="pres">
      <dgm:prSet presAssocID="{53D01827-726E-DA4D-A37F-C8D8036B30DB}" presName="sibTrans" presStyleLbl="sibTrans1D1" presStyleIdx="3" presStyleCnt="6"/>
      <dgm:spPr/>
    </dgm:pt>
    <dgm:pt modelId="{C9FD9561-DB49-BE43-84A1-CBA6BA5AE0D6}" type="pres">
      <dgm:prSet presAssocID="{349D74D2-E0EC-4842-87F2-CF73E336EA85}" presName="node" presStyleLbl="node1" presStyleIdx="4" presStyleCnt="6">
        <dgm:presLayoutVars>
          <dgm:bulletEnabled val="1"/>
        </dgm:presLayoutVars>
      </dgm:prSet>
      <dgm:spPr/>
    </dgm:pt>
    <dgm:pt modelId="{A0CE59DC-CFDC-044B-9C1D-4A4F725F4E4D}" type="pres">
      <dgm:prSet presAssocID="{349D74D2-E0EC-4842-87F2-CF73E336EA85}" presName="spNode" presStyleCnt="0"/>
      <dgm:spPr/>
    </dgm:pt>
    <dgm:pt modelId="{B560FE59-1E4A-4C4F-A187-56FCB32825A0}" type="pres">
      <dgm:prSet presAssocID="{2CF57A0C-285F-F647-8534-D42A94919A86}" presName="sibTrans" presStyleLbl="sibTrans1D1" presStyleIdx="4" presStyleCnt="6"/>
      <dgm:spPr/>
    </dgm:pt>
    <dgm:pt modelId="{6F8797A7-38DB-8143-BA2C-9CA27AFF616F}" type="pres">
      <dgm:prSet presAssocID="{5D6AA624-A47F-3A45-973A-EA0C1C83A1BD}" presName="node" presStyleLbl="node1" presStyleIdx="5" presStyleCnt="6">
        <dgm:presLayoutVars>
          <dgm:bulletEnabled val="1"/>
        </dgm:presLayoutVars>
      </dgm:prSet>
      <dgm:spPr/>
    </dgm:pt>
    <dgm:pt modelId="{49BDF1AE-1804-F549-ADE9-69B7C1ED8379}" type="pres">
      <dgm:prSet presAssocID="{5D6AA624-A47F-3A45-973A-EA0C1C83A1BD}" presName="spNode" presStyleCnt="0"/>
      <dgm:spPr/>
    </dgm:pt>
    <dgm:pt modelId="{75DB60CC-683A-CB4C-9FC9-D556102CA050}" type="pres">
      <dgm:prSet presAssocID="{87A664FB-C306-264F-A982-923CED655609}" presName="sibTrans" presStyleLbl="sibTrans1D1" presStyleIdx="5" presStyleCnt="6"/>
      <dgm:spPr/>
    </dgm:pt>
  </dgm:ptLst>
  <dgm:cxnLst>
    <dgm:cxn modelId="{CD461809-E8A0-DD4E-A14B-A41B18497284}" type="presOf" srcId="{53D01827-726E-DA4D-A37F-C8D8036B30DB}" destId="{BA553047-4F1A-E649-A508-F30947B0BDC6}" srcOrd="0" destOrd="0" presId="urn:microsoft.com/office/officeart/2005/8/layout/cycle6"/>
    <dgm:cxn modelId="{47E47529-2F8A-3F4F-90B1-1FD1767ACA1C}" type="presOf" srcId="{6B40541F-B05C-884A-B99B-01D4CEABA675}" destId="{D3E6D1A9-EDB4-DA49-A862-06C24D290857}" srcOrd="0" destOrd="0" presId="urn:microsoft.com/office/officeart/2005/8/layout/cycle6"/>
    <dgm:cxn modelId="{0C379635-291E-C347-B5DF-907032DCD7C5}" srcId="{9A54834A-8E2B-7543-8A84-F7A56BFA8224}" destId="{349D74D2-E0EC-4842-87F2-CF73E336EA85}" srcOrd="4" destOrd="0" parTransId="{123E8824-CBFE-154F-A12E-78D6A4C04E07}" sibTransId="{2CF57A0C-285F-F647-8534-D42A94919A86}"/>
    <dgm:cxn modelId="{4C368642-73B9-C64A-9569-529575133B22}" type="presOf" srcId="{2CF57A0C-285F-F647-8534-D42A94919A86}" destId="{B560FE59-1E4A-4C4F-A187-56FCB32825A0}" srcOrd="0" destOrd="0" presId="urn:microsoft.com/office/officeart/2005/8/layout/cycle6"/>
    <dgm:cxn modelId="{4FE8C548-334B-D84C-806B-D4859311F9E7}" type="presOf" srcId="{349D74D2-E0EC-4842-87F2-CF73E336EA85}" destId="{C9FD9561-DB49-BE43-84A1-CBA6BA5AE0D6}" srcOrd="0" destOrd="0" presId="urn:microsoft.com/office/officeart/2005/8/layout/cycle6"/>
    <dgm:cxn modelId="{6154A64D-7617-1D45-8FF5-3527C9AC8229}" type="presOf" srcId="{9A54834A-8E2B-7543-8A84-F7A56BFA8224}" destId="{F089FD29-7BD5-204D-8CB1-F8990178FC99}" srcOrd="0" destOrd="0" presId="urn:microsoft.com/office/officeart/2005/8/layout/cycle6"/>
    <dgm:cxn modelId="{15AB7B56-4464-1242-A2AB-E622186CC0C0}" srcId="{9A54834A-8E2B-7543-8A84-F7A56BFA8224}" destId="{DFBFBB57-C91C-4A44-A4C9-B848A672308F}" srcOrd="3" destOrd="0" parTransId="{1981D740-421A-6F4A-A0A2-68D603B0A362}" sibTransId="{53D01827-726E-DA4D-A37F-C8D8036B30DB}"/>
    <dgm:cxn modelId="{C39B405B-42A4-3B4E-9CCD-83DAB92B4332}" srcId="{9A54834A-8E2B-7543-8A84-F7A56BFA8224}" destId="{6B40541F-B05C-884A-B99B-01D4CEABA675}" srcOrd="2" destOrd="0" parTransId="{322E0EBB-AEB9-364D-BF22-B75DF7C8C167}" sibTransId="{FFC8F754-1BE4-6746-B2B3-3126F93F8609}"/>
    <dgm:cxn modelId="{BEA0CE6B-3388-0D47-BD44-9DFB3F9CC3CC}" type="presOf" srcId="{FFC8F754-1BE4-6746-B2B3-3126F93F8609}" destId="{B6B12E60-99A7-5346-A602-7FC37786FFCB}" srcOrd="0" destOrd="0" presId="urn:microsoft.com/office/officeart/2005/8/layout/cycle6"/>
    <dgm:cxn modelId="{F2201D6D-20D4-614C-83FF-F1351911C83D}" type="presOf" srcId="{87A664FB-C306-264F-A982-923CED655609}" destId="{75DB60CC-683A-CB4C-9FC9-D556102CA050}" srcOrd="0" destOrd="0" presId="urn:microsoft.com/office/officeart/2005/8/layout/cycle6"/>
    <dgm:cxn modelId="{9B4F8D6D-ECDA-DB40-8652-A53DE9AE02A6}" type="presOf" srcId="{5D6AA624-A47F-3A45-973A-EA0C1C83A1BD}" destId="{6F8797A7-38DB-8143-BA2C-9CA27AFF616F}" srcOrd="0" destOrd="0" presId="urn:microsoft.com/office/officeart/2005/8/layout/cycle6"/>
    <dgm:cxn modelId="{7957D79D-2026-4743-9E59-4DA267B20821}" type="presOf" srcId="{E9741F9A-24C8-E647-B870-755AF36159E0}" destId="{6A5C1793-E94E-4845-A83F-8940C670AEC7}" srcOrd="0" destOrd="0" presId="urn:microsoft.com/office/officeart/2005/8/layout/cycle6"/>
    <dgm:cxn modelId="{046371B9-0B8B-6C40-9925-C481755895C4}" srcId="{9A54834A-8E2B-7543-8A84-F7A56BFA8224}" destId="{095C04FF-2814-1C48-980A-6B96DCE5F6AA}" srcOrd="1" destOrd="0" parTransId="{FF17CF3D-CF60-0147-A23B-9390633B20AF}" sibTransId="{E9741F9A-24C8-E647-B870-755AF36159E0}"/>
    <dgm:cxn modelId="{969BADEC-9D04-6D40-A64D-FB022BC658CE}" type="presOf" srcId="{DFBFBB57-C91C-4A44-A4C9-B848A672308F}" destId="{B5C44BB2-2E07-9742-BA7B-65E8C5495E43}" srcOrd="0" destOrd="0" presId="urn:microsoft.com/office/officeart/2005/8/layout/cycle6"/>
    <dgm:cxn modelId="{D93D2EEE-709F-E74C-95B7-8F4CE11B0AF2}" srcId="{9A54834A-8E2B-7543-8A84-F7A56BFA8224}" destId="{5D6AA624-A47F-3A45-973A-EA0C1C83A1BD}" srcOrd="5" destOrd="0" parTransId="{093EF331-9D76-CD47-A73B-FDAD2281C711}" sibTransId="{87A664FB-C306-264F-A982-923CED655609}"/>
    <dgm:cxn modelId="{126814EF-FF4A-3F4F-BCE7-D782CC155835}" type="presOf" srcId="{F691A5E7-2DFC-1B41-AA4C-6F8F0EFC32C6}" destId="{BFFADACE-BD2E-D84B-90DE-1F093403C0A6}" srcOrd="0" destOrd="0" presId="urn:microsoft.com/office/officeart/2005/8/layout/cycle6"/>
    <dgm:cxn modelId="{B19DD7F8-73A6-974C-82AD-29F9E70238BB}" srcId="{9A54834A-8E2B-7543-8A84-F7A56BFA8224}" destId="{F691A5E7-2DFC-1B41-AA4C-6F8F0EFC32C6}" srcOrd="0" destOrd="0" parTransId="{E5F0A759-7B6B-1F4B-A515-54A8642AABAF}" sibTransId="{614E26B0-65B4-A847-9A16-62950693AE3B}"/>
    <dgm:cxn modelId="{F0FA11FA-92FE-6443-A043-7A2CE4E7AB96}" type="presOf" srcId="{095C04FF-2814-1C48-980A-6B96DCE5F6AA}" destId="{3E493DC8-F8E5-A646-9B74-D807EE92E241}" srcOrd="0" destOrd="0" presId="urn:microsoft.com/office/officeart/2005/8/layout/cycle6"/>
    <dgm:cxn modelId="{5BC90DFB-C82D-2045-95EF-C43DC1F0C952}" type="presOf" srcId="{614E26B0-65B4-A847-9A16-62950693AE3B}" destId="{D4AB2BD5-3A0F-0F47-AC6F-6F3B9215339E}" srcOrd="0" destOrd="0" presId="urn:microsoft.com/office/officeart/2005/8/layout/cycle6"/>
    <dgm:cxn modelId="{40AED4C5-CDB6-C642-A514-E65BB4BD2FE2}" type="presParOf" srcId="{F089FD29-7BD5-204D-8CB1-F8990178FC99}" destId="{BFFADACE-BD2E-D84B-90DE-1F093403C0A6}" srcOrd="0" destOrd="0" presId="urn:microsoft.com/office/officeart/2005/8/layout/cycle6"/>
    <dgm:cxn modelId="{32C6C24E-2B9A-F342-919E-43C9A2FFC24A}" type="presParOf" srcId="{F089FD29-7BD5-204D-8CB1-F8990178FC99}" destId="{FA6B604A-0B21-9A4A-8162-FA2F23EA57FE}" srcOrd="1" destOrd="0" presId="urn:microsoft.com/office/officeart/2005/8/layout/cycle6"/>
    <dgm:cxn modelId="{47FFF80B-374B-B24F-9A92-3329398E7C4B}" type="presParOf" srcId="{F089FD29-7BD5-204D-8CB1-F8990178FC99}" destId="{D4AB2BD5-3A0F-0F47-AC6F-6F3B9215339E}" srcOrd="2" destOrd="0" presId="urn:microsoft.com/office/officeart/2005/8/layout/cycle6"/>
    <dgm:cxn modelId="{18231EAA-9FC5-1947-A344-39EBB7483926}" type="presParOf" srcId="{F089FD29-7BD5-204D-8CB1-F8990178FC99}" destId="{3E493DC8-F8E5-A646-9B74-D807EE92E241}" srcOrd="3" destOrd="0" presId="urn:microsoft.com/office/officeart/2005/8/layout/cycle6"/>
    <dgm:cxn modelId="{F73ABCDD-1CDF-6A47-99B2-FA570D80B8E6}" type="presParOf" srcId="{F089FD29-7BD5-204D-8CB1-F8990178FC99}" destId="{0E589553-33B4-FF4E-A83A-3DD01461874A}" srcOrd="4" destOrd="0" presId="urn:microsoft.com/office/officeart/2005/8/layout/cycle6"/>
    <dgm:cxn modelId="{930FB47D-841B-8B43-BC32-AA327AE9E2E1}" type="presParOf" srcId="{F089FD29-7BD5-204D-8CB1-F8990178FC99}" destId="{6A5C1793-E94E-4845-A83F-8940C670AEC7}" srcOrd="5" destOrd="0" presId="urn:microsoft.com/office/officeart/2005/8/layout/cycle6"/>
    <dgm:cxn modelId="{3CD3DCF5-6ACA-2B4A-87EB-E8C0E54890DE}" type="presParOf" srcId="{F089FD29-7BD5-204D-8CB1-F8990178FC99}" destId="{D3E6D1A9-EDB4-DA49-A862-06C24D290857}" srcOrd="6" destOrd="0" presId="urn:microsoft.com/office/officeart/2005/8/layout/cycle6"/>
    <dgm:cxn modelId="{E24B90A2-6413-A145-8356-B9361A723497}" type="presParOf" srcId="{F089FD29-7BD5-204D-8CB1-F8990178FC99}" destId="{E2AEAD99-28E3-2F4A-B711-4D5889A01A90}" srcOrd="7" destOrd="0" presId="urn:microsoft.com/office/officeart/2005/8/layout/cycle6"/>
    <dgm:cxn modelId="{402BD2E9-A835-744A-B907-2AF48F230369}" type="presParOf" srcId="{F089FD29-7BD5-204D-8CB1-F8990178FC99}" destId="{B6B12E60-99A7-5346-A602-7FC37786FFCB}" srcOrd="8" destOrd="0" presId="urn:microsoft.com/office/officeart/2005/8/layout/cycle6"/>
    <dgm:cxn modelId="{A6369EA1-93DF-F445-9188-B41BF88F7B10}" type="presParOf" srcId="{F089FD29-7BD5-204D-8CB1-F8990178FC99}" destId="{B5C44BB2-2E07-9742-BA7B-65E8C5495E43}" srcOrd="9" destOrd="0" presId="urn:microsoft.com/office/officeart/2005/8/layout/cycle6"/>
    <dgm:cxn modelId="{F1AB7A9D-E36B-004A-B500-BE8018584B94}" type="presParOf" srcId="{F089FD29-7BD5-204D-8CB1-F8990178FC99}" destId="{443C9CBA-2230-CB41-814B-DC402CB64063}" srcOrd="10" destOrd="0" presId="urn:microsoft.com/office/officeart/2005/8/layout/cycle6"/>
    <dgm:cxn modelId="{C923BC44-E42B-824C-A86A-FBB823C06693}" type="presParOf" srcId="{F089FD29-7BD5-204D-8CB1-F8990178FC99}" destId="{BA553047-4F1A-E649-A508-F30947B0BDC6}" srcOrd="11" destOrd="0" presId="urn:microsoft.com/office/officeart/2005/8/layout/cycle6"/>
    <dgm:cxn modelId="{C7E26B03-B786-8741-8D24-9796CF6E0D07}" type="presParOf" srcId="{F089FD29-7BD5-204D-8CB1-F8990178FC99}" destId="{C9FD9561-DB49-BE43-84A1-CBA6BA5AE0D6}" srcOrd="12" destOrd="0" presId="urn:microsoft.com/office/officeart/2005/8/layout/cycle6"/>
    <dgm:cxn modelId="{12502177-7B79-5B4A-B398-D674A1C14AA3}" type="presParOf" srcId="{F089FD29-7BD5-204D-8CB1-F8990178FC99}" destId="{A0CE59DC-CFDC-044B-9C1D-4A4F725F4E4D}" srcOrd="13" destOrd="0" presId="urn:microsoft.com/office/officeart/2005/8/layout/cycle6"/>
    <dgm:cxn modelId="{DF2DD082-E5D5-274A-BA45-801BADE1DC77}" type="presParOf" srcId="{F089FD29-7BD5-204D-8CB1-F8990178FC99}" destId="{B560FE59-1E4A-4C4F-A187-56FCB32825A0}" srcOrd="14" destOrd="0" presId="urn:microsoft.com/office/officeart/2005/8/layout/cycle6"/>
    <dgm:cxn modelId="{2006FD9D-A988-C44B-8824-CAF712869657}" type="presParOf" srcId="{F089FD29-7BD5-204D-8CB1-F8990178FC99}" destId="{6F8797A7-38DB-8143-BA2C-9CA27AFF616F}" srcOrd="15" destOrd="0" presId="urn:microsoft.com/office/officeart/2005/8/layout/cycle6"/>
    <dgm:cxn modelId="{1AA24CF4-D325-9A42-86A3-1321AB30CCA7}" type="presParOf" srcId="{F089FD29-7BD5-204D-8CB1-F8990178FC99}" destId="{49BDF1AE-1804-F549-ADE9-69B7C1ED8379}" srcOrd="16" destOrd="0" presId="urn:microsoft.com/office/officeart/2005/8/layout/cycle6"/>
    <dgm:cxn modelId="{13E33AAB-5193-FE4F-A0C5-67813C3372C6}" type="presParOf" srcId="{F089FD29-7BD5-204D-8CB1-F8990178FC99}" destId="{75DB60CC-683A-CB4C-9FC9-D556102CA050}" srcOrd="17" destOrd="0" presId="urn:microsoft.com/office/officeart/2005/8/layout/cycle6"/>
  </dgm:cxnLst>
  <dgm:bg/>
  <dgm:whole/>
  <dgm:extLst>
    <a:ext uri="http://schemas.microsoft.com/office/drawing/2008/diagram">
      <dsp:dataModelExt xmlns:dsp="http://schemas.microsoft.com/office/drawing/2008/diagram" relId="rId10"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FADACE-BD2E-D84B-90DE-1F093403C0A6}">
      <dsp:nvSpPr>
        <dsp:cNvPr id="0" name=""/>
        <dsp:cNvSpPr/>
      </dsp:nvSpPr>
      <dsp:spPr>
        <a:xfrm>
          <a:off x="1086945" y="390"/>
          <a:ext cx="615663" cy="400181"/>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a:t>
          </a:r>
        </a:p>
      </dsp:txBody>
      <dsp:txXfrm>
        <a:off x="1106480" y="19925"/>
        <a:ext cx="576593" cy="361111"/>
      </dsp:txXfrm>
    </dsp:sp>
    <dsp:sp modelId="{D4AB2BD5-3A0F-0F47-AC6F-6F3B9215339E}">
      <dsp:nvSpPr>
        <dsp:cNvPr id="0" name=""/>
        <dsp:cNvSpPr/>
      </dsp:nvSpPr>
      <dsp:spPr>
        <a:xfrm>
          <a:off x="452258" y="200481"/>
          <a:ext cx="1885037" cy="1885037"/>
        </a:xfrm>
        <a:custGeom>
          <a:avLst/>
          <a:gdLst/>
          <a:ahLst/>
          <a:cxnLst/>
          <a:rect l="0" t="0" r="0" b="0"/>
          <a:pathLst>
            <a:path>
              <a:moveTo>
                <a:pt x="1254281" y="53055"/>
              </a:moveTo>
              <a:arcTo wR="942518" hR="942518" stAng="17358955" swAng="1500552"/>
            </a:path>
          </a:pathLst>
        </a:custGeom>
        <a:noFill/>
        <a:ln w="9525" cap="flat" cmpd="sng" algn="ctr">
          <a:solidFill>
            <a:schemeClr val="dk1"/>
          </a:solidFill>
          <a:prstDash val="dash"/>
          <a:round/>
          <a:headEnd type="none" w="med" len="med"/>
          <a:tailEnd type="none" w="med" len="med"/>
        </a:ln>
        <a:effectLst/>
      </dsp:spPr>
      <dsp:style>
        <a:lnRef idx="0">
          <a:scrgbClr r="0" g="0" b="0"/>
        </a:lnRef>
        <a:fillRef idx="0">
          <a:scrgbClr r="0" g="0" b="0"/>
        </a:fillRef>
        <a:effectRef idx="0">
          <a:scrgbClr r="0" g="0" b="0"/>
        </a:effectRef>
        <a:fontRef idx="minor">
          <a:schemeClr val="tx1"/>
        </a:fontRef>
      </dsp:style>
    </dsp:sp>
    <dsp:sp modelId="{3E493DC8-F8E5-A646-9B74-D807EE92E241}">
      <dsp:nvSpPr>
        <dsp:cNvPr id="0" name=""/>
        <dsp:cNvSpPr/>
      </dsp:nvSpPr>
      <dsp:spPr>
        <a:xfrm>
          <a:off x="1903190" y="471650"/>
          <a:ext cx="615663" cy="400181"/>
        </a:xfrm>
        <a:prstGeom prst="roundRect">
          <a:avLst/>
        </a:prstGeom>
        <a:solidFill>
          <a:srgbClr val="AC8CE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E</a:t>
          </a:r>
        </a:p>
      </dsp:txBody>
      <dsp:txXfrm>
        <a:off x="1922725" y="491185"/>
        <a:ext cx="576593" cy="361111"/>
      </dsp:txXfrm>
    </dsp:sp>
    <dsp:sp modelId="{6A5C1793-E94E-4845-A83F-8940C670AEC7}">
      <dsp:nvSpPr>
        <dsp:cNvPr id="0" name=""/>
        <dsp:cNvSpPr/>
      </dsp:nvSpPr>
      <dsp:spPr>
        <a:xfrm>
          <a:off x="452258" y="200481"/>
          <a:ext cx="1885037" cy="1885037"/>
        </a:xfrm>
        <a:custGeom>
          <a:avLst/>
          <a:gdLst/>
          <a:ahLst/>
          <a:cxnLst/>
          <a:rect l="0" t="0" r="0" b="0"/>
          <a:pathLst>
            <a:path>
              <a:moveTo>
                <a:pt x="1846731" y="676548"/>
              </a:moveTo>
              <a:arcTo wR="942518" hR="942518" stAng="20616540" swAng="1966921"/>
            </a:path>
          </a:pathLst>
        </a:custGeom>
        <a:noFill/>
        <a:ln w="9525" cap="flat" cmpd="sng" algn="ctr">
          <a:solidFill>
            <a:schemeClr val="dk1"/>
          </a:solidFill>
          <a:prstDash val="dash"/>
          <a:round/>
          <a:headEnd type="none" w="med" len="med"/>
          <a:tailEnd type="none" w="med" len="med"/>
        </a:ln>
        <a:effectLst/>
      </dsp:spPr>
      <dsp:style>
        <a:lnRef idx="0">
          <a:scrgbClr r="0" g="0" b="0"/>
        </a:lnRef>
        <a:fillRef idx="0">
          <a:scrgbClr r="0" g="0" b="0"/>
        </a:fillRef>
        <a:effectRef idx="0">
          <a:scrgbClr r="0" g="0" b="0"/>
        </a:effectRef>
        <a:fontRef idx="minor">
          <a:schemeClr val="tx1"/>
        </a:fontRef>
      </dsp:style>
    </dsp:sp>
    <dsp:sp modelId="{D3E6D1A9-EDB4-DA49-A862-06C24D290857}">
      <dsp:nvSpPr>
        <dsp:cNvPr id="0" name=""/>
        <dsp:cNvSpPr/>
      </dsp:nvSpPr>
      <dsp:spPr>
        <a:xfrm>
          <a:off x="1903190" y="1414168"/>
          <a:ext cx="615663" cy="400181"/>
        </a:xfrm>
        <a:prstGeom prst="roundRect">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S</a:t>
          </a:r>
        </a:p>
      </dsp:txBody>
      <dsp:txXfrm>
        <a:off x="1922725" y="1433703"/>
        <a:ext cx="576593" cy="361111"/>
      </dsp:txXfrm>
    </dsp:sp>
    <dsp:sp modelId="{B6B12E60-99A7-5346-A602-7FC37786FFCB}">
      <dsp:nvSpPr>
        <dsp:cNvPr id="0" name=""/>
        <dsp:cNvSpPr/>
      </dsp:nvSpPr>
      <dsp:spPr>
        <a:xfrm>
          <a:off x="452258" y="200481"/>
          <a:ext cx="1885037" cy="1885037"/>
        </a:xfrm>
        <a:custGeom>
          <a:avLst/>
          <a:gdLst/>
          <a:ahLst/>
          <a:cxnLst/>
          <a:rect l="0" t="0" r="0" b="0"/>
          <a:pathLst>
            <a:path>
              <a:moveTo>
                <a:pt x="1601083" y="1616783"/>
              </a:moveTo>
              <a:arcTo wR="942518" hR="942518" stAng="2740493" swAng="1500552"/>
            </a:path>
          </a:pathLst>
        </a:custGeom>
        <a:noFill/>
        <a:ln w="9525" cap="flat" cmpd="sng" algn="ctr">
          <a:solidFill>
            <a:schemeClr val="dk1"/>
          </a:solidFill>
          <a:prstDash val="dash"/>
          <a:round/>
          <a:headEnd type="none" w="med" len="med"/>
          <a:tailEnd type="none" w="med" len="med"/>
        </a:ln>
        <a:effectLst/>
      </dsp:spPr>
      <dsp:style>
        <a:lnRef idx="0">
          <a:scrgbClr r="0" g="0" b="0"/>
        </a:lnRef>
        <a:fillRef idx="0">
          <a:scrgbClr r="0" g="0" b="0"/>
        </a:fillRef>
        <a:effectRef idx="0">
          <a:scrgbClr r="0" g="0" b="0"/>
        </a:effectRef>
        <a:fontRef idx="minor">
          <a:schemeClr val="tx1"/>
        </a:fontRef>
      </dsp:style>
    </dsp:sp>
    <dsp:sp modelId="{B5C44BB2-2E07-9742-BA7B-65E8C5495E43}">
      <dsp:nvSpPr>
        <dsp:cNvPr id="0" name=""/>
        <dsp:cNvSpPr/>
      </dsp:nvSpPr>
      <dsp:spPr>
        <a:xfrm>
          <a:off x="1086945" y="1885428"/>
          <a:ext cx="615663" cy="400181"/>
        </a:xfrm>
        <a:prstGeom prst="round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T</a:t>
          </a:r>
        </a:p>
      </dsp:txBody>
      <dsp:txXfrm>
        <a:off x="1106480" y="1904963"/>
        <a:ext cx="576593" cy="361111"/>
      </dsp:txXfrm>
    </dsp:sp>
    <dsp:sp modelId="{BA553047-4F1A-E649-A508-F30947B0BDC6}">
      <dsp:nvSpPr>
        <dsp:cNvPr id="0" name=""/>
        <dsp:cNvSpPr/>
      </dsp:nvSpPr>
      <dsp:spPr>
        <a:xfrm>
          <a:off x="452258" y="200481"/>
          <a:ext cx="1885037" cy="1885037"/>
        </a:xfrm>
        <a:custGeom>
          <a:avLst/>
          <a:gdLst/>
          <a:ahLst/>
          <a:cxnLst/>
          <a:rect l="0" t="0" r="0" b="0"/>
          <a:pathLst>
            <a:path>
              <a:moveTo>
                <a:pt x="630755" y="1831982"/>
              </a:moveTo>
              <a:arcTo wR="942518" hR="942518" stAng="6558955" swAng="1500552"/>
            </a:path>
          </a:pathLst>
        </a:custGeom>
        <a:noFill/>
        <a:ln w="9525" cap="flat" cmpd="sng" algn="ctr">
          <a:solidFill>
            <a:schemeClr val="dk1"/>
          </a:solidFill>
          <a:prstDash val="dash"/>
          <a:round/>
          <a:headEnd type="none" w="med" len="med"/>
          <a:tailEnd type="none" w="med" len="med"/>
        </a:ln>
        <a:effectLst/>
      </dsp:spPr>
      <dsp:style>
        <a:lnRef idx="0">
          <a:scrgbClr r="0" g="0" b="0"/>
        </a:lnRef>
        <a:fillRef idx="0">
          <a:scrgbClr r="0" g="0" b="0"/>
        </a:fillRef>
        <a:effectRef idx="0">
          <a:scrgbClr r="0" g="0" b="0"/>
        </a:effectRef>
        <a:fontRef idx="minor">
          <a:schemeClr val="tx1"/>
        </a:fontRef>
      </dsp:style>
    </dsp:sp>
    <dsp:sp modelId="{C9FD9561-DB49-BE43-84A1-CBA6BA5AE0D6}">
      <dsp:nvSpPr>
        <dsp:cNvPr id="0" name=""/>
        <dsp:cNvSpPr/>
      </dsp:nvSpPr>
      <dsp:spPr>
        <a:xfrm>
          <a:off x="270700" y="1414168"/>
          <a:ext cx="615663" cy="400181"/>
        </a:xfrm>
        <a:prstGeom prst="roundRect">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L</a:t>
          </a:r>
        </a:p>
      </dsp:txBody>
      <dsp:txXfrm>
        <a:off x="290235" y="1433703"/>
        <a:ext cx="576593" cy="361111"/>
      </dsp:txXfrm>
    </dsp:sp>
    <dsp:sp modelId="{B560FE59-1E4A-4C4F-A187-56FCB32825A0}">
      <dsp:nvSpPr>
        <dsp:cNvPr id="0" name=""/>
        <dsp:cNvSpPr/>
      </dsp:nvSpPr>
      <dsp:spPr>
        <a:xfrm>
          <a:off x="452258" y="200481"/>
          <a:ext cx="1885037" cy="1885037"/>
        </a:xfrm>
        <a:custGeom>
          <a:avLst/>
          <a:gdLst/>
          <a:ahLst/>
          <a:cxnLst/>
          <a:rect l="0" t="0" r="0" b="0"/>
          <a:pathLst>
            <a:path>
              <a:moveTo>
                <a:pt x="38305" y="1208488"/>
              </a:moveTo>
              <a:arcTo wR="942518" hR="942518" stAng="9816540" swAng="1966921"/>
            </a:path>
          </a:pathLst>
        </a:custGeom>
        <a:noFill/>
        <a:ln w="9525" cap="flat" cmpd="sng" algn="ctr">
          <a:solidFill>
            <a:schemeClr val="dk1"/>
          </a:solidFill>
          <a:prstDash val="dash"/>
          <a:round/>
          <a:headEnd type="none" w="med" len="med"/>
          <a:tailEnd type="none" w="med" len="med"/>
        </a:ln>
        <a:effectLst/>
      </dsp:spPr>
      <dsp:style>
        <a:lnRef idx="0">
          <a:scrgbClr r="0" g="0" b="0"/>
        </a:lnRef>
        <a:fillRef idx="0">
          <a:scrgbClr r="0" g="0" b="0"/>
        </a:fillRef>
        <a:effectRef idx="0">
          <a:scrgbClr r="0" g="0" b="0"/>
        </a:effectRef>
        <a:fontRef idx="minor">
          <a:schemeClr val="tx1"/>
        </a:fontRef>
      </dsp:style>
    </dsp:sp>
    <dsp:sp modelId="{6F8797A7-38DB-8143-BA2C-9CA27AFF616F}">
      <dsp:nvSpPr>
        <dsp:cNvPr id="0" name=""/>
        <dsp:cNvSpPr/>
      </dsp:nvSpPr>
      <dsp:spPr>
        <a:xfrm>
          <a:off x="270700" y="471650"/>
          <a:ext cx="615663" cy="400181"/>
        </a:xfrm>
        <a:prstGeom prst="roundRect">
          <a:avLst/>
        </a:prstGeom>
        <a:solidFill>
          <a:srgbClr val="ECBAE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E</a:t>
          </a:r>
        </a:p>
      </dsp:txBody>
      <dsp:txXfrm>
        <a:off x="290235" y="491185"/>
        <a:ext cx="576593" cy="361111"/>
      </dsp:txXfrm>
    </dsp:sp>
    <dsp:sp modelId="{75DB60CC-683A-CB4C-9FC9-D556102CA050}">
      <dsp:nvSpPr>
        <dsp:cNvPr id="0" name=""/>
        <dsp:cNvSpPr/>
      </dsp:nvSpPr>
      <dsp:spPr>
        <a:xfrm>
          <a:off x="452258" y="200481"/>
          <a:ext cx="1885037" cy="1885037"/>
        </a:xfrm>
        <a:custGeom>
          <a:avLst/>
          <a:gdLst/>
          <a:ahLst/>
          <a:cxnLst/>
          <a:rect l="0" t="0" r="0" b="0"/>
          <a:pathLst>
            <a:path>
              <a:moveTo>
                <a:pt x="283953" y="268253"/>
              </a:moveTo>
              <a:arcTo wR="942518" hR="942518" stAng="13540493" swAng="1500552"/>
            </a:path>
          </a:pathLst>
        </a:custGeom>
        <a:noFill/>
        <a:ln w="9525" cap="flat" cmpd="sng" algn="ctr">
          <a:solidFill>
            <a:schemeClr val="dk1"/>
          </a:solidFill>
          <a:prstDash val="dash"/>
          <a:round/>
          <a:headEnd type="none" w="med" len="med"/>
          <a:tailEnd type="none" w="med" len="med"/>
        </a:ln>
        <a:effectLst/>
      </dsp:spPr>
      <dsp:style>
        <a:lnRef idx="0">
          <a:scrgbClr r="0" g="0" b="0"/>
        </a:lnRef>
        <a:fillRef idx="0">
          <a:scrgbClr r="0" g="0" b="0"/>
        </a:fillRef>
        <a:effectRef idx="0">
          <a:scrgbClr r="0" g="0" b="0"/>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2</Pages>
  <Words>333</Words>
  <Characters>1901</Characters>
  <Application>Microsoft Office Word</Application>
  <DocSecurity>0</DocSecurity>
  <Lines>15</Lines>
  <Paragraphs>4</Paragraphs>
  <ScaleCrop>false</ScaleCrop>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14</cp:revision>
  <cp:lastPrinted>2023-01-16T13:15:00Z</cp:lastPrinted>
  <dcterms:created xsi:type="dcterms:W3CDTF">2023-01-15T21:14:00Z</dcterms:created>
  <dcterms:modified xsi:type="dcterms:W3CDTF">2023-01-16T19:55:00Z</dcterms:modified>
</cp:coreProperties>
</file>