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8F364" w14:textId="7310E454" w:rsidR="0081304D" w:rsidRPr="0081304D" w:rsidRDefault="0081304D" w:rsidP="0081304D">
      <w:pPr>
        <w:rPr>
          <w:rFonts w:ascii="Arial" w:hAnsi="Arial" w:cs="Arial"/>
          <w:sz w:val="24"/>
          <w:szCs w:val="24"/>
        </w:rPr>
      </w:pPr>
      <w:r w:rsidRPr="0081304D">
        <w:rPr>
          <w:rFonts w:ascii="Arial" w:hAnsi="Arial" w:cs="Arial"/>
          <w:sz w:val="24"/>
          <w:szCs w:val="24"/>
        </w:rPr>
        <w:t xml:space="preserve">This assignment it will demonstrate and Provide a comparison of definitions of childhood and examine significant parts of family life. Outline historical and contemporary processes in the social production of childhood. Demonstrate an understanding of historical and contemporary developments in the lives of </w:t>
      </w:r>
      <w:r w:rsidR="00D1513F" w:rsidRPr="00D1513F">
        <w:rPr>
          <w:rFonts w:ascii="Arial" w:hAnsi="Arial" w:cs="Arial"/>
          <w:sz w:val="24"/>
          <w:szCs w:val="24"/>
        </w:rPr>
        <w:t>young people and their relatives</w:t>
      </w:r>
      <w:r w:rsidRPr="0081304D">
        <w:rPr>
          <w:rFonts w:ascii="Arial" w:hAnsi="Arial" w:cs="Arial"/>
          <w:sz w:val="24"/>
          <w:szCs w:val="24"/>
        </w:rPr>
        <w:t xml:space="preserve">. Debate the impact of inequalities in children's education, as well as identify and discuss a variety of techniques and interventions that support vulnerable children. </w:t>
      </w:r>
    </w:p>
    <w:p w14:paraId="014E05CB" w14:textId="17F46F28" w:rsidR="0081304D" w:rsidRPr="0081304D" w:rsidRDefault="0081304D" w:rsidP="0081304D">
      <w:pPr>
        <w:rPr>
          <w:rFonts w:ascii="Arial" w:hAnsi="Arial" w:cs="Arial"/>
          <w:sz w:val="24"/>
          <w:szCs w:val="24"/>
        </w:rPr>
      </w:pPr>
      <w:r w:rsidRPr="0081304D">
        <w:rPr>
          <w:rFonts w:ascii="Arial" w:hAnsi="Arial" w:cs="Arial"/>
          <w:sz w:val="24"/>
          <w:szCs w:val="24"/>
        </w:rPr>
        <w:t xml:space="preserve">Childhood, according to Philippe Ariès (1962), was absent in European History. He conducted qualitative information in a number of institutions, such as memos, and illustrations, and by using a  diary. Ariès contended that infants in the past were basically little adults. Kids appeared, behaved, earned, and had been recognized like grownups as soon as they become physically independent. Working-class kids, Ariès states, worked alongside grownups in mines and industries during the formative years of the 20th century. Childhood as we understand it today arose only after the introduction of formal schooling. Although upper-class kids started attending classes around the beginning of the 1600s, basic education didn't really become mandatory for all kids until the nineteenth century. At the same time, the law made it unlawful to hire youngsters in mines or factories. Individuals must be taught how to manage a new developmental milestone as </w:t>
      </w:r>
      <w:r w:rsidR="00A047B4" w:rsidRPr="00A047B4">
        <w:rPr>
          <w:rFonts w:ascii="Arial" w:hAnsi="Arial" w:cs="Arial"/>
          <w:sz w:val="24"/>
          <w:szCs w:val="24"/>
        </w:rPr>
        <w:t>resulting from the</w:t>
      </w:r>
      <w:r w:rsidRPr="0081304D">
        <w:rPr>
          <w:rFonts w:ascii="Arial" w:hAnsi="Arial" w:cs="Arial"/>
          <w:sz w:val="24"/>
          <w:szCs w:val="24"/>
        </w:rPr>
        <w:t xml:space="preserve"> advent of a </w:t>
      </w:r>
      <w:r w:rsidR="00FB3E35" w:rsidRPr="00FB3E35">
        <w:rPr>
          <w:rFonts w:ascii="Arial" w:hAnsi="Arial" w:cs="Arial"/>
          <w:sz w:val="24"/>
          <w:szCs w:val="24"/>
        </w:rPr>
        <w:t>new phase of life</w:t>
      </w:r>
      <w:r w:rsidRPr="0081304D">
        <w:rPr>
          <w:rFonts w:ascii="Arial" w:hAnsi="Arial" w:cs="Arial"/>
          <w:sz w:val="24"/>
          <w:szCs w:val="24"/>
        </w:rPr>
        <w:t xml:space="preserve">. A wide spectrum of experts, such as doctors, school officials, and psychologists, started to emerge.  Jacques Donzelot (1977) states this is merely one way to control people wherein specialists 'monitor' family standards, beliefs, and </w:t>
      </w:r>
      <w:r w:rsidR="00A653D8" w:rsidRPr="0081304D">
        <w:rPr>
          <w:rFonts w:ascii="Arial" w:hAnsi="Arial" w:cs="Arial"/>
          <w:sz w:val="24"/>
          <w:szCs w:val="24"/>
        </w:rPr>
        <w:t>behaviour</w:t>
      </w:r>
      <w:r w:rsidRPr="0081304D">
        <w:rPr>
          <w:rFonts w:ascii="Arial" w:hAnsi="Arial" w:cs="Arial"/>
          <w:sz w:val="24"/>
          <w:szCs w:val="24"/>
        </w:rPr>
        <w:t xml:space="preserve"> in order to keep a specific sort of social order. Many experts, nevertheless, dispute this viewpoint, stating that the development of this competence basically reinforced the belief that kids need the direction of grownups. Neil Postman (1983) contends that childhood as we currently know it will not last much longer. He claims that the ubiquitous use of mainstream media, such as tv, the web, and social networking sites, exposes small kids to data that was previously restricted to adults. Examples include violence and pornographic material. Postman argues that because of this consequence, the lines dividing childhood and adulthood have blurred. Several psychologists, too, disagree with Postman's theory. They claim that childhood isn't going away, but rather evolving and getting more complicated as kids use technology to declare freedom in some ways while being highly reliant upon adults in others. Child development as a social construct concept, a subfield of sociocultural theory, aims to comprehend how kids and infancy expertise are formed, by others, how, and, most importantly, for what purpose (Norozi, 2016). Childhood is the first phase of a person's development throughout all nations and cultures. (Norozi, 2016). The term "kid" is so ubiquitous in ordinary discourse that people rarely pause to consider what it signifies. One important aspect of being a kid is age.</w:t>
      </w:r>
      <w:r w:rsidR="00D36DB4">
        <w:rPr>
          <w:rFonts w:ascii="Arial" w:hAnsi="Arial" w:cs="Arial"/>
          <w:sz w:val="24"/>
          <w:szCs w:val="24"/>
        </w:rPr>
        <w:t xml:space="preserve"> </w:t>
      </w:r>
      <w:r w:rsidRPr="0081304D">
        <w:rPr>
          <w:rFonts w:ascii="Arial" w:hAnsi="Arial" w:cs="Arial"/>
          <w:sz w:val="24"/>
          <w:szCs w:val="24"/>
        </w:rPr>
        <w:t>UNCRC</w:t>
      </w:r>
      <w:r w:rsidR="00D36DB4">
        <w:rPr>
          <w:rFonts w:ascii="Arial" w:hAnsi="Arial" w:cs="Arial"/>
          <w:sz w:val="24"/>
          <w:szCs w:val="24"/>
        </w:rPr>
        <w:t xml:space="preserve"> (2022)</w:t>
      </w:r>
      <w:r w:rsidRPr="0081304D">
        <w:rPr>
          <w:rFonts w:ascii="Arial" w:hAnsi="Arial" w:cs="Arial"/>
          <w:sz w:val="24"/>
          <w:szCs w:val="24"/>
        </w:rPr>
        <w:t xml:space="preserve"> defines an infant as anyone </w:t>
      </w:r>
      <w:r w:rsidR="00A653D8">
        <w:rPr>
          <w:rFonts w:ascii="Arial" w:hAnsi="Arial" w:cs="Arial"/>
          <w:sz w:val="24"/>
          <w:szCs w:val="24"/>
        </w:rPr>
        <w:t>below the years</w:t>
      </w:r>
      <w:r w:rsidRPr="0081304D">
        <w:rPr>
          <w:rFonts w:ascii="Arial" w:hAnsi="Arial" w:cs="Arial"/>
          <w:sz w:val="24"/>
          <w:szCs w:val="24"/>
        </w:rPr>
        <w:t xml:space="preserve"> of 18. (UNCRC, </w:t>
      </w:r>
      <w:r w:rsidRPr="0081304D">
        <w:rPr>
          <w:rFonts w:ascii="Arial" w:hAnsi="Arial" w:cs="Arial"/>
          <w:i/>
          <w:iCs/>
          <w:sz w:val="24"/>
          <w:szCs w:val="24"/>
        </w:rPr>
        <w:t>Children's human rights</w:t>
      </w:r>
      <w:r w:rsidRPr="0081304D">
        <w:rPr>
          <w:rFonts w:ascii="Arial" w:hAnsi="Arial" w:cs="Arial"/>
          <w:sz w:val="24"/>
          <w:szCs w:val="24"/>
        </w:rPr>
        <w:t xml:space="preserve"> 2022). According to Hurrelmann (1998), social construction is defined as the method of emerging, construction, and personality growth in dependency on and interplay with the living organisms on one hand and the sociocultural environments on the other. He states his personal socialization process theory: the individual as a creative consumer of informal and formal realities. He discusses the structured social and cultural frameworks of social conditioning (such as education), the home, as well </w:t>
      </w:r>
      <w:r w:rsidRPr="0081304D">
        <w:rPr>
          <w:rFonts w:ascii="Arial" w:hAnsi="Arial" w:cs="Arial"/>
          <w:sz w:val="24"/>
          <w:szCs w:val="24"/>
        </w:rPr>
        <w:lastRenderedPageBreak/>
        <w:t xml:space="preserve">as other community settings, as well as findings on the relationship among living standards, health conditions in anxiety, psychological issues, and prevention programs measures. This detailed look at the relationship between social construction and character will appeal to a broad population. (Hurrelmann,1998). According to Rogers(2003), various </w:t>
      </w:r>
      <w:r w:rsidR="00F85F0A" w:rsidRPr="00F85F0A">
        <w:rPr>
          <w:rFonts w:ascii="Arial" w:hAnsi="Arial" w:cs="Arial"/>
          <w:sz w:val="24"/>
          <w:szCs w:val="24"/>
        </w:rPr>
        <w:t>methods for learning</w:t>
      </w:r>
      <w:r w:rsidRPr="0081304D">
        <w:rPr>
          <w:rFonts w:ascii="Arial" w:hAnsi="Arial" w:cs="Arial"/>
          <w:sz w:val="24"/>
          <w:szCs w:val="24"/>
        </w:rPr>
        <w:t xml:space="preserve"> </w:t>
      </w:r>
      <w:r w:rsidR="002A370A">
        <w:rPr>
          <w:rFonts w:ascii="Arial" w:hAnsi="Arial" w:cs="Arial"/>
          <w:sz w:val="24"/>
          <w:szCs w:val="24"/>
        </w:rPr>
        <w:t xml:space="preserve">with </w:t>
      </w:r>
      <w:r w:rsidRPr="0081304D">
        <w:rPr>
          <w:rFonts w:ascii="Arial" w:hAnsi="Arial" w:cs="Arial"/>
          <w:sz w:val="24"/>
          <w:szCs w:val="24"/>
        </w:rPr>
        <w:t>kids a</w:t>
      </w:r>
      <w:r w:rsidR="009271D7">
        <w:rPr>
          <w:rFonts w:ascii="Arial" w:hAnsi="Arial" w:cs="Arial"/>
          <w:sz w:val="24"/>
          <w:szCs w:val="24"/>
        </w:rPr>
        <w:t>lso</w:t>
      </w:r>
      <w:r w:rsidRPr="0081304D">
        <w:rPr>
          <w:rFonts w:ascii="Arial" w:hAnsi="Arial" w:cs="Arial"/>
          <w:sz w:val="24"/>
          <w:szCs w:val="24"/>
        </w:rPr>
        <w:t xml:space="preserve"> infancy </w:t>
      </w:r>
      <w:r w:rsidR="002A370A">
        <w:rPr>
          <w:rFonts w:ascii="Arial" w:hAnsi="Arial" w:cs="Arial"/>
          <w:sz w:val="24"/>
          <w:szCs w:val="24"/>
        </w:rPr>
        <w:t xml:space="preserve">have </w:t>
      </w:r>
      <w:r w:rsidR="00181195" w:rsidRPr="00181195">
        <w:rPr>
          <w:rFonts w:ascii="Arial" w:hAnsi="Arial" w:cs="Arial"/>
          <w:sz w:val="24"/>
          <w:szCs w:val="24"/>
        </w:rPr>
        <w:t>been in employment</w:t>
      </w:r>
      <w:r w:rsidRPr="0081304D">
        <w:rPr>
          <w:rFonts w:ascii="Arial" w:hAnsi="Arial" w:cs="Arial"/>
          <w:sz w:val="24"/>
          <w:szCs w:val="24"/>
        </w:rPr>
        <w:t xml:space="preserve">, including </w:t>
      </w:r>
      <w:r w:rsidR="00FF323D" w:rsidRPr="00FF323D">
        <w:rPr>
          <w:rFonts w:ascii="Arial" w:hAnsi="Arial" w:cs="Arial"/>
          <w:sz w:val="24"/>
          <w:szCs w:val="24"/>
        </w:rPr>
        <w:t>scientific procedures</w:t>
      </w:r>
      <w:r w:rsidRPr="0081304D">
        <w:rPr>
          <w:rFonts w:ascii="Arial" w:hAnsi="Arial" w:cs="Arial"/>
          <w:sz w:val="24"/>
          <w:szCs w:val="24"/>
        </w:rPr>
        <w:t xml:space="preserve">, practical methods, and social constructivism strategies. Social construction aims to comprehend how </w:t>
      </w:r>
      <w:r w:rsidR="00C639D7">
        <w:rPr>
          <w:rFonts w:ascii="Arial" w:hAnsi="Arial" w:cs="Arial"/>
          <w:sz w:val="24"/>
          <w:szCs w:val="24"/>
        </w:rPr>
        <w:t>adolescents’</w:t>
      </w:r>
      <w:r w:rsidRPr="0081304D">
        <w:rPr>
          <w:rFonts w:ascii="Arial" w:hAnsi="Arial" w:cs="Arial"/>
          <w:sz w:val="24"/>
          <w:szCs w:val="24"/>
        </w:rPr>
        <w:t xml:space="preserve"> and </w:t>
      </w:r>
      <w:r w:rsidR="00BB34A3" w:rsidRPr="00BB34A3">
        <w:rPr>
          <w:rFonts w:ascii="Arial" w:hAnsi="Arial" w:cs="Arial"/>
          <w:sz w:val="24"/>
          <w:szCs w:val="24"/>
        </w:rPr>
        <w:t>children's education</w:t>
      </w:r>
      <w:r w:rsidR="00CC42DD" w:rsidRPr="00CC42DD">
        <w:t xml:space="preserve"> </w:t>
      </w:r>
      <w:r w:rsidR="00C639D7">
        <w:rPr>
          <w:rFonts w:ascii="Arial" w:hAnsi="Arial" w:cs="Arial"/>
          <w:sz w:val="24"/>
          <w:szCs w:val="24"/>
        </w:rPr>
        <w:t>who</w:t>
      </w:r>
      <w:r w:rsidR="00CC42DD" w:rsidRPr="00CC42DD">
        <w:rPr>
          <w:rFonts w:ascii="Arial" w:hAnsi="Arial" w:cs="Arial"/>
          <w:sz w:val="24"/>
          <w:szCs w:val="24"/>
        </w:rPr>
        <w:t xml:space="preserve"> built, when, and most essential, </w:t>
      </w:r>
      <w:r w:rsidR="00CC42DD" w:rsidRPr="00CC42DD">
        <w:rPr>
          <w:rFonts w:ascii="Arial" w:hAnsi="Arial" w:cs="Arial"/>
          <w:sz w:val="24"/>
          <w:szCs w:val="24"/>
        </w:rPr>
        <w:t>what’s</w:t>
      </w:r>
      <w:r w:rsidR="00CC42DD" w:rsidRPr="00CC42DD">
        <w:rPr>
          <w:rFonts w:ascii="Arial" w:hAnsi="Arial" w:cs="Arial"/>
          <w:sz w:val="24"/>
          <w:szCs w:val="24"/>
        </w:rPr>
        <w:t xml:space="preserve"> its</w:t>
      </w:r>
      <w:r w:rsidR="00753D5D">
        <w:rPr>
          <w:rFonts w:ascii="Arial" w:hAnsi="Arial" w:cs="Arial"/>
          <w:sz w:val="24"/>
          <w:szCs w:val="24"/>
        </w:rPr>
        <w:t xml:space="preserve"> </w:t>
      </w:r>
      <w:r w:rsidR="00CC42DD" w:rsidRPr="00CC42DD">
        <w:rPr>
          <w:rFonts w:ascii="Arial" w:hAnsi="Arial" w:cs="Arial"/>
          <w:sz w:val="24"/>
          <w:szCs w:val="24"/>
        </w:rPr>
        <w:t>purpose</w:t>
      </w:r>
      <w:r w:rsidRPr="0081304D">
        <w:rPr>
          <w:rFonts w:ascii="Arial" w:hAnsi="Arial" w:cs="Arial"/>
          <w:sz w:val="24"/>
          <w:szCs w:val="24"/>
        </w:rPr>
        <w:t xml:space="preserve">. Social construction </w:t>
      </w:r>
      <w:r w:rsidR="00753D5D" w:rsidRPr="00753D5D">
        <w:rPr>
          <w:rFonts w:ascii="Arial" w:hAnsi="Arial" w:cs="Arial"/>
          <w:sz w:val="24"/>
          <w:szCs w:val="24"/>
        </w:rPr>
        <w:t>offers different insights</w:t>
      </w:r>
      <w:r w:rsidRPr="0081304D">
        <w:rPr>
          <w:rFonts w:ascii="Arial" w:hAnsi="Arial" w:cs="Arial"/>
          <w:sz w:val="24"/>
          <w:szCs w:val="24"/>
        </w:rPr>
        <w:t xml:space="preserve"> </w:t>
      </w:r>
      <w:r w:rsidR="00753D5D">
        <w:rPr>
          <w:rFonts w:ascii="Arial" w:hAnsi="Arial" w:cs="Arial"/>
          <w:sz w:val="24"/>
          <w:szCs w:val="24"/>
        </w:rPr>
        <w:t>into</w:t>
      </w:r>
      <w:r w:rsidRPr="0081304D">
        <w:rPr>
          <w:rFonts w:ascii="Arial" w:hAnsi="Arial" w:cs="Arial"/>
          <w:sz w:val="24"/>
          <w:szCs w:val="24"/>
        </w:rPr>
        <w:t xml:space="preserve"> kids </w:t>
      </w:r>
      <w:r w:rsidR="00753D5D" w:rsidRPr="0081304D">
        <w:rPr>
          <w:rFonts w:ascii="Arial" w:hAnsi="Arial" w:cs="Arial"/>
          <w:sz w:val="24"/>
          <w:szCs w:val="24"/>
        </w:rPr>
        <w:t>an</w:t>
      </w:r>
      <w:r w:rsidR="00753D5D">
        <w:rPr>
          <w:rFonts w:ascii="Arial" w:hAnsi="Arial" w:cs="Arial"/>
          <w:sz w:val="24"/>
          <w:szCs w:val="24"/>
        </w:rPr>
        <w:t>d their</w:t>
      </w:r>
      <w:r w:rsidR="00504FF9">
        <w:rPr>
          <w:rFonts w:ascii="Arial" w:hAnsi="Arial" w:cs="Arial"/>
          <w:sz w:val="24"/>
          <w:szCs w:val="24"/>
        </w:rPr>
        <w:t xml:space="preserve"> </w:t>
      </w:r>
      <w:r w:rsidRPr="0081304D">
        <w:rPr>
          <w:rFonts w:ascii="Arial" w:hAnsi="Arial" w:cs="Arial"/>
          <w:sz w:val="24"/>
          <w:szCs w:val="24"/>
        </w:rPr>
        <w:t>development. The social construction of youth</w:t>
      </w:r>
      <w:r w:rsidR="00504FF9" w:rsidRPr="00504FF9">
        <w:t xml:space="preserve"> </w:t>
      </w:r>
      <w:r w:rsidR="00C639D7">
        <w:rPr>
          <w:rFonts w:ascii="Arial" w:hAnsi="Arial" w:cs="Arial"/>
          <w:sz w:val="24"/>
          <w:szCs w:val="24"/>
        </w:rPr>
        <w:t>depends</w:t>
      </w:r>
      <w:r w:rsidR="00504FF9" w:rsidRPr="00504FF9">
        <w:rPr>
          <w:rFonts w:ascii="Arial" w:hAnsi="Arial" w:cs="Arial"/>
          <w:sz w:val="24"/>
          <w:szCs w:val="24"/>
        </w:rPr>
        <w:t xml:space="preserve"> on several inspections conducted across cultures</w:t>
      </w:r>
      <w:r w:rsidRPr="0081304D">
        <w:rPr>
          <w:rFonts w:ascii="Arial" w:hAnsi="Arial" w:cs="Arial"/>
          <w:sz w:val="24"/>
          <w:szCs w:val="24"/>
        </w:rPr>
        <w:t xml:space="preserve">, civilizations, and historical periods. It also underlines the variety of environments and settings </w:t>
      </w:r>
      <w:r w:rsidR="00C639D7" w:rsidRPr="00C639D7">
        <w:rPr>
          <w:rFonts w:ascii="Arial" w:hAnsi="Arial" w:cs="Arial"/>
          <w:sz w:val="24"/>
          <w:szCs w:val="24"/>
        </w:rPr>
        <w:t>where youngsters develop</w:t>
      </w:r>
      <w:r w:rsidRPr="0081304D">
        <w:rPr>
          <w:rFonts w:ascii="Arial" w:hAnsi="Arial" w:cs="Arial"/>
          <w:sz w:val="24"/>
          <w:szCs w:val="24"/>
        </w:rPr>
        <w:t>. James &amp; James (2008) describe social construction as "a theoretical point of view that analyses the methods in which 'real life' is constructed in day-to-day life via individuals interactions and via sets of discourses". Within this framework, various viewpoints on kids and infancy have arisen. Thompson (2020) asserts The 1870 Education Act mandated education for every child aged 5 to 12, but it was optional in this era. All kids ages five to</w:t>
      </w:r>
      <w:r w:rsidR="00A653D8">
        <w:rPr>
          <w:rFonts w:ascii="Arial" w:hAnsi="Arial" w:cs="Arial"/>
          <w:sz w:val="24"/>
          <w:szCs w:val="24"/>
        </w:rPr>
        <w:t xml:space="preserve"> </w:t>
      </w:r>
      <w:r w:rsidRPr="0081304D">
        <w:rPr>
          <w:rFonts w:ascii="Arial" w:hAnsi="Arial" w:cs="Arial"/>
          <w:sz w:val="24"/>
          <w:szCs w:val="24"/>
        </w:rPr>
        <w:t xml:space="preserve">twelve were required to go to class beginning in 1880, with the duty </w:t>
      </w:r>
      <w:r w:rsidR="00A653D8">
        <w:rPr>
          <w:rFonts w:ascii="Arial" w:hAnsi="Arial" w:cs="Arial"/>
          <w:sz w:val="24"/>
          <w:szCs w:val="24"/>
        </w:rPr>
        <w:t>of</w:t>
      </w:r>
      <w:r w:rsidRPr="0081304D">
        <w:rPr>
          <w:rFonts w:ascii="Arial" w:hAnsi="Arial" w:cs="Arial"/>
          <w:sz w:val="24"/>
          <w:szCs w:val="24"/>
        </w:rPr>
        <w:t xml:space="preserve"> attending falling on the Local Education Authorities.</w:t>
      </w:r>
      <w:r w:rsidRPr="0081304D">
        <w:rPr>
          <w:rFonts w:ascii="Arial" w:hAnsi="Arial" w:cs="Arial"/>
          <w:sz w:val="24"/>
          <w:szCs w:val="24"/>
          <w:u w:val="single"/>
        </w:rPr>
        <w:t xml:space="preserve"> </w:t>
      </w:r>
      <w:r w:rsidRPr="0081304D">
        <w:rPr>
          <w:rFonts w:ascii="Arial" w:hAnsi="Arial" w:cs="Arial"/>
          <w:sz w:val="24"/>
          <w:szCs w:val="24"/>
        </w:rPr>
        <w:t>The following decade saw the progressive raising of the schooling departure age and a rise in educational expenditure. In 1918, the education system departure age was increased to 14  in 1944, the student departure age was increased to 15 (also the year of the Tripartite structure and a large increase in money to build good secondary modern schools); and in 1973, the education departure age was increased to 16.The education age was raised to sixteen. In 2013, Kids were forced to stay at work or college with training until the age of 18.(Thompson,2020). Currently, the UK government spends about £100 billion annually on academic learning, and the child-education sector employs approximately 500 thousand new. Kids are educated for 13 years, and their punctuality and development are supervised extensively (one might say too much) over that period, with additional help also offered based on pupils' 'individual learning needs'. The curriculum has expanded to cover a wide variety of academics and, subsequently, vocational, in addition to an emphasis on individual well-being and growth.(Thompson,2020). Legislation is put in place, prohibiting minors from engaging in hazardous or risky acts. Numerous pursuits have age limits that are enforced by law. Children below the age of ten have complete responsibility for their acts and may be charged and found guilty of a crime. Kids below the age of fourteen should</w:t>
      </w:r>
      <w:r w:rsidR="00D7239A">
        <w:rPr>
          <w:rFonts w:ascii="Arial" w:hAnsi="Arial" w:cs="Arial"/>
          <w:sz w:val="24"/>
          <w:szCs w:val="24"/>
        </w:rPr>
        <w:t xml:space="preserve"> </w:t>
      </w:r>
      <w:r w:rsidRPr="0081304D">
        <w:rPr>
          <w:rFonts w:ascii="Arial" w:hAnsi="Arial" w:cs="Arial"/>
          <w:sz w:val="24"/>
          <w:szCs w:val="24"/>
        </w:rPr>
        <w:t>ot  work, however, those beyond the age of fourteen can do 'easy work'. Kids can enr</w:t>
      </w:r>
      <w:r w:rsidR="00D7239A">
        <w:rPr>
          <w:rFonts w:ascii="Arial" w:hAnsi="Arial" w:cs="Arial"/>
          <w:sz w:val="24"/>
          <w:szCs w:val="24"/>
        </w:rPr>
        <w:t>oll</w:t>
      </w:r>
      <w:r w:rsidRPr="0081304D">
        <w:rPr>
          <w:rFonts w:ascii="Arial" w:hAnsi="Arial" w:cs="Arial"/>
          <w:sz w:val="24"/>
          <w:szCs w:val="24"/>
        </w:rPr>
        <w:t xml:space="preserve"> for the military at the age of 15 and Nine months, but they cannot fight until they are sixteen. At sixteen, you can join the military services, ride a motorbike, work (with work experience), and alter your name. You have attained 'the age of right' - you have become an adult at eighteen years old.(Thompson,2020). </w:t>
      </w:r>
    </w:p>
    <w:p w14:paraId="2940F4A5" w14:textId="250D7ADB" w:rsidR="0081304D" w:rsidRPr="0081304D" w:rsidRDefault="0081304D" w:rsidP="0081304D">
      <w:pPr>
        <w:rPr>
          <w:rFonts w:ascii="Arial" w:hAnsi="Arial" w:cs="Arial"/>
          <w:sz w:val="24"/>
          <w:szCs w:val="24"/>
        </w:rPr>
      </w:pPr>
      <w:r w:rsidRPr="0081304D">
        <w:rPr>
          <w:rFonts w:ascii="Arial" w:hAnsi="Arial" w:cs="Arial"/>
          <w:sz w:val="24"/>
          <w:szCs w:val="24"/>
        </w:rPr>
        <w:t xml:space="preserve">According to Meriouma(2021), education boosts one's odds of leading a balanced life and possesses the ability to reduce health disparities. Nevertheless, </w:t>
      </w:r>
      <w:r w:rsidR="00997842">
        <w:rPr>
          <w:rFonts w:ascii="Arial" w:hAnsi="Arial" w:cs="Arial"/>
          <w:sz w:val="24"/>
          <w:szCs w:val="24"/>
        </w:rPr>
        <w:t>b</w:t>
      </w:r>
      <w:r w:rsidR="00997842" w:rsidRPr="00997842">
        <w:rPr>
          <w:rFonts w:ascii="Arial" w:hAnsi="Arial" w:cs="Arial"/>
          <w:sz w:val="24"/>
          <w:szCs w:val="24"/>
        </w:rPr>
        <w:t>ecause social background substantially influences school performance, schooling may</w:t>
      </w:r>
      <w:r w:rsidR="00997842">
        <w:rPr>
          <w:rFonts w:ascii="Arial" w:hAnsi="Arial" w:cs="Arial"/>
          <w:sz w:val="24"/>
          <w:szCs w:val="24"/>
        </w:rPr>
        <w:t xml:space="preserve"> </w:t>
      </w:r>
      <w:r w:rsidRPr="0081304D">
        <w:rPr>
          <w:rFonts w:ascii="Arial" w:hAnsi="Arial" w:cs="Arial"/>
          <w:sz w:val="24"/>
          <w:szCs w:val="24"/>
        </w:rPr>
        <w:t xml:space="preserve">wind up exacerbating </w:t>
      </w:r>
      <w:r w:rsidR="00D7239A">
        <w:rPr>
          <w:rFonts w:ascii="Arial" w:hAnsi="Arial" w:cs="Arial"/>
          <w:sz w:val="24"/>
          <w:szCs w:val="24"/>
        </w:rPr>
        <w:t>well-being</w:t>
      </w:r>
      <w:r w:rsidRPr="0081304D">
        <w:rPr>
          <w:rFonts w:ascii="Arial" w:hAnsi="Arial" w:cs="Arial"/>
          <w:sz w:val="24"/>
          <w:szCs w:val="24"/>
        </w:rPr>
        <w:t xml:space="preserve"> inequalities</w:t>
      </w:r>
      <w:r w:rsidR="001A51B2" w:rsidRPr="001A51B2">
        <w:t xml:space="preserve"> </w:t>
      </w:r>
      <w:r w:rsidR="001A51B2" w:rsidRPr="001A51B2">
        <w:rPr>
          <w:rFonts w:ascii="Arial" w:hAnsi="Arial" w:cs="Arial"/>
          <w:sz w:val="24"/>
          <w:szCs w:val="24"/>
        </w:rPr>
        <w:t>If the leading causes are not addressed</w:t>
      </w:r>
      <w:r w:rsidRPr="0081304D">
        <w:rPr>
          <w:rFonts w:ascii="Arial" w:hAnsi="Arial" w:cs="Arial"/>
          <w:sz w:val="24"/>
          <w:szCs w:val="24"/>
        </w:rPr>
        <w:t xml:space="preserve">. </w:t>
      </w:r>
      <w:r w:rsidR="00F87900">
        <w:rPr>
          <w:rFonts w:ascii="Arial" w:hAnsi="Arial" w:cs="Arial"/>
          <w:sz w:val="24"/>
          <w:szCs w:val="24"/>
        </w:rPr>
        <w:lastRenderedPageBreak/>
        <w:t>E</w:t>
      </w:r>
      <w:r w:rsidR="00F87900" w:rsidRPr="00F87900">
        <w:rPr>
          <w:rFonts w:ascii="Arial" w:hAnsi="Arial" w:cs="Arial"/>
          <w:sz w:val="24"/>
          <w:szCs w:val="24"/>
        </w:rPr>
        <w:t>arliest years</w:t>
      </w:r>
      <w:r w:rsidR="00F87900" w:rsidRPr="00F87900">
        <w:rPr>
          <w:rFonts w:ascii="Arial" w:hAnsi="Arial" w:cs="Arial"/>
          <w:sz w:val="24"/>
          <w:szCs w:val="24"/>
        </w:rPr>
        <w:t xml:space="preserve"> </w:t>
      </w:r>
      <w:r w:rsidRPr="0081304D">
        <w:rPr>
          <w:rFonts w:ascii="Arial" w:hAnsi="Arial" w:cs="Arial"/>
          <w:sz w:val="24"/>
          <w:szCs w:val="24"/>
        </w:rPr>
        <w:t xml:space="preserve">programs </w:t>
      </w:r>
      <w:r w:rsidR="00006F50" w:rsidRPr="00006F50">
        <w:rPr>
          <w:rFonts w:ascii="Arial" w:hAnsi="Arial" w:cs="Arial"/>
          <w:sz w:val="24"/>
          <w:szCs w:val="24"/>
        </w:rPr>
        <w:t>are therefore particularly important in opening the academics</w:t>
      </w:r>
      <w:r w:rsidR="00006F50" w:rsidRPr="00006F50">
        <w:rPr>
          <w:rFonts w:ascii="Arial" w:hAnsi="Arial" w:cs="Arial"/>
          <w:sz w:val="24"/>
          <w:szCs w:val="24"/>
        </w:rPr>
        <w:t xml:space="preserve"> </w:t>
      </w:r>
      <w:r w:rsidRPr="0081304D">
        <w:rPr>
          <w:rFonts w:ascii="Arial" w:hAnsi="Arial" w:cs="Arial"/>
          <w:sz w:val="24"/>
          <w:szCs w:val="24"/>
        </w:rPr>
        <w:t>value of socioeconomically</w:t>
      </w:r>
      <w:r w:rsidR="008B51C2" w:rsidRPr="008B51C2">
        <w:t xml:space="preserve"> </w:t>
      </w:r>
      <w:r w:rsidR="008B51C2" w:rsidRPr="008B51C2">
        <w:rPr>
          <w:rFonts w:ascii="Arial" w:hAnsi="Arial" w:cs="Arial"/>
          <w:sz w:val="24"/>
          <w:szCs w:val="24"/>
        </w:rPr>
        <w:t xml:space="preserve">underprivileged </w:t>
      </w:r>
      <w:r w:rsidR="001D205B" w:rsidRPr="008B51C2">
        <w:rPr>
          <w:rFonts w:ascii="Arial" w:hAnsi="Arial" w:cs="Arial"/>
          <w:sz w:val="24"/>
          <w:szCs w:val="24"/>
        </w:rPr>
        <w:t>neighbourhoods</w:t>
      </w:r>
      <w:r w:rsidRPr="0081304D">
        <w:rPr>
          <w:rFonts w:ascii="Arial" w:hAnsi="Arial" w:cs="Arial"/>
          <w:sz w:val="24"/>
          <w:szCs w:val="24"/>
        </w:rPr>
        <w:t>, along with help at schools and available learning opportunities later on in life. (Meriouma,2021). Education has numerous advantages, the most important of which are improved life quality and the ease with which personal goals can be achieved. To achieve that level, a significant amount of effort is required, which will pay off nicely. (2022, Allison Academy). ‘Education is the great engine of personal development. It is through education that the daughter of a peasant can become a doctor, that the son of a mine worker can become the head of the mine, and that a child of farmworkers can become the President of a great nation. It is what we make out of what we have, not what we are given, that separates one person from another.’ (Mendela,2007). Inequality has reached</w:t>
      </w:r>
      <w:r w:rsidR="003E2F33" w:rsidRPr="003E2F33">
        <w:t xml:space="preserve"> </w:t>
      </w:r>
      <w:r w:rsidR="003E2F33" w:rsidRPr="003E2F33">
        <w:rPr>
          <w:rFonts w:ascii="Arial" w:hAnsi="Arial" w:cs="Arial"/>
          <w:sz w:val="24"/>
          <w:szCs w:val="24"/>
        </w:rPr>
        <w:t>unimaginable peaks</w:t>
      </w:r>
      <w:r w:rsidRPr="0081304D">
        <w:rPr>
          <w:rFonts w:ascii="Arial" w:hAnsi="Arial" w:cs="Arial"/>
          <w:sz w:val="24"/>
          <w:szCs w:val="24"/>
        </w:rPr>
        <w:t>. Substantial</w:t>
      </w:r>
      <w:r w:rsidR="00A041A2" w:rsidRPr="00A041A2">
        <w:t xml:space="preserve"> </w:t>
      </w:r>
      <w:r w:rsidR="00A041A2" w:rsidRPr="00A041A2">
        <w:rPr>
          <w:rFonts w:ascii="Arial" w:hAnsi="Arial" w:cs="Arial"/>
          <w:sz w:val="24"/>
          <w:szCs w:val="24"/>
        </w:rPr>
        <w:t>the wealth gap among affluent and poor, as well as both genders is growing.</w:t>
      </w:r>
      <w:r w:rsidRPr="0081304D">
        <w:rPr>
          <w:rFonts w:ascii="Arial" w:hAnsi="Arial" w:cs="Arial"/>
          <w:sz w:val="24"/>
          <w:szCs w:val="24"/>
        </w:rPr>
        <w:t xml:space="preserve">. Zucman. (2017). Education provides children dignity and honour, which allows them to go on to live a fulfilled life in the future. </w:t>
      </w:r>
      <w:r w:rsidR="00573A04" w:rsidRPr="00573A04">
        <w:rPr>
          <w:rFonts w:ascii="Arial" w:hAnsi="Arial" w:cs="Arial"/>
          <w:sz w:val="24"/>
          <w:szCs w:val="24"/>
        </w:rPr>
        <w:t>Untold numbers of kids do not</w:t>
      </w:r>
      <w:r w:rsidR="00573A04" w:rsidRPr="00573A04">
        <w:rPr>
          <w:rFonts w:ascii="Arial" w:hAnsi="Arial" w:cs="Arial"/>
          <w:sz w:val="24"/>
          <w:szCs w:val="24"/>
        </w:rPr>
        <w:t xml:space="preserve"> </w:t>
      </w:r>
      <w:r w:rsidRPr="0081304D">
        <w:rPr>
          <w:rFonts w:ascii="Arial" w:hAnsi="Arial" w:cs="Arial"/>
          <w:sz w:val="24"/>
          <w:szCs w:val="24"/>
        </w:rPr>
        <w:t xml:space="preserve">get to </w:t>
      </w:r>
      <w:r w:rsidR="002E62D7" w:rsidRPr="002E62D7">
        <w:rPr>
          <w:rFonts w:ascii="Arial" w:hAnsi="Arial" w:cs="Arial"/>
          <w:sz w:val="24"/>
          <w:szCs w:val="24"/>
        </w:rPr>
        <w:t>get an academic achievement</w:t>
      </w:r>
      <w:r w:rsidRPr="0081304D">
        <w:rPr>
          <w:rFonts w:ascii="Arial" w:hAnsi="Arial" w:cs="Arial"/>
          <w:sz w:val="24"/>
          <w:szCs w:val="24"/>
        </w:rPr>
        <w:t xml:space="preserve"> and, adults as a whole should not be content with this fact.(Mendela,2017). Knowing health inequalities is difficult because they are a "recurring problem" - a changing and complex topic that is not readily investigated  (Rittel &amp; Webber, 1973) . NHS England (2020) and other organizations have developed more contemporary classifications that takes the impact of "social determinants" into consideration. In several ways, these broad </w:t>
      </w:r>
      <w:r w:rsidR="002B0E07" w:rsidRPr="002B0E07">
        <w:rPr>
          <w:rFonts w:ascii="Arial" w:hAnsi="Arial" w:cs="Arial"/>
          <w:sz w:val="24"/>
          <w:szCs w:val="24"/>
        </w:rPr>
        <w:t>examples of healthcare</w:t>
      </w:r>
      <w:r w:rsidRPr="0081304D">
        <w:rPr>
          <w:rFonts w:ascii="Arial" w:hAnsi="Arial" w:cs="Arial"/>
          <w:sz w:val="24"/>
          <w:szCs w:val="24"/>
        </w:rPr>
        <w:t xml:space="preserve"> inequities are tied directly to concerns confronting younger generation. Inequalities in social, socioeconomic, and healthcare outcomes might be due to disparities in economic opportunities available or residing in more poor areas. Monetary support enable accessibility and items that can promote health, as well as participation in recreational activities that boost education (PHE, 2021).  It is commonly known that education improves health status, sustainable change, and well-being (DHSC &amp; PHE, 2021). The majority of youth are in solid education are either migrating among jobs and school. Educational outcomes and academic achievement are unequal among young individuals since Covid-19. (Sharp et al., 2020). According to Dryler (1998)   Employed or skilled parents boost the likelihood that their children will choose a comparable education in upper secondary school. A virtue is respected culturally, but a moral virtue, like trustworthiness, is regarded ethically. As seen by Lickona (1991), institutions and instructors must educate for character, particularly via instructing respect and accountability.</w:t>
      </w:r>
    </w:p>
    <w:p w14:paraId="3BF624C0" w14:textId="7D58686D" w:rsidR="0081304D" w:rsidRPr="0081304D" w:rsidRDefault="0081304D" w:rsidP="0081304D">
      <w:pPr>
        <w:rPr>
          <w:rFonts w:ascii="Arial" w:hAnsi="Arial" w:cs="Arial"/>
          <w:sz w:val="24"/>
          <w:szCs w:val="24"/>
        </w:rPr>
      </w:pPr>
      <w:r w:rsidRPr="0081304D">
        <w:rPr>
          <w:rFonts w:ascii="Arial" w:hAnsi="Arial" w:cs="Arial"/>
          <w:sz w:val="24"/>
          <w:szCs w:val="24"/>
        </w:rPr>
        <w:t xml:space="preserve">A vulnerable young person is an individual who has been recognized as being more exposed emotionally or physically , or </w:t>
      </w:r>
      <w:r w:rsidR="008515FE" w:rsidRPr="008515FE">
        <w:rPr>
          <w:rFonts w:ascii="Arial" w:hAnsi="Arial" w:cs="Arial"/>
          <w:sz w:val="24"/>
          <w:szCs w:val="24"/>
        </w:rPr>
        <w:t>individuals might be at danger of adverse results</w:t>
      </w:r>
      <w:r w:rsidR="008515FE" w:rsidRPr="008515FE">
        <w:rPr>
          <w:rFonts w:ascii="Arial" w:hAnsi="Arial" w:cs="Arial"/>
          <w:sz w:val="24"/>
          <w:szCs w:val="24"/>
        </w:rPr>
        <w:t xml:space="preserve"> </w:t>
      </w:r>
      <w:r w:rsidRPr="0081304D">
        <w:rPr>
          <w:rFonts w:ascii="Arial" w:hAnsi="Arial" w:cs="Arial"/>
          <w:sz w:val="24"/>
          <w:szCs w:val="24"/>
        </w:rPr>
        <w:t>owing to their life experiences. (</w:t>
      </w:r>
      <w:r w:rsidRPr="0081304D">
        <w:rPr>
          <w:rFonts w:ascii="Arial" w:hAnsi="Arial" w:cs="Arial"/>
          <w:i/>
          <w:iCs/>
          <w:sz w:val="24"/>
          <w:szCs w:val="24"/>
        </w:rPr>
        <w:t>Twinkl.co.uk</w:t>
      </w:r>
      <w:r w:rsidRPr="0081304D">
        <w:rPr>
          <w:rFonts w:ascii="Arial" w:hAnsi="Arial" w:cs="Arial"/>
          <w:sz w:val="24"/>
          <w:szCs w:val="24"/>
        </w:rPr>
        <w:t xml:space="preserve"> 2022). </w:t>
      </w:r>
    </w:p>
    <w:p w14:paraId="6CECB1AD" w14:textId="77777777" w:rsidR="0081304D" w:rsidRPr="0081304D" w:rsidRDefault="0081304D" w:rsidP="0081304D">
      <w:pPr>
        <w:rPr>
          <w:rFonts w:ascii="Arial" w:hAnsi="Arial" w:cs="Arial"/>
          <w:sz w:val="24"/>
          <w:szCs w:val="24"/>
        </w:rPr>
      </w:pPr>
      <w:r w:rsidRPr="0081304D">
        <w:rPr>
          <w:rFonts w:ascii="Arial" w:hAnsi="Arial" w:cs="Arial"/>
          <w:sz w:val="24"/>
          <w:szCs w:val="24"/>
        </w:rPr>
        <w:t xml:space="preserve">Factors involve: </w:t>
      </w:r>
    </w:p>
    <w:p w14:paraId="4F692CC9" w14:textId="77777777" w:rsidR="0081304D" w:rsidRPr="0081304D" w:rsidRDefault="0081304D" w:rsidP="0081304D">
      <w:pPr>
        <w:numPr>
          <w:ilvl w:val="0"/>
          <w:numId w:val="1"/>
        </w:numPr>
        <w:rPr>
          <w:rFonts w:ascii="Arial" w:hAnsi="Arial" w:cs="Arial"/>
          <w:sz w:val="24"/>
          <w:szCs w:val="24"/>
        </w:rPr>
      </w:pPr>
      <w:r w:rsidRPr="0081304D">
        <w:rPr>
          <w:rFonts w:ascii="Arial" w:hAnsi="Arial" w:cs="Arial"/>
          <w:sz w:val="24"/>
          <w:szCs w:val="24"/>
        </w:rPr>
        <w:t>Physical, psychological, well-being, and academic requirements</w:t>
      </w:r>
    </w:p>
    <w:p w14:paraId="10E80D70" w14:textId="77777777" w:rsidR="0081304D" w:rsidRPr="0081304D" w:rsidRDefault="0081304D" w:rsidP="0081304D">
      <w:pPr>
        <w:numPr>
          <w:ilvl w:val="0"/>
          <w:numId w:val="1"/>
        </w:numPr>
        <w:rPr>
          <w:rFonts w:ascii="Arial" w:hAnsi="Arial" w:cs="Arial"/>
          <w:sz w:val="24"/>
          <w:szCs w:val="24"/>
        </w:rPr>
      </w:pPr>
      <w:r w:rsidRPr="0081304D">
        <w:rPr>
          <w:rFonts w:ascii="Arial" w:hAnsi="Arial" w:cs="Arial"/>
          <w:sz w:val="24"/>
          <w:szCs w:val="24"/>
        </w:rPr>
        <w:t>Harm risk or insights</w:t>
      </w:r>
    </w:p>
    <w:p w14:paraId="3158432D" w14:textId="77777777" w:rsidR="0081304D" w:rsidRPr="0081304D" w:rsidRDefault="0081304D" w:rsidP="0081304D">
      <w:pPr>
        <w:numPr>
          <w:ilvl w:val="0"/>
          <w:numId w:val="1"/>
        </w:numPr>
        <w:rPr>
          <w:rFonts w:ascii="Arial" w:hAnsi="Arial" w:cs="Arial"/>
          <w:sz w:val="24"/>
          <w:szCs w:val="24"/>
        </w:rPr>
      </w:pPr>
      <w:r w:rsidRPr="0081304D">
        <w:rPr>
          <w:rFonts w:ascii="Arial" w:hAnsi="Arial" w:cs="Arial"/>
          <w:sz w:val="24"/>
          <w:szCs w:val="24"/>
        </w:rPr>
        <w:t>guardians' abilities to establish a safe environment:</w:t>
      </w:r>
    </w:p>
    <w:p w14:paraId="2215E5BF" w14:textId="77777777" w:rsidR="0081304D" w:rsidRPr="0081304D" w:rsidRDefault="0081304D" w:rsidP="0081304D">
      <w:pPr>
        <w:numPr>
          <w:ilvl w:val="0"/>
          <w:numId w:val="1"/>
        </w:numPr>
        <w:rPr>
          <w:rFonts w:ascii="Arial" w:hAnsi="Arial" w:cs="Arial"/>
          <w:sz w:val="24"/>
          <w:szCs w:val="24"/>
        </w:rPr>
      </w:pPr>
      <w:r w:rsidRPr="0081304D">
        <w:rPr>
          <w:rFonts w:ascii="Arial" w:hAnsi="Arial" w:cs="Arial"/>
          <w:sz w:val="24"/>
          <w:szCs w:val="24"/>
        </w:rPr>
        <w:t>Relationships of care are lacking:</w:t>
      </w:r>
    </w:p>
    <w:p w14:paraId="3D1BA668" w14:textId="77777777" w:rsidR="0081304D" w:rsidRPr="0081304D" w:rsidRDefault="0081304D" w:rsidP="0081304D">
      <w:pPr>
        <w:numPr>
          <w:ilvl w:val="0"/>
          <w:numId w:val="1"/>
        </w:numPr>
        <w:rPr>
          <w:rFonts w:ascii="Arial" w:hAnsi="Arial" w:cs="Arial"/>
          <w:sz w:val="24"/>
          <w:szCs w:val="24"/>
        </w:rPr>
      </w:pPr>
      <w:r w:rsidRPr="0081304D">
        <w:rPr>
          <w:rFonts w:ascii="Arial" w:hAnsi="Arial" w:cs="Arial"/>
          <w:sz w:val="24"/>
          <w:szCs w:val="24"/>
        </w:rPr>
        <w:lastRenderedPageBreak/>
        <w:t>Conditions in the broader society that are beyond the responsibility of a family (</w:t>
      </w:r>
      <w:r w:rsidRPr="0081304D">
        <w:rPr>
          <w:rFonts w:ascii="Arial" w:hAnsi="Arial" w:cs="Arial"/>
          <w:i/>
          <w:iCs/>
          <w:sz w:val="24"/>
          <w:szCs w:val="24"/>
        </w:rPr>
        <w:t>Twinkl.co.uk</w:t>
      </w:r>
      <w:r w:rsidRPr="0081304D">
        <w:rPr>
          <w:rFonts w:ascii="Arial" w:hAnsi="Arial" w:cs="Arial"/>
          <w:sz w:val="24"/>
          <w:szCs w:val="24"/>
        </w:rPr>
        <w:t xml:space="preserve"> 2022).</w:t>
      </w:r>
    </w:p>
    <w:p w14:paraId="68CBAB56" w14:textId="08791E73" w:rsidR="0081304D" w:rsidRDefault="0081304D" w:rsidP="0081304D">
      <w:pPr>
        <w:rPr>
          <w:rFonts w:ascii="Arial" w:hAnsi="Arial" w:cs="Arial"/>
          <w:sz w:val="24"/>
          <w:szCs w:val="24"/>
        </w:rPr>
      </w:pPr>
      <w:r>
        <w:rPr>
          <w:rFonts w:ascii="Arial" w:hAnsi="Arial" w:cs="Arial"/>
          <w:sz w:val="24"/>
          <w:szCs w:val="24"/>
        </w:rPr>
        <w:t>Vulnerable</w:t>
      </w:r>
      <w:r w:rsidRPr="0081304D">
        <w:rPr>
          <w:rFonts w:ascii="Arial" w:hAnsi="Arial" w:cs="Arial"/>
          <w:sz w:val="24"/>
          <w:szCs w:val="24"/>
        </w:rPr>
        <w:t xml:space="preserve"> children require additional assistance, and every child needs the finest start in life and should be protected from danger. Municipal governments, police, and health agencies now have more duties to collaborate and help vulnerable children. Collaborating in a comprehensive manner typically results in the formation of a Multi-Agency Safeguarding Hub, or MASH. (</w:t>
      </w:r>
      <w:r w:rsidRPr="0081304D">
        <w:rPr>
          <w:rFonts w:ascii="Arial" w:hAnsi="Arial" w:cs="Arial"/>
          <w:i/>
          <w:iCs/>
          <w:sz w:val="24"/>
          <w:szCs w:val="24"/>
        </w:rPr>
        <w:t>Twinkl.co.uk</w:t>
      </w:r>
      <w:r w:rsidRPr="0081304D">
        <w:rPr>
          <w:rFonts w:ascii="Arial" w:hAnsi="Arial" w:cs="Arial"/>
          <w:sz w:val="24"/>
          <w:szCs w:val="24"/>
        </w:rPr>
        <w:t xml:space="preserve"> 2022).</w:t>
      </w:r>
    </w:p>
    <w:p w14:paraId="2991DCBF" w14:textId="57C495A5" w:rsidR="0081304D" w:rsidRPr="0081304D" w:rsidRDefault="0081304D" w:rsidP="0081304D">
      <w:pPr>
        <w:rPr>
          <w:rFonts w:ascii="Arial" w:hAnsi="Arial" w:cs="Arial"/>
          <w:sz w:val="24"/>
          <w:szCs w:val="24"/>
        </w:rPr>
      </w:pPr>
      <w:r w:rsidRPr="0081304D">
        <w:rPr>
          <w:rFonts w:ascii="Arial" w:hAnsi="Arial" w:cs="Arial"/>
          <w:sz w:val="24"/>
          <w:szCs w:val="24"/>
        </w:rPr>
        <w:t xml:space="preserve">MASH (2013) States some of the communities under evaluation are already seeing the advantages of this development. The shorter turnaround times for submissions to safeguarding services across all relative risks (RAG (Red, Amber, Green) Ratings) were one of the most important outcomes. The average </w:t>
      </w:r>
      <w:r w:rsidR="00222E1E" w:rsidRPr="00222E1E">
        <w:rPr>
          <w:rFonts w:ascii="Arial" w:hAnsi="Arial" w:cs="Arial"/>
          <w:sz w:val="24"/>
          <w:szCs w:val="24"/>
        </w:rPr>
        <w:t>processing time for cases</w:t>
      </w:r>
      <w:r w:rsidR="00222E1E" w:rsidRPr="00222E1E">
        <w:rPr>
          <w:rFonts w:ascii="Arial" w:hAnsi="Arial" w:cs="Arial"/>
          <w:sz w:val="24"/>
          <w:szCs w:val="24"/>
        </w:rPr>
        <w:t xml:space="preserve"> </w:t>
      </w:r>
      <w:r w:rsidRPr="0081304D">
        <w:rPr>
          <w:rFonts w:ascii="Arial" w:hAnsi="Arial" w:cs="Arial"/>
          <w:sz w:val="24"/>
          <w:szCs w:val="24"/>
        </w:rPr>
        <w:t>that were initially classified as level 3 (high or complex needs) decreased by almost 50 percent, from approximately</w:t>
      </w:r>
      <w:r w:rsidR="00E511BA">
        <w:rPr>
          <w:rFonts w:ascii="Arial" w:hAnsi="Arial" w:cs="Arial"/>
          <w:sz w:val="24"/>
          <w:szCs w:val="24"/>
        </w:rPr>
        <w:t xml:space="preserve"> 2 days</w:t>
      </w:r>
      <w:r w:rsidRPr="0081304D">
        <w:rPr>
          <w:rFonts w:ascii="Arial" w:hAnsi="Arial" w:cs="Arial"/>
          <w:sz w:val="24"/>
          <w:szCs w:val="24"/>
        </w:rPr>
        <w:t xml:space="preserve"> to just over </w:t>
      </w:r>
      <w:r w:rsidR="004F2517">
        <w:rPr>
          <w:rFonts w:ascii="Arial" w:hAnsi="Arial" w:cs="Arial"/>
          <w:sz w:val="24"/>
          <w:szCs w:val="24"/>
        </w:rPr>
        <w:t xml:space="preserve">1 day </w:t>
      </w:r>
      <w:r w:rsidRPr="0081304D">
        <w:rPr>
          <w:rFonts w:ascii="Arial" w:hAnsi="Arial" w:cs="Arial"/>
          <w:sz w:val="24"/>
          <w:szCs w:val="24"/>
        </w:rPr>
        <w:t>, and for referrals that were initially classified as level 2 (low to vulnerable), it decreased by less than two and a half days.</w:t>
      </w:r>
    </w:p>
    <w:p w14:paraId="6878EDFD" w14:textId="77777777" w:rsidR="0081304D" w:rsidRPr="0081304D" w:rsidRDefault="0081304D" w:rsidP="0081304D">
      <w:pPr>
        <w:rPr>
          <w:rFonts w:ascii="Arial" w:hAnsi="Arial" w:cs="Arial"/>
          <w:sz w:val="24"/>
          <w:szCs w:val="24"/>
        </w:rPr>
      </w:pPr>
      <w:r w:rsidRPr="0081304D">
        <w:rPr>
          <w:rFonts w:ascii="Arial" w:hAnsi="Arial" w:cs="Arial"/>
          <w:sz w:val="24"/>
          <w:szCs w:val="24"/>
        </w:rPr>
        <w:t>Social care is being reviewed in order to increase assistance and early intervention. The Department of Education advocated limiting the amount of time vulnerable children are spending outside of the classrooms, specifically when they change schools. Kids of members of the armed forces, kids who are vulnerable, and kids in local authority care are more likely to switch school during the school year. The Children's Commissioner creates a yearly plan with the goal of creating a list of children who are at risk of poor outcomes and describing how local assistance resources can be obtained.</w:t>
      </w:r>
      <w:r w:rsidRPr="0081304D">
        <w:rPr>
          <w:rFonts w:ascii="Arial" w:hAnsi="Arial" w:cs="Arial"/>
          <w:i/>
          <w:iCs/>
          <w:sz w:val="24"/>
          <w:szCs w:val="24"/>
        </w:rPr>
        <w:t xml:space="preserve"> (Twinkl.co.uk</w:t>
      </w:r>
      <w:r w:rsidRPr="0081304D">
        <w:rPr>
          <w:rFonts w:ascii="Arial" w:hAnsi="Arial" w:cs="Arial"/>
          <w:sz w:val="24"/>
          <w:szCs w:val="24"/>
        </w:rPr>
        <w:t xml:space="preserve"> 2022).</w:t>
      </w:r>
    </w:p>
    <w:p w14:paraId="024EE465" w14:textId="77777777" w:rsidR="0081304D" w:rsidRPr="0081304D" w:rsidRDefault="0081304D" w:rsidP="0081304D">
      <w:pPr>
        <w:rPr>
          <w:rFonts w:ascii="Arial" w:hAnsi="Arial" w:cs="Arial"/>
          <w:sz w:val="24"/>
          <w:szCs w:val="24"/>
        </w:rPr>
      </w:pPr>
      <w:r w:rsidRPr="0081304D">
        <w:rPr>
          <w:rFonts w:ascii="Arial" w:hAnsi="Arial" w:cs="Arial"/>
          <w:sz w:val="24"/>
          <w:szCs w:val="24"/>
        </w:rPr>
        <w:t>My recommendations would be to hold weekly meetings to discuss all vulnerable children and their needs,  making sure that every relevant authority is involved in ensuring that they receive the maximum help both within and outside of school hours. To ensure that they have a chosen support person who can contact services for them when needed, such as a doctor or nurse, on their behalf. A secure space to chat is another recommendation that should be implemented. Vulnerable children may feel judged and different from the rest and may not speak out when they feel they need help, are in danger, or are going through situations outside of school that could be extremely worrying. Always make sure the person is feeling okay and that no concerning conversations are occurring without being immediately reported to the appropriate authority.</w:t>
      </w:r>
    </w:p>
    <w:p w14:paraId="279CB63B" w14:textId="338F71C2" w:rsidR="0081304D" w:rsidRDefault="0081304D" w:rsidP="0081304D">
      <w:pPr>
        <w:rPr>
          <w:rFonts w:ascii="Arial" w:hAnsi="Arial" w:cs="Arial"/>
          <w:sz w:val="24"/>
          <w:szCs w:val="24"/>
        </w:rPr>
      </w:pPr>
      <w:r w:rsidRPr="0081304D">
        <w:rPr>
          <w:rFonts w:ascii="Arial" w:hAnsi="Arial" w:cs="Arial"/>
          <w:sz w:val="24"/>
          <w:szCs w:val="24"/>
        </w:rPr>
        <w:t xml:space="preserve">Place (2002), Reynolds(2002), Cousins(2002), and O'Neil(2002) discuss the effectiveness of CAHMS </w:t>
      </w:r>
      <w:r>
        <w:rPr>
          <w:rFonts w:ascii="Arial" w:hAnsi="Arial" w:cs="Arial"/>
          <w:sz w:val="24"/>
          <w:szCs w:val="24"/>
        </w:rPr>
        <w:t>in</w:t>
      </w:r>
      <w:r w:rsidRPr="0081304D">
        <w:rPr>
          <w:rFonts w:ascii="Arial" w:hAnsi="Arial" w:cs="Arial"/>
          <w:sz w:val="24"/>
          <w:szCs w:val="24"/>
        </w:rPr>
        <w:t xml:space="preserve"> protecting vulnerable children. Their</w:t>
      </w:r>
      <w:r>
        <w:rPr>
          <w:rFonts w:ascii="Arial" w:hAnsi="Arial" w:cs="Arial"/>
          <w:sz w:val="24"/>
          <w:szCs w:val="24"/>
        </w:rPr>
        <w:t xml:space="preserve"> </w:t>
      </w:r>
      <w:r w:rsidRPr="0081304D">
        <w:rPr>
          <w:rFonts w:ascii="Arial" w:hAnsi="Arial" w:cs="Arial"/>
          <w:sz w:val="24"/>
          <w:szCs w:val="24"/>
        </w:rPr>
        <w:t xml:space="preserve">opinion is   A lot of work has been put into figuring out what factors </w:t>
      </w:r>
      <w:r w:rsidR="00484ADC" w:rsidRPr="00484ADC">
        <w:rPr>
          <w:rFonts w:ascii="Arial" w:hAnsi="Arial" w:cs="Arial"/>
          <w:sz w:val="24"/>
          <w:szCs w:val="24"/>
        </w:rPr>
        <w:t>improve a children's</w:t>
      </w:r>
      <w:r w:rsidR="00484ADC" w:rsidRPr="00484ADC">
        <w:rPr>
          <w:rFonts w:ascii="Arial" w:hAnsi="Arial" w:cs="Arial"/>
          <w:sz w:val="24"/>
          <w:szCs w:val="24"/>
        </w:rPr>
        <w:t xml:space="preserve"> </w:t>
      </w:r>
      <w:r w:rsidRPr="0081304D">
        <w:rPr>
          <w:rFonts w:ascii="Arial" w:hAnsi="Arial" w:cs="Arial"/>
          <w:sz w:val="24"/>
          <w:szCs w:val="24"/>
        </w:rPr>
        <w:t xml:space="preserve">resiliency and prevent them </w:t>
      </w:r>
      <w:r w:rsidR="00CD13A4" w:rsidRPr="00CD13A4">
        <w:rPr>
          <w:rFonts w:ascii="Arial" w:hAnsi="Arial" w:cs="Arial"/>
          <w:sz w:val="24"/>
          <w:szCs w:val="24"/>
        </w:rPr>
        <w:t>preventing them from being disturbed, in addition to what elements</w:t>
      </w:r>
      <w:r w:rsidR="00CD13A4" w:rsidRPr="00CD13A4">
        <w:rPr>
          <w:rFonts w:ascii="Arial" w:hAnsi="Arial" w:cs="Arial"/>
          <w:sz w:val="24"/>
          <w:szCs w:val="24"/>
        </w:rPr>
        <w:t xml:space="preserve"> </w:t>
      </w:r>
      <w:r w:rsidRPr="0081304D">
        <w:rPr>
          <w:rFonts w:ascii="Arial" w:hAnsi="Arial" w:cs="Arial"/>
          <w:sz w:val="24"/>
          <w:szCs w:val="24"/>
        </w:rPr>
        <w:t xml:space="preserve">raise a kid's risk of developing mental health issues. The potential to create preventative </w:t>
      </w:r>
      <w:r>
        <w:rPr>
          <w:rFonts w:ascii="Arial" w:hAnsi="Arial" w:cs="Arial"/>
          <w:sz w:val="24"/>
          <w:szCs w:val="24"/>
        </w:rPr>
        <w:t>programs</w:t>
      </w:r>
      <w:r w:rsidRPr="0081304D">
        <w:rPr>
          <w:rFonts w:ascii="Arial" w:hAnsi="Arial" w:cs="Arial"/>
          <w:sz w:val="24"/>
          <w:szCs w:val="24"/>
        </w:rPr>
        <w:t xml:space="preserve"> for at-risk groups increases</w:t>
      </w:r>
      <w:r w:rsidR="00F07FD2" w:rsidRPr="00F07FD2">
        <w:t xml:space="preserve"> </w:t>
      </w:r>
      <w:r w:rsidR="00F07FD2">
        <w:rPr>
          <w:rFonts w:ascii="Arial" w:hAnsi="Arial" w:cs="Arial"/>
          <w:sz w:val="24"/>
          <w:szCs w:val="24"/>
        </w:rPr>
        <w:t>a</w:t>
      </w:r>
      <w:r w:rsidR="00F07FD2" w:rsidRPr="00F07FD2">
        <w:rPr>
          <w:rFonts w:ascii="Arial" w:hAnsi="Arial" w:cs="Arial"/>
          <w:sz w:val="24"/>
          <w:szCs w:val="24"/>
        </w:rPr>
        <w:t>s we learn more about how such resilience works</w:t>
      </w:r>
      <w:r w:rsidRPr="0081304D">
        <w:rPr>
          <w:rFonts w:ascii="Arial" w:hAnsi="Arial" w:cs="Arial"/>
          <w:sz w:val="24"/>
          <w:szCs w:val="24"/>
        </w:rPr>
        <w:t xml:space="preserve">. Kids </w:t>
      </w:r>
      <w:r w:rsidR="00F4314D" w:rsidRPr="00F4314D">
        <w:rPr>
          <w:rFonts w:ascii="Arial" w:hAnsi="Arial" w:cs="Arial"/>
          <w:sz w:val="24"/>
          <w:szCs w:val="24"/>
        </w:rPr>
        <w:t>whose families struggle with</w:t>
      </w:r>
      <w:r w:rsidR="00F4314D" w:rsidRPr="00F4314D">
        <w:rPr>
          <w:rFonts w:ascii="Arial" w:hAnsi="Arial" w:cs="Arial"/>
          <w:sz w:val="24"/>
          <w:szCs w:val="24"/>
        </w:rPr>
        <w:t xml:space="preserve"> </w:t>
      </w:r>
      <w:r w:rsidRPr="0081304D">
        <w:rPr>
          <w:rFonts w:ascii="Arial" w:hAnsi="Arial" w:cs="Arial"/>
          <w:sz w:val="24"/>
          <w:szCs w:val="24"/>
        </w:rPr>
        <w:t xml:space="preserve">severe depression have been given </w:t>
      </w:r>
      <w:r w:rsidR="005217FB" w:rsidRPr="005217FB">
        <w:rPr>
          <w:rFonts w:ascii="Arial" w:hAnsi="Arial" w:cs="Arial"/>
          <w:sz w:val="24"/>
          <w:szCs w:val="24"/>
        </w:rPr>
        <w:t>a useful set of materials</w:t>
      </w:r>
      <w:r w:rsidR="005217FB" w:rsidRPr="005217FB">
        <w:rPr>
          <w:rFonts w:ascii="Arial" w:hAnsi="Arial" w:cs="Arial"/>
          <w:sz w:val="24"/>
          <w:szCs w:val="24"/>
        </w:rPr>
        <w:t xml:space="preserve"> </w:t>
      </w:r>
      <w:r w:rsidRPr="0081304D">
        <w:rPr>
          <w:rFonts w:ascii="Arial" w:hAnsi="Arial" w:cs="Arial"/>
          <w:sz w:val="24"/>
          <w:szCs w:val="24"/>
        </w:rPr>
        <w:t>boosting</w:t>
      </w:r>
      <w:r w:rsidR="003B7DD1" w:rsidRPr="003B7DD1">
        <w:t xml:space="preserve"> </w:t>
      </w:r>
      <w:r w:rsidR="003B7DD1" w:rsidRPr="003B7DD1">
        <w:rPr>
          <w:rFonts w:ascii="Arial" w:hAnsi="Arial" w:cs="Arial"/>
          <w:sz w:val="24"/>
          <w:szCs w:val="24"/>
        </w:rPr>
        <w:t>their tenacity</w:t>
      </w:r>
      <w:r w:rsidRPr="0081304D">
        <w:rPr>
          <w:rFonts w:ascii="Arial" w:hAnsi="Arial" w:cs="Arial"/>
          <w:sz w:val="24"/>
          <w:szCs w:val="24"/>
        </w:rPr>
        <w:t xml:space="preserve">. This concentrates on the children's skills, </w:t>
      </w:r>
      <w:r w:rsidR="00EA6547" w:rsidRPr="00EA6547">
        <w:rPr>
          <w:rFonts w:ascii="Arial" w:hAnsi="Arial" w:cs="Arial"/>
          <w:sz w:val="24"/>
          <w:szCs w:val="24"/>
        </w:rPr>
        <w:t>participation and education of families, as well as</w:t>
      </w:r>
      <w:r w:rsidR="00EA6547" w:rsidRPr="00EA6547">
        <w:rPr>
          <w:rFonts w:ascii="Arial" w:hAnsi="Arial" w:cs="Arial"/>
          <w:sz w:val="24"/>
          <w:szCs w:val="24"/>
        </w:rPr>
        <w:t xml:space="preserve"> </w:t>
      </w:r>
      <w:r w:rsidRPr="0081304D">
        <w:rPr>
          <w:rFonts w:ascii="Arial" w:hAnsi="Arial" w:cs="Arial"/>
          <w:sz w:val="24"/>
          <w:szCs w:val="24"/>
        </w:rPr>
        <w:t xml:space="preserve">the </w:t>
      </w:r>
      <w:r>
        <w:rPr>
          <w:rFonts w:ascii="Arial" w:hAnsi="Arial" w:cs="Arial"/>
          <w:sz w:val="24"/>
          <w:szCs w:val="24"/>
        </w:rPr>
        <w:t>caregiver’s</w:t>
      </w:r>
      <w:r w:rsidRPr="0081304D">
        <w:rPr>
          <w:rFonts w:ascii="Arial" w:hAnsi="Arial" w:cs="Arial"/>
          <w:sz w:val="24"/>
          <w:szCs w:val="24"/>
        </w:rPr>
        <w:t xml:space="preserve"> access to community resources and assistance. It makes sense that </w:t>
      </w:r>
      <w:r w:rsidRPr="0081304D">
        <w:rPr>
          <w:rFonts w:ascii="Arial" w:hAnsi="Arial" w:cs="Arial"/>
          <w:sz w:val="24"/>
          <w:szCs w:val="24"/>
        </w:rPr>
        <w:lastRenderedPageBreak/>
        <w:t>assisting kids in lowering their risk of mental health issues is a matter of growing relevance. In order to do this, this package may be an effective means of fostering their resilience.(Place,2002),(Reynolds,2002),(Cousins,2002),(O’Neil,2002).</w:t>
      </w:r>
    </w:p>
    <w:p w14:paraId="523D2CA2" w14:textId="7A1FB839" w:rsidR="00911AA2" w:rsidRDefault="00911AA2" w:rsidP="0081304D">
      <w:pPr>
        <w:rPr>
          <w:rFonts w:ascii="Arial" w:hAnsi="Arial" w:cs="Arial"/>
          <w:sz w:val="24"/>
          <w:szCs w:val="24"/>
        </w:rPr>
      </w:pPr>
      <w:r w:rsidRPr="00911AA2">
        <w:rPr>
          <w:rFonts w:ascii="Arial" w:hAnsi="Arial" w:cs="Arial"/>
          <w:sz w:val="24"/>
          <w:szCs w:val="24"/>
        </w:rPr>
        <w:t xml:space="preserve">In order to conclude up this assignment, it has been discussed how to outline </w:t>
      </w:r>
      <w:r w:rsidR="00060622" w:rsidRPr="00060622">
        <w:rPr>
          <w:rFonts w:ascii="Arial" w:hAnsi="Arial" w:cs="Arial"/>
          <w:sz w:val="24"/>
          <w:szCs w:val="24"/>
        </w:rPr>
        <w:t>alterations in the socialisation of childhood</w:t>
      </w:r>
      <w:r w:rsidR="00060622" w:rsidRPr="00060622">
        <w:rPr>
          <w:rFonts w:ascii="Arial" w:hAnsi="Arial" w:cs="Arial"/>
          <w:sz w:val="24"/>
          <w:szCs w:val="24"/>
        </w:rPr>
        <w:t xml:space="preserve"> </w:t>
      </w:r>
      <w:r w:rsidRPr="00911AA2">
        <w:rPr>
          <w:rFonts w:ascii="Arial" w:hAnsi="Arial" w:cs="Arial"/>
          <w:sz w:val="24"/>
          <w:szCs w:val="24"/>
        </w:rPr>
        <w:t xml:space="preserve">across time. examination of various advances </w:t>
      </w:r>
      <w:r w:rsidR="00E20643" w:rsidRPr="00E20643">
        <w:rPr>
          <w:rFonts w:ascii="Arial" w:hAnsi="Arial" w:cs="Arial"/>
          <w:sz w:val="24"/>
          <w:szCs w:val="24"/>
        </w:rPr>
        <w:t>in regulations and standards</w:t>
      </w:r>
      <w:r w:rsidR="00E20643" w:rsidRPr="00E20643">
        <w:rPr>
          <w:rFonts w:ascii="Arial" w:hAnsi="Arial" w:cs="Arial"/>
          <w:sz w:val="24"/>
          <w:szCs w:val="24"/>
        </w:rPr>
        <w:t xml:space="preserve"> </w:t>
      </w:r>
      <w:r w:rsidRPr="00911AA2">
        <w:rPr>
          <w:rFonts w:ascii="Arial" w:hAnsi="Arial" w:cs="Arial"/>
          <w:sz w:val="24"/>
          <w:szCs w:val="24"/>
        </w:rPr>
        <w:t xml:space="preserve">that have influenced </w:t>
      </w:r>
      <w:r w:rsidR="00AA2E94" w:rsidRPr="00AA2E94">
        <w:rPr>
          <w:rFonts w:ascii="Arial" w:hAnsi="Arial" w:cs="Arial"/>
          <w:sz w:val="24"/>
          <w:szCs w:val="24"/>
        </w:rPr>
        <w:t>historical to contemporary modifications in the social structure of childhood and families</w:t>
      </w:r>
      <w:r w:rsidR="00AA2E94" w:rsidRPr="00AA2E94">
        <w:rPr>
          <w:rFonts w:ascii="Arial" w:hAnsi="Arial" w:cs="Arial"/>
          <w:sz w:val="24"/>
          <w:szCs w:val="24"/>
        </w:rPr>
        <w:t xml:space="preserve"> </w:t>
      </w:r>
      <w:r w:rsidR="00AA2E94">
        <w:rPr>
          <w:rFonts w:ascii="Arial" w:hAnsi="Arial" w:cs="Arial"/>
          <w:sz w:val="24"/>
          <w:szCs w:val="24"/>
        </w:rPr>
        <w:t xml:space="preserve">in </w:t>
      </w:r>
      <w:r w:rsidRPr="00911AA2">
        <w:rPr>
          <w:rFonts w:ascii="Arial" w:hAnsi="Arial" w:cs="Arial"/>
          <w:sz w:val="24"/>
          <w:szCs w:val="24"/>
        </w:rPr>
        <w:t xml:space="preserve">contemporary times, including a variety of other issues. </w:t>
      </w:r>
      <w:r w:rsidR="00B07CD7">
        <w:rPr>
          <w:rFonts w:ascii="Arial" w:hAnsi="Arial" w:cs="Arial"/>
          <w:sz w:val="24"/>
          <w:szCs w:val="24"/>
        </w:rPr>
        <w:t xml:space="preserve">The </w:t>
      </w:r>
      <w:r w:rsidRPr="00911AA2">
        <w:rPr>
          <w:rFonts w:ascii="Arial" w:hAnsi="Arial" w:cs="Arial"/>
          <w:sz w:val="24"/>
          <w:szCs w:val="24"/>
        </w:rPr>
        <w:t xml:space="preserve">influence that these elements have had on bettering </w:t>
      </w:r>
      <w:r w:rsidR="00022A9F" w:rsidRPr="00022A9F">
        <w:rPr>
          <w:rFonts w:ascii="Arial" w:hAnsi="Arial" w:cs="Arial"/>
          <w:sz w:val="24"/>
          <w:szCs w:val="24"/>
        </w:rPr>
        <w:t>the circumstances of families, kids, and young people</w:t>
      </w:r>
      <w:r w:rsidR="00022A9F" w:rsidRPr="00022A9F">
        <w:rPr>
          <w:rFonts w:ascii="Arial" w:hAnsi="Arial" w:cs="Arial"/>
          <w:sz w:val="24"/>
          <w:szCs w:val="24"/>
        </w:rPr>
        <w:t xml:space="preserve"> </w:t>
      </w:r>
      <w:r w:rsidRPr="00911AA2">
        <w:rPr>
          <w:rFonts w:ascii="Arial" w:hAnsi="Arial" w:cs="Arial"/>
          <w:sz w:val="24"/>
          <w:szCs w:val="24"/>
        </w:rPr>
        <w:t xml:space="preserve">as well as eliminating inequities in the delivery of </w:t>
      </w:r>
      <w:r w:rsidR="00A653D8" w:rsidRPr="00A653D8">
        <w:rPr>
          <w:rFonts w:ascii="Arial" w:hAnsi="Arial" w:cs="Arial"/>
          <w:sz w:val="24"/>
          <w:szCs w:val="24"/>
        </w:rPr>
        <w:t>services for social and mental health</w:t>
      </w:r>
      <w:r w:rsidR="00A653D8" w:rsidRPr="00A653D8">
        <w:rPr>
          <w:rFonts w:ascii="Arial" w:hAnsi="Arial" w:cs="Arial"/>
          <w:sz w:val="24"/>
          <w:szCs w:val="24"/>
        </w:rPr>
        <w:t xml:space="preserve"> </w:t>
      </w:r>
      <w:r w:rsidRPr="00911AA2">
        <w:rPr>
          <w:rFonts w:ascii="Arial" w:hAnsi="Arial" w:cs="Arial"/>
          <w:sz w:val="24"/>
          <w:szCs w:val="24"/>
        </w:rPr>
        <w:t>to these groups of people identify and debate various strategies and interventions that assist vulnerable children, as well as suggestions for further ways to assist vulnerable children.</w:t>
      </w:r>
    </w:p>
    <w:p w14:paraId="280FA0F3" w14:textId="77777777" w:rsidR="00B73FA3" w:rsidRDefault="00B73FA3" w:rsidP="0081304D">
      <w:pPr>
        <w:rPr>
          <w:rFonts w:ascii="Arial" w:hAnsi="Arial" w:cs="Arial"/>
          <w:sz w:val="24"/>
          <w:szCs w:val="24"/>
        </w:rPr>
      </w:pPr>
    </w:p>
    <w:p w14:paraId="26856654" w14:textId="77777777" w:rsidR="00B73FA3" w:rsidRDefault="00B73FA3" w:rsidP="0081304D">
      <w:pPr>
        <w:rPr>
          <w:rFonts w:ascii="Arial" w:hAnsi="Arial" w:cs="Arial"/>
          <w:sz w:val="24"/>
          <w:szCs w:val="24"/>
        </w:rPr>
      </w:pPr>
    </w:p>
    <w:p w14:paraId="096BBB23" w14:textId="77777777" w:rsidR="00B73FA3" w:rsidRDefault="00B73FA3" w:rsidP="0081304D">
      <w:pPr>
        <w:rPr>
          <w:rFonts w:ascii="Arial" w:hAnsi="Arial" w:cs="Arial"/>
          <w:sz w:val="24"/>
          <w:szCs w:val="24"/>
        </w:rPr>
      </w:pPr>
    </w:p>
    <w:p w14:paraId="10F2C667" w14:textId="77777777" w:rsidR="00B73FA3" w:rsidRDefault="00B73FA3" w:rsidP="0081304D">
      <w:pPr>
        <w:rPr>
          <w:rFonts w:ascii="Arial" w:hAnsi="Arial" w:cs="Arial"/>
          <w:sz w:val="24"/>
          <w:szCs w:val="24"/>
        </w:rPr>
      </w:pPr>
    </w:p>
    <w:p w14:paraId="683E9BD7" w14:textId="77777777" w:rsidR="00B73FA3" w:rsidRDefault="00B73FA3" w:rsidP="0081304D">
      <w:pPr>
        <w:rPr>
          <w:rFonts w:ascii="Arial" w:hAnsi="Arial" w:cs="Arial"/>
          <w:sz w:val="24"/>
          <w:szCs w:val="24"/>
        </w:rPr>
      </w:pPr>
    </w:p>
    <w:p w14:paraId="66A93C2A" w14:textId="77777777" w:rsidR="00B73FA3" w:rsidRDefault="00B73FA3" w:rsidP="0081304D">
      <w:pPr>
        <w:rPr>
          <w:rFonts w:ascii="Arial" w:hAnsi="Arial" w:cs="Arial"/>
          <w:sz w:val="24"/>
          <w:szCs w:val="24"/>
        </w:rPr>
      </w:pPr>
    </w:p>
    <w:p w14:paraId="1A5E4A5C" w14:textId="77777777" w:rsidR="00B73FA3" w:rsidRDefault="00B73FA3" w:rsidP="0081304D">
      <w:pPr>
        <w:rPr>
          <w:rFonts w:ascii="Arial" w:hAnsi="Arial" w:cs="Arial"/>
          <w:sz w:val="24"/>
          <w:szCs w:val="24"/>
        </w:rPr>
      </w:pPr>
    </w:p>
    <w:p w14:paraId="68287780" w14:textId="77777777" w:rsidR="00B73FA3" w:rsidRDefault="00B73FA3" w:rsidP="0081304D">
      <w:pPr>
        <w:rPr>
          <w:rFonts w:ascii="Arial" w:hAnsi="Arial" w:cs="Arial"/>
          <w:sz w:val="24"/>
          <w:szCs w:val="24"/>
        </w:rPr>
      </w:pPr>
    </w:p>
    <w:p w14:paraId="2C83B91E" w14:textId="77777777" w:rsidR="00B73FA3" w:rsidRDefault="00B73FA3" w:rsidP="0081304D">
      <w:pPr>
        <w:rPr>
          <w:rFonts w:ascii="Arial" w:hAnsi="Arial" w:cs="Arial"/>
          <w:sz w:val="24"/>
          <w:szCs w:val="24"/>
        </w:rPr>
      </w:pPr>
    </w:p>
    <w:p w14:paraId="3AB2FDEC" w14:textId="77777777" w:rsidR="00B73FA3" w:rsidRDefault="00B73FA3" w:rsidP="0081304D">
      <w:pPr>
        <w:rPr>
          <w:rFonts w:ascii="Arial" w:hAnsi="Arial" w:cs="Arial"/>
          <w:sz w:val="24"/>
          <w:szCs w:val="24"/>
        </w:rPr>
      </w:pPr>
    </w:p>
    <w:p w14:paraId="2278B532" w14:textId="77777777" w:rsidR="00B73FA3" w:rsidRDefault="00B73FA3" w:rsidP="0081304D">
      <w:pPr>
        <w:rPr>
          <w:rFonts w:ascii="Arial" w:hAnsi="Arial" w:cs="Arial"/>
          <w:sz w:val="24"/>
          <w:szCs w:val="24"/>
        </w:rPr>
      </w:pPr>
    </w:p>
    <w:p w14:paraId="2E8F1C8E" w14:textId="77777777" w:rsidR="00B73FA3" w:rsidRDefault="00B73FA3" w:rsidP="0081304D">
      <w:pPr>
        <w:rPr>
          <w:rFonts w:ascii="Arial" w:hAnsi="Arial" w:cs="Arial"/>
          <w:sz w:val="24"/>
          <w:szCs w:val="24"/>
        </w:rPr>
      </w:pPr>
    </w:p>
    <w:p w14:paraId="20BFE84A" w14:textId="77777777" w:rsidR="00B73FA3" w:rsidRDefault="00B73FA3" w:rsidP="0081304D">
      <w:pPr>
        <w:rPr>
          <w:rFonts w:ascii="Arial" w:hAnsi="Arial" w:cs="Arial"/>
          <w:sz w:val="24"/>
          <w:szCs w:val="24"/>
        </w:rPr>
      </w:pPr>
    </w:p>
    <w:p w14:paraId="7B6A7A27" w14:textId="77777777" w:rsidR="00B73FA3" w:rsidRDefault="00B73FA3" w:rsidP="0081304D">
      <w:pPr>
        <w:rPr>
          <w:rFonts w:ascii="Arial" w:hAnsi="Arial" w:cs="Arial"/>
          <w:sz w:val="24"/>
          <w:szCs w:val="24"/>
        </w:rPr>
      </w:pPr>
    </w:p>
    <w:p w14:paraId="47923A88" w14:textId="77777777" w:rsidR="00B73FA3" w:rsidRDefault="00B73FA3" w:rsidP="0081304D">
      <w:pPr>
        <w:rPr>
          <w:rFonts w:ascii="Arial" w:hAnsi="Arial" w:cs="Arial"/>
          <w:sz w:val="24"/>
          <w:szCs w:val="24"/>
        </w:rPr>
      </w:pPr>
    </w:p>
    <w:p w14:paraId="52415369" w14:textId="77777777" w:rsidR="00B73FA3" w:rsidRDefault="00B73FA3" w:rsidP="0081304D">
      <w:pPr>
        <w:rPr>
          <w:rFonts w:ascii="Arial" w:hAnsi="Arial" w:cs="Arial"/>
          <w:sz w:val="24"/>
          <w:szCs w:val="24"/>
        </w:rPr>
      </w:pPr>
    </w:p>
    <w:p w14:paraId="7088B29A" w14:textId="77777777" w:rsidR="00B73FA3" w:rsidRDefault="00B73FA3" w:rsidP="0081304D">
      <w:pPr>
        <w:rPr>
          <w:rFonts w:ascii="Arial" w:hAnsi="Arial" w:cs="Arial"/>
          <w:sz w:val="24"/>
          <w:szCs w:val="24"/>
        </w:rPr>
      </w:pPr>
    </w:p>
    <w:p w14:paraId="66063395" w14:textId="77777777" w:rsidR="00B73FA3" w:rsidRDefault="00B73FA3" w:rsidP="0081304D">
      <w:pPr>
        <w:rPr>
          <w:rFonts w:ascii="Arial" w:hAnsi="Arial" w:cs="Arial"/>
          <w:sz w:val="24"/>
          <w:szCs w:val="24"/>
        </w:rPr>
      </w:pPr>
    </w:p>
    <w:p w14:paraId="6EC15682" w14:textId="77777777" w:rsidR="00B73FA3" w:rsidRDefault="00B73FA3" w:rsidP="0081304D">
      <w:pPr>
        <w:rPr>
          <w:rFonts w:ascii="Arial" w:hAnsi="Arial" w:cs="Arial"/>
          <w:sz w:val="24"/>
          <w:szCs w:val="24"/>
        </w:rPr>
      </w:pPr>
    </w:p>
    <w:p w14:paraId="07FBD1D5" w14:textId="77777777" w:rsidR="00A25853" w:rsidRDefault="00A25853" w:rsidP="00B73FA3">
      <w:pPr>
        <w:pStyle w:val="c-article-referencestext"/>
        <w:shd w:val="clear" w:color="auto" w:fill="FCFCFC"/>
        <w:spacing w:before="0" w:beforeAutospacing="0" w:after="120" w:afterAutospacing="0"/>
        <w:rPr>
          <w:rFonts w:ascii="Arial" w:hAnsi="Arial" w:cs="Arial"/>
          <w:color w:val="333333"/>
        </w:rPr>
      </w:pPr>
    </w:p>
    <w:p w14:paraId="397BC3F8" w14:textId="77777777" w:rsidR="00A25853" w:rsidRDefault="00A25853" w:rsidP="00B73FA3">
      <w:pPr>
        <w:pStyle w:val="c-article-referencestext"/>
        <w:shd w:val="clear" w:color="auto" w:fill="FCFCFC"/>
        <w:spacing w:before="0" w:beforeAutospacing="0" w:after="120" w:afterAutospacing="0"/>
        <w:rPr>
          <w:rFonts w:ascii="Arial" w:hAnsi="Arial" w:cs="Arial"/>
          <w:color w:val="333333"/>
        </w:rPr>
      </w:pPr>
    </w:p>
    <w:p w14:paraId="66165E53" w14:textId="77777777" w:rsidR="00A25853" w:rsidRDefault="00A25853" w:rsidP="00B73FA3">
      <w:pPr>
        <w:pStyle w:val="c-article-referencestext"/>
        <w:shd w:val="clear" w:color="auto" w:fill="FCFCFC"/>
        <w:spacing w:before="0" w:beforeAutospacing="0" w:after="120" w:afterAutospacing="0"/>
        <w:rPr>
          <w:rFonts w:ascii="Arial" w:hAnsi="Arial" w:cs="Arial"/>
          <w:color w:val="333333"/>
        </w:rPr>
      </w:pPr>
    </w:p>
    <w:p w14:paraId="6B76969A" w14:textId="5C19D53D" w:rsidR="00B73FA3" w:rsidRDefault="00B73FA3" w:rsidP="00B73FA3">
      <w:pPr>
        <w:pStyle w:val="c-article-referencestext"/>
        <w:shd w:val="clear" w:color="auto" w:fill="FCFCFC"/>
        <w:spacing w:before="0" w:beforeAutospacing="0" w:after="120" w:afterAutospacing="0"/>
        <w:rPr>
          <w:rFonts w:ascii="Arial" w:hAnsi="Arial" w:cs="Arial"/>
          <w:color w:val="333333"/>
        </w:rPr>
      </w:pPr>
      <w:r>
        <w:rPr>
          <w:rFonts w:ascii="Arial" w:hAnsi="Arial" w:cs="Arial"/>
          <w:color w:val="333333"/>
        </w:rPr>
        <w:t>References.</w:t>
      </w:r>
    </w:p>
    <w:p w14:paraId="3F7C7E4B" w14:textId="77777777" w:rsidR="00B73FA3" w:rsidRDefault="00B73FA3" w:rsidP="00B73FA3">
      <w:pPr>
        <w:pStyle w:val="c-article-referencestext"/>
        <w:shd w:val="clear" w:color="auto" w:fill="FCFCFC"/>
        <w:spacing w:before="0" w:beforeAutospacing="0" w:after="120" w:afterAutospacing="0"/>
      </w:pPr>
      <w:r>
        <w:t xml:space="preserve">See e.g.: F. Alvaredo, L. Chancel, T. Piketty, E. Saez and G. Zucman. (2017). The World Inequality Report 2018. World Inequality Lab. http://wir2018.wid.world/; Lawson, M et al. (2019). Public good or private wealth? Universal health, education and other public services reduce the gap between rich and poor, and between women and men. Fairer taxation of the wealthiest can help pay for them. Oxfam. </w:t>
      </w:r>
      <w:hyperlink r:id="rId5" w:history="1">
        <w:r w:rsidRPr="005D4C84">
          <w:rPr>
            <w:rStyle w:val="Hyperlink"/>
          </w:rPr>
          <w:t>https://policypractice.oxfam.org.uk/publications/public-good-or-private-wealth-universal-health-educationand-other-public-servi-620599</w:t>
        </w:r>
      </w:hyperlink>
    </w:p>
    <w:p w14:paraId="2605CFE6" w14:textId="77777777" w:rsidR="00B73FA3" w:rsidRDefault="00B73FA3" w:rsidP="00B73FA3">
      <w:pPr>
        <w:pStyle w:val="c-article-referencestext"/>
        <w:shd w:val="clear" w:color="auto" w:fill="FCFCFC"/>
        <w:spacing w:before="0" w:beforeAutospacing="0" w:after="120" w:afterAutospacing="0"/>
      </w:pPr>
      <w:r>
        <w:t>Department of Health and Social Care &amp; Public Health England. 2021. Education, schooling and health summary. London: UK Government.</w:t>
      </w:r>
    </w:p>
    <w:p w14:paraId="48057D6D" w14:textId="77777777" w:rsidR="00B73FA3" w:rsidRPr="00447556" w:rsidRDefault="00B73FA3" w:rsidP="00B73FA3">
      <w:pPr>
        <w:spacing w:after="0" w:line="240" w:lineRule="auto"/>
        <w:rPr>
          <w:rFonts w:ascii="Times New Roman" w:eastAsia="Times New Roman" w:hAnsi="Times New Roman" w:cs="Times New Roman"/>
          <w:sz w:val="24"/>
          <w:szCs w:val="24"/>
          <w:lang w:eastAsia="en-GB"/>
        </w:rPr>
      </w:pPr>
      <w:r w:rsidRPr="00447556">
        <w:rPr>
          <w:rFonts w:ascii="Times New Roman" w:eastAsia="Times New Roman" w:hAnsi="Times New Roman" w:cs="Times New Roman"/>
          <w:sz w:val="24"/>
          <w:szCs w:val="24"/>
          <w:lang w:eastAsia="en-GB"/>
        </w:rPr>
        <w:t xml:space="preserve">Dryler, Helen. “Parental Role Models, Gender and Educational Choice.” </w:t>
      </w:r>
      <w:r w:rsidRPr="00447556">
        <w:rPr>
          <w:rFonts w:ascii="Times New Roman" w:eastAsia="Times New Roman" w:hAnsi="Times New Roman" w:cs="Times New Roman"/>
          <w:i/>
          <w:iCs/>
          <w:sz w:val="24"/>
          <w:szCs w:val="24"/>
          <w:lang w:eastAsia="en-GB"/>
        </w:rPr>
        <w:t>The British Journal of Sociology</w:t>
      </w:r>
      <w:r w:rsidRPr="00447556">
        <w:rPr>
          <w:rFonts w:ascii="Times New Roman" w:eastAsia="Times New Roman" w:hAnsi="Times New Roman" w:cs="Times New Roman"/>
          <w:sz w:val="24"/>
          <w:szCs w:val="24"/>
          <w:lang w:eastAsia="en-GB"/>
        </w:rPr>
        <w:t xml:space="preserve">, vol. 49, no. 3, 1998, pp. 375–98. </w:t>
      </w:r>
      <w:r w:rsidRPr="00447556">
        <w:rPr>
          <w:rFonts w:ascii="Times New Roman" w:eastAsia="Times New Roman" w:hAnsi="Times New Roman" w:cs="Times New Roman"/>
          <w:i/>
          <w:iCs/>
          <w:sz w:val="24"/>
          <w:szCs w:val="24"/>
          <w:lang w:eastAsia="en-GB"/>
        </w:rPr>
        <w:t>JSTOR</w:t>
      </w:r>
      <w:r w:rsidRPr="00447556">
        <w:rPr>
          <w:rFonts w:ascii="Times New Roman" w:eastAsia="Times New Roman" w:hAnsi="Times New Roman" w:cs="Times New Roman"/>
          <w:sz w:val="24"/>
          <w:szCs w:val="24"/>
          <w:lang w:eastAsia="en-GB"/>
        </w:rPr>
        <w:t>, https://doi.org/10.2307/591389. Accessed 15 Dec. 2022.</w:t>
      </w:r>
    </w:p>
    <w:p w14:paraId="15A99465" w14:textId="77777777" w:rsidR="00B73FA3" w:rsidRDefault="00B73FA3" w:rsidP="00B73FA3">
      <w:pPr>
        <w:pStyle w:val="c-article-referencestext"/>
        <w:shd w:val="clear" w:color="auto" w:fill="FCFCFC"/>
        <w:spacing w:before="0" w:beforeAutospacing="0" w:after="120" w:afterAutospacing="0"/>
        <w:rPr>
          <w:rFonts w:ascii="Arial" w:hAnsi="Arial" w:cs="Arial"/>
          <w:color w:val="333333"/>
        </w:rPr>
      </w:pPr>
    </w:p>
    <w:p w14:paraId="25AE9958" w14:textId="77777777" w:rsidR="00B73FA3" w:rsidRDefault="00B73FA3" w:rsidP="00B73FA3">
      <w:pPr>
        <w:pStyle w:val="NormalWeb"/>
        <w:ind w:left="567" w:hanging="567"/>
      </w:pPr>
      <w:r>
        <w:t xml:space="preserve">Hurrelmaan, K. (1988) </w:t>
      </w:r>
      <w:r>
        <w:rPr>
          <w:i/>
          <w:iCs/>
        </w:rPr>
        <w:t>Social Structure and personality development</w:t>
      </w:r>
      <w:r>
        <w:t xml:space="preserve">, </w:t>
      </w:r>
      <w:r>
        <w:rPr>
          <w:i/>
          <w:iCs/>
        </w:rPr>
        <w:t>Google Books</w:t>
      </w:r>
      <w:r>
        <w:t xml:space="preserve">. Google. Available at: https://www.google.co.uk/books/edition/Social_Structure_and_Personality_Develop/0Us7AAAAIAAJ?hl=en&amp;gbpv=0 (Accessed: December 14, 2022). </w:t>
      </w:r>
    </w:p>
    <w:p w14:paraId="363D96B7" w14:textId="77777777" w:rsidR="00B73FA3" w:rsidRDefault="00B73FA3" w:rsidP="00B73FA3">
      <w:pPr>
        <w:pStyle w:val="NormalWeb"/>
        <w:ind w:left="567" w:hanging="567"/>
      </w:pPr>
      <w:r>
        <w:rPr>
          <w:i/>
          <w:iCs/>
        </w:rPr>
        <w:t>Importance of education in life</w:t>
      </w:r>
      <w:r>
        <w:t xml:space="preserve"> (2022) </w:t>
      </w:r>
      <w:r>
        <w:rPr>
          <w:i/>
          <w:iCs/>
        </w:rPr>
        <w:t>Allison Academy</w:t>
      </w:r>
      <w:r>
        <w:t xml:space="preserve">. Available at: https://www.allisonacademy.com/parents/child-development/importance-of-education-in-life/ (Accessed: December 15, 2022). </w:t>
      </w:r>
    </w:p>
    <w:p w14:paraId="73CBCAD6" w14:textId="77777777" w:rsidR="00B73FA3" w:rsidRPr="0019581B" w:rsidRDefault="00B73FA3" w:rsidP="00B73FA3">
      <w:pPr>
        <w:pStyle w:val="NormalWeb"/>
        <w:ind w:left="567" w:hanging="567"/>
      </w:pPr>
      <w:r>
        <w:t>James, A. &amp; James, A. (2008). Key concepts in childhood studies. London: SAGE Publications Ltd.</w:t>
      </w:r>
    </w:p>
    <w:p w14:paraId="6C316435" w14:textId="77777777" w:rsidR="00B73FA3" w:rsidRPr="00651941" w:rsidRDefault="00B73FA3" w:rsidP="00B73FA3">
      <w:pPr>
        <w:pStyle w:val="c-article-referencestext"/>
        <w:shd w:val="clear" w:color="auto" w:fill="FCFCFC"/>
        <w:spacing w:before="0" w:beforeAutospacing="0" w:after="120" w:afterAutospacing="0"/>
        <w:rPr>
          <w:rFonts w:ascii="Arial" w:hAnsi="Arial" w:cs="Arial"/>
        </w:rPr>
      </w:pPr>
      <w:r w:rsidRPr="00651941">
        <w:rPr>
          <w:rFonts w:ascii="Arial" w:hAnsi="Arial" w:cs="Arial"/>
        </w:rPr>
        <w:t xml:space="preserve">This situation was described by Jacques Donzelot in one of his first articles: a social worker appeared at the university to study the elemental structures of kinship in marginal neighbourhoods. </w:t>
      </w:r>
      <w:r w:rsidRPr="00651941">
        <w:rPr>
          <w:rFonts w:ascii="Arial" w:hAnsi="Arial" w:cs="Arial"/>
          <w:lang w:val="fr-FR"/>
        </w:rPr>
        <w:t>See Jacques Donzelot, ‘Travail social et lutte politique’, </w:t>
      </w:r>
      <w:r w:rsidRPr="00651941">
        <w:rPr>
          <w:rFonts w:ascii="Arial" w:hAnsi="Arial" w:cs="Arial"/>
          <w:i/>
          <w:iCs/>
          <w:lang w:val="fr-FR"/>
        </w:rPr>
        <w:t>Esprit</w:t>
      </w:r>
      <w:r w:rsidRPr="00651941">
        <w:rPr>
          <w:rFonts w:ascii="Arial" w:hAnsi="Arial" w:cs="Arial"/>
          <w:lang w:val="fr-FR"/>
        </w:rPr>
        <w:t>, 4–5 (1972), 654–73, reprinted in Philippe Meyer (ed.), </w:t>
      </w:r>
      <w:r w:rsidRPr="00651941">
        <w:rPr>
          <w:rFonts w:ascii="Arial" w:hAnsi="Arial" w:cs="Arial"/>
          <w:i/>
          <w:iCs/>
          <w:lang w:val="fr-FR"/>
        </w:rPr>
        <w:t>Normalisation et contrôle social (pourquoi le travail social?)</w:t>
      </w:r>
      <w:r w:rsidRPr="00651941">
        <w:rPr>
          <w:rFonts w:ascii="Arial" w:hAnsi="Arial" w:cs="Arial"/>
          <w:lang w:val="fr-FR"/>
        </w:rPr>
        <w:t> </w:t>
      </w:r>
      <w:r w:rsidRPr="00651941">
        <w:rPr>
          <w:rFonts w:ascii="Arial" w:hAnsi="Arial" w:cs="Arial"/>
        </w:rPr>
        <w:t>(Paris: Seuil, 1976), 99–120.</w:t>
      </w:r>
    </w:p>
    <w:p w14:paraId="3DDE37D2" w14:textId="77777777" w:rsidR="00B73FA3" w:rsidRDefault="00A653D8" w:rsidP="00B73FA3">
      <w:pPr>
        <w:pStyle w:val="c-article-referenceslinks"/>
        <w:shd w:val="clear" w:color="auto" w:fill="FCFCFC"/>
        <w:spacing w:before="0" w:beforeAutospacing="0" w:after="0" w:afterAutospacing="0"/>
        <w:rPr>
          <w:rStyle w:val="Hyperlink"/>
          <w:rFonts w:ascii="Arial" w:hAnsi="Arial" w:cs="Arial"/>
          <w:b/>
          <w:bCs/>
          <w:color w:val="auto"/>
        </w:rPr>
      </w:pPr>
      <w:hyperlink r:id="rId6" w:history="1">
        <w:r w:rsidR="00B73FA3" w:rsidRPr="00651941">
          <w:rPr>
            <w:rStyle w:val="Hyperlink"/>
            <w:rFonts w:ascii="Arial" w:hAnsi="Arial" w:cs="Arial"/>
            <w:b/>
            <w:bCs/>
            <w:color w:val="auto"/>
          </w:rPr>
          <w:t>Google Scholar</w:t>
        </w:r>
      </w:hyperlink>
    </w:p>
    <w:p w14:paraId="111042CB" w14:textId="77777777" w:rsidR="00B73FA3" w:rsidRDefault="00B73FA3" w:rsidP="00B73FA3">
      <w:pPr>
        <w:pStyle w:val="c-article-referenceslinks"/>
        <w:shd w:val="clear" w:color="auto" w:fill="FCFCFC"/>
        <w:spacing w:before="0" w:beforeAutospacing="0" w:after="0" w:afterAutospacing="0"/>
        <w:rPr>
          <w:rFonts w:ascii="Arial" w:hAnsi="Arial" w:cs="Arial"/>
          <w:b/>
          <w:bCs/>
        </w:rPr>
      </w:pPr>
      <w:r>
        <w:t>Nelson Mandela speech at the launch of the Nelson Mandela Institute for Education and Rural Development, November 2007.</w:t>
      </w:r>
    </w:p>
    <w:p w14:paraId="37DF0E82" w14:textId="77777777" w:rsidR="00B73FA3" w:rsidRPr="00651941" w:rsidRDefault="00B73FA3" w:rsidP="00B73FA3">
      <w:pPr>
        <w:pStyle w:val="c-article-referenceslinks"/>
        <w:shd w:val="clear" w:color="auto" w:fill="FCFCFC"/>
        <w:spacing w:before="0" w:beforeAutospacing="0" w:after="0" w:afterAutospacing="0"/>
        <w:rPr>
          <w:rFonts w:ascii="Arial" w:hAnsi="Arial" w:cs="Arial"/>
          <w:b/>
          <w:bCs/>
        </w:rPr>
      </w:pPr>
    </w:p>
    <w:p w14:paraId="033C63E0" w14:textId="77777777" w:rsidR="00B73FA3" w:rsidRDefault="00B73FA3" w:rsidP="00B73FA3">
      <w:pPr>
        <w:rPr>
          <w:rFonts w:ascii="Arial" w:hAnsi="Arial" w:cs="Arial"/>
          <w:sz w:val="24"/>
          <w:szCs w:val="24"/>
          <w:shd w:val="clear" w:color="auto" w:fill="FFFFFF"/>
        </w:rPr>
      </w:pPr>
      <w:r>
        <w:t>NHS England. 2020. Definition of Health Inequalities. [Available online at: https://www.england.nhs.uk/ ltphimenu/definitions-for-health-inequalities/#healthinequalities Accessed on 02/09/21]</w:t>
      </w:r>
    </w:p>
    <w:p w14:paraId="3ED04943" w14:textId="77777777" w:rsidR="00B73FA3" w:rsidRDefault="00B73FA3" w:rsidP="00B73FA3">
      <w:pPr>
        <w:rPr>
          <w:rFonts w:ascii="Arial" w:hAnsi="Arial" w:cs="Arial"/>
          <w:sz w:val="24"/>
          <w:szCs w:val="24"/>
          <w:shd w:val="clear" w:color="auto" w:fill="FFFFFF"/>
        </w:rPr>
      </w:pPr>
      <w:r w:rsidRPr="00AA3595">
        <w:rPr>
          <w:rFonts w:ascii="Arial" w:hAnsi="Arial" w:cs="Arial"/>
          <w:sz w:val="24"/>
          <w:szCs w:val="24"/>
          <w:shd w:val="clear" w:color="auto" w:fill="FFFFFF"/>
          <w:lang w:val="it-IT"/>
        </w:rPr>
        <w:t xml:space="preserve">NOROZI, Sultana Ali; MOEN, Torill. </w:t>
      </w:r>
      <w:r w:rsidRPr="00651941">
        <w:rPr>
          <w:rFonts w:ascii="Arial" w:hAnsi="Arial" w:cs="Arial"/>
          <w:sz w:val="24"/>
          <w:szCs w:val="24"/>
          <w:shd w:val="clear" w:color="auto" w:fill="FFFFFF"/>
        </w:rPr>
        <w:t>Childhood as a Social Construction. </w:t>
      </w:r>
      <w:r w:rsidRPr="00651941">
        <w:rPr>
          <w:rStyle w:val="Strong"/>
          <w:rFonts w:ascii="Arial" w:hAnsi="Arial" w:cs="Arial"/>
          <w:sz w:val="24"/>
          <w:szCs w:val="24"/>
          <w:shd w:val="clear" w:color="auto" w:fill="FFFFFF"/>
        </w:rPr>
        <w:t>Journal of Educational and Social Research</w:t>
      </w:r>
      <w:r w:rsidRPr="00651941">
        <w:rPr>
          <w:rFonts w:ascii="Arial" w:hAnsi="Arial" w:cs="Arial"/>
          <w:sz w:val="24"/>
          <w:szCs w:val="24"/>
          <w:shd w:val="clear" w:color="auto" w:fill="FFFFFF"/>
        </w:rPr>
        <w:t>, [S.l.], v. 6, n. 2, p. 75, may. 2016. ISSN 2240-0524. Available at: &lt;</w:t>
      </w:r>
      <w:hyperlink r:id="rId7" w:tgtFrame="_new" w:history="1">
        <w:r w:rsidRPr="00651941">
          <w:rPr>
            <w:rStyle w:val="Hyperlink"/>
            <w:rFonts w:ascii="Arial" w:hAnsi="Arial" w:cs="Arial"/>
            <w:color w:val="auto"/>
            <w:sz w:val="24"/>
            <w:szCs w:val="24"/>
            <w:shd w:val="clear" w:color="auto" w:fill="FFFFFF"/>
          </w:rPr>
          <w:t>https://www.mcser.org/journal/index.php/jesr/article/view/9151</w:t>
        </w:r>
      </w:hyperlink>
      <w:r w:rsidRPr="00651941">
        <w:rPr>
          <w:rFonts w:ascii="Arial" w:hAnsi="Arial" w:cs="Arial"/>
          <w:sz w:val="24"/>
          <w:szCs w:val="24"/>
          <w:shd w:val="clear" w:color="auto" w:fill="FFFFFF"/>
        </w:rPr>
        <w:t>&gt;. Date accessed: 13 Dec. 2022.</w:t>
      </w:r>
    </w:p>
    <w:p w14:paraId="579774B8" w14:textId="77777777" w:rsidR="00B73FA3" w:rsidRDefault="00B73FA3" w:rsidP="00B73FA3">
      <w:pPr>
        <w:pStyle w:val="NormalWeb"/>
        <w:ind w:left="567" w:hanging="567"/>
      </w:pPr>
      <w:r>
        <w:lastRenderedPageBreak/>
        <w:t xml:space="preserve">MASH (2013) </w:t>
      </w:r>
      <w:r>
        <w:rPr>
          <w:i/>
          <w:iCs/>
        </w:rPr>
        <w:t>Assessing the early impact of multi agency safeguarding hubs (MASH) in London</w:t>
      </w:r>
      <w:r>
        <w:t xml:space="preserve">, </w:t>
      </w:r>
      <w:r>
        <w:rPr>
          <w:i/>
          <w:iCs/>
        </w:rPr>
        <w:t>www.basw.co.uk</w:t>
      </w:r>
      <w:r>
        <w:t xml:space="preserve">. Available at: https://www.basw.co.uk/resources/assessing-early-impact-multi-agency-safeguarding-hubs-mash-london?fbclid=IwAR0OJglqAazkQR077aTFk1gq9F1PWqLI2fbYUoA5WqhcO-SAhkFCwX6e1q4 (Accessed: December 16, 2022). </w:t>
      </w:r>
    </w:p>
    <w:p w14:paraId="68659E78" w14:textId="77777777" w:rsidR="00B73FA3" w:rsidRPr="00293B9B" w:rsidRDefault="00B73FA3" w:rsidP="00B73FA3">
      <w:pPr>
        <w:rPr>
          <w:rFonts w:ascii="Arial" w:hAnsi="Arial" w:cs="Arial"/>
          <w:sz w:val="24"/>
          <w:szCs w:val="24"/>
        </w:rPr>
      </w:pPr>
    </w:p>
    <w:p w14:paraId="1D7D4374" w14:textId="77777777" w:rsidR="00B73FA3" w:rsidRDefault="00B73FA3" w:rsidP="00B73FA3">
      <w:pPr>
        <w:rPr>
          <w:rFonts w:ascii="Arial" w:hAnsi="Arial" w:cs="Arial"/>
          <w:sz w:val="24"/>
          <w:szCs w:val="24"/>
        </w:rPr>
      </w:pPr>
      <w:r w:rsidRPr="00B73FA3">
        <w:rPr>
          <w:rFonts w:ascii="Arial" w:hAnsi="Arial" w:cs="Arial"/>
          <w:sz w:val="24"/>
          <w:szCs w:val="24"/>
          <w:lang w:val="it-IT"/>
        </w:rPr>
        <w:t xml:space="preserve">Llorente, Renzo. "Neil Postman". Encyclopedia Britannica, 1 Oct. 2022, </w:t>
      </w:r>
      <w:hyperlink r:id="rId8" w:history="1">
        <w:r w:rsidRPr="00B73FA3">
          <w:rPr>
            <w:rStyle w:val="Hyperlink"/>
            <w:rFonts w:ascii="Arial" w:hAnsi="Arial" w:cs="Arial"/>
            <w:sz w:val="24"/>
            <w:szCs w:val="24"/>
            <w:lang w:val="it-IT"/>
          </w:rPr>
          <w:t xml:space="preserve">https://www.britannica.com/biography/Neil-Postman. </w:t>
        </w:r>
        <w:r w:rsidRPr="002943F5">
          <w:rPr>
            <w:rStyle w:val="Hyperlink"/>
            <w:rFonts w:ascii="Arial" w:hAnsi="Arial" w:cs="Arial"/>
            <w:sz w:val="24"/>
            <w:szCs w:val="24"/>
          </w:rPr>
          <w:t>Accessed 12 December 2022</w:t>
        </w:r>
      </w:hyperlink>
      <w:r w:rsidRPr="00651941">
        <w:rPr>
          <w:rFonts w:ascii="Arial" w:hAnsi="Arial" w:cs="Arial"/>
          <w:sz w:val="24"/>
          <w:szCs w:val="24"/>
        </w:rPr>
        <w:t>.</w:t>
      </w:r>
    </w:p>
    <w:p w14:paraId="69917528" w14:textId="77777777" w:rsidR="00B73FA3" w:rsidRDefault="00B73FA3" w:rsidP="00B73FA3">
      <w:pPr>
        <w:rPr>
          <w:rFonts w:ascii="Arial" w:hAnsi="Arial" w:cs="Arial"/>
          <w:sz w:val="24"/>
          <w:szCs w:val="24"/>
        </w:rPr>
      </w:pPr>
      <w:r>
        <w:t>Lickona, T. (1991). Educating for character: How our schools can teach respect and responsibility. New York: Bantam.</w:t>
      </w:r>
    </w:p>
    <w:p w14:paraId="0C486C55" w14:textId="77777777" w:rsidR="00B73FA3" w:rsidRDefault="00B73FA3" w:rsidP="00B73FA3">
      <w:pPr>
        <w:rPr>
          <w:rFonts w:ascii="Arial" w:hAnsi="Arial" w:cs="Arial"/>
          <w:sz w:val="24"/>
          <w:szCs w:val="24"/>
        </w:rPr>
      </w:pPr>
      <w:r>
        <w:t>Public Health England. 2021. Health Profile for England: 2021. London: PHE.</w:t>
      </w:r>
    </w:p>
    <w:p w14:paraId="5170A277" w14:textId="77777777" w:rsidR="00B73FA3" w:rsidRDefault="00B73FA3" w:rsidP="00B73FA3">
      <w:r>
        <w:t>Rogers, S. W. (2003). What is a child? In M. Woodhead &amp; H. Montgomery (Eds.), Understanding childhood: an interdisciplinary approach (pp. 1-43). UK: The Open University.</w:t>
      </w:r>
    </w:p>
    <w:p w14:paraId="691581CD" w14:textId="77777777" w:rsidR="00B73FA3" w:rsidRDefault="00B73FA3" w:rsidP="00B73FA3">
      <w:r>
        <w:t>Rittel, H. &amp; Webber, M. 1973. ‘Dilemmas in General Theory of Planning’, Policy Sciences, 4, pp.155-169.</w:t>
      </w:r>
    </w:p>
    <w:p w14:paraId="792175C1" w14:textId="77777777" w:rsidR="00B73FA3" w:rsidRDefault="00B73FA3" w:rsidP="00B73FA3">
      <w:r>
        <w:t>Sharp, C., Nelson, J., Lucas, M., Julius, J., McCrone, T. &amp; Sims, D. 2020. Schools’ response to Covid-19: The challenges facing schools and pupils in September 2020. Slough: NFER.</w:t>
      </w:r>
    </w:p>
    <w:p w14:paraId="13AF569E" w14:textId="77777777" w:rsidR="00B73FA3" w:rsidRDefault="00B73FA3" w:rsidP="00B73FA3">
      <w:pPr>
        <w:pStyle w:val="NormalWeb"/>
        <w:ind w:left="567" w:hanging="567"/>
      </w:pPr>
      <w:r>
        <w:t xml:space="preserve">Meriouma, S. (2021) </w:t>
      </w:r>
      <w:r>
        <w:rPr>
          <w:i/>
          <w:iCs/>
        </w:rPr>
        <w:t>The role of education in Reducing Health Inequalities - Health Action Campaign</w:t>
      </w:r>
      <w:r>
        <w:t xml:space="preserve">, </w:t>
      </w:r>
      <w:r>
        <w:rPr>
          <w:i/>
          <w:iCs/>
        </w:rPr>
        <w:t>Home - Health Action Campaign</w:t>
      </w:r>
      <w:r>
        <w:t xml:space="preserve">. Available at: https://www.healthactioncampaign.org.uk/tackling-obesity/the-role-of-education/#:~:text=Education%20increases%20the%20chances%20of,end%20up%20reinforcing%20health%20inequalities. (Accessed: December 15, 2022). </w:t>
      </w:r>
    </w:p>
    <w:p w14:paraId="332785C6" w14:textId="77777777" w:rsidR="0078474F" w:rsidRDefault="0078474F" w:rsidP="0078474F">
      <w:pPr>
        <w:pStyle w:val="citedbyentry"/>
        <w:pBdr>
          <w:bottom w:val="single" w:sz="6" w:space="0" w:color="D8D9DA"/>
        </w:pBdr>
        <w:shd w:val="clear" w:color="auto" w:fill="FFFFFF"/>
        <w:rPr>
          <w:rFonts w:ascii="Open Sans" w:hAnsi="Open Sans" w:cs="Open Sans"/>
          <w:color w:val="1C1D1E"/>
          <w:sz w:val="21"/>
          <w:szCs w:val="21"/>
        </w:rPr>
      </w:pPr>
      <w:r>
        <w:rPr>
          <w:rStyle w:val="hlfld-contribauthor"/>
          <w:rFonts w:ascii="Open Sans" w:hAnsi="Open Sans" w:cs="Open Sans"/>
          <w:color w:val="1C1D1E"/>
          <w:sz w:val="21"/>
          <w:szCs w:val="21"/>
        </w:rPr>
        <w:t>Maurice Place, Jessica Hulsmeier, Allan Brownrigg, Alison Soulsby, </w:t>
      </w:r>
      <w:r>
        <w:rPr>
          <w:rFonts w:ascii="Open Sans" w:hAnsi="Open Sans" w:cs="Open Sans"/>
          <w:color w:val="1C1D1E"/>
          <w:sz w:val="21"/>
          <w:szCs w:val="21"/>
        </w:rPr>
        <w:t>The Family Adaptability and Cohesion Evaluation Scale (FACES): an instrument worthy of rehabilitation?</w:t>
      </w:r>
      <w:r>
        <w:rPr>
          <w:rStyle w:val="seriestitle"/>
          <w:rFonts w:ascii="Open Sans" w:hAnsi="Open Sans" w:cs="Open Sans"/>
          <w:color w:val="1C1D1E"/>
          <w:sz w:val="21"/>
          <w:szCs w:val="21"/>
        </w:rPr>
        <w:t>, Psychiatric Bulletin</w:t>
      </w:r>
      <w:r>
        <w:rPr>
          <w:rStyle w:val="doi"/>
          <w:rFonts w:ascii="Open Sans" w:hAnsi="Open Sans" w:cs="Open Sans"/>
          <w:color w:val="1C1D1E"/>
          <w:sz w:val="21"/>
          <w:szCs w:val="21"/>
        </w:rPr>
        <w:t>, 10.1192/pb.29.6.215</w:t>
      </w:r>
      <w:r>
        <w:rPr>
          <w:rStyle w:val="volume"/>
          <w:rFonts w:ascii="Open Sans" w:hAnsi="Open Sans" w:cs="Open Sans"/>
          <w:color w:val="1C1D1E"/>
          <w:sz w:val="21"/>
          <w:szCs w:val="21"/>
        </w:rPr>
        <w:t>, </w:t>
      </w:r>
      <w:r>
        <w:rPr>
          <w:rStyle w:val="volume"/>
          <w:rFonts w:ascii="Open Sans" w:hAnsi="Open Sans" w:cs="Open Sans"/>
          <w:b/>
          <w:bCs/>
          <w:color w:val="1C1D1E"/>
          <w:sz w:val="21"/>
          <w:szCs w:val="21"/>
        </w:rPr>
        <w:t>29</w:t>
      </w:r>
      <w:r>
        <w:rPr>
          <w:rStyle w:val="issue"/>
          <w:rFonts w:ascii="Open Sans" w:hAnsi="Open Sans" w:cs="Open Sans"/>
          <w:color w:val="1C1D1E"/>
          <w:sz w:val="21"/>
          <w:szCs w:val="21"/>
        </w:rPr>
        <w:t>, 06</w:t>
      </w:r>
      <w:r>
        <w:rPr>
          <w:rStyle w:val="page-range"/>
          <w:rFonts w:ascii="Open Sans" w:hAnsi="Open Sans" w:cs="Open Sans"/>
          <w:color w:val="1C1D1E"/>
          <w:sz w:val="21"/>
          <w:szCs w:val="21"/>
        </w:rPr>
        <w:t>, (215-218)</w:t>
      </w:r>
      <w:r>
        <w:rPr>
          <w:rStyle w:val="pub-date"/>
          <w:rFonts w:ascii="Open Sans" w:hAnsi="Open Sans" w:cs="Open Sans"/>
          <w:color w:val="1C1D1E"/>
          <w:sz w:val="21"/>
          <w:szCs w:val="21"/>
        </w:rPr>
        <w:t>, (2018)</w:t>
      </w:r>
      <w:r>
        <w:rPr>
          <w:rFonts w:ascii="Open Sans" w:hAnsi="Open Sans" w:cs="Open Sans"/>
          <w:color w:val="1C1D1E"/>
          <w:sz w:val="21"/>
          <w:szCs w:val="21"/>
        </w:rPr>
        <w:t>.</w:t>
      </w:r>
    </w:p>
    <w:p w14:paraId="0E43D845" w14:textId="77777777" w:rsidR="0078474F" w:rsidRDefault="00A653D8" w:rsidP="0078474F">
      <w:pPr>
        <w:pStyle w:val="citedbyentry"/>
        <w:pBdr>
          <w:bottom w:val="single" w:sz="6" w:space="0" w:color="D8D9DA"/>
        </w:pBdr>
        <w:shd w:val="clear" w:color="auto" w:fill="FFFFFF"/>
        <w:ind w:left="720"/>
        <w:rPr>
          <w:rFonts w:ascii="Open Sans" w:hAnsi="Open Sans" w:cs="Open Sans"/>
          <w:color w:val="1C1D1E"/>
          <w:sz w:val="21"/>
          <w:szCs w:val="21"/>
        </w:rPr>
      </w:pPr>
      <w:hyperlink r:id="rId9" w:history="1">
        <w:r w:rsidR="0078474F">
          <w:rPr>
            <w:rStyle w:val="Hyperlink"/>
            <w:rFonts w:ascii="Open Sans" w:hAnsi="Open Sans" w:cs="Open Sans"/>
            <w:color w:val="005274"/>
            <w:sz w:val="21"/>
            <w:szCs w:val="21"/>
          </w:rPr>
          <w:t>Crossref</w:t>
        </w:r>
      </w:hyperlink>
    </w:p>
    <w:p w14:paraId="00904C8F" w14:textId="77777777" w:rsidR="00A25853" w:rsidRDefault="00A25853" w:rsidP="00A25853">
      <w:pPr>
        <w:pStyle w:val="NormalWeb"/>
        <w:ind w:left="567" w:hanging="567"/>
      </w:pPr>
      <w:r>
        <w:t xml:space="preserve">Reynolds, J., Cousins, A. and O'Neill, S. (2002) </w:t>
      </w:r>
      <w:r>
        <w:rPr>
          <w:i/>
          <w:iCs/>
        </w:rPr>
        <w:t>Developing a resilience package for Vulnerable Children</w:t>
      </w:r>
      <w:r>
        <w:t xml:space="preserve">. Available at: https://acamh.onlinelibrary.wiley.com/doi/abs/10.1111/1475-3588.00029 (Accessed: December 16, 2022). </w:t>
      </w:r>
    </w:p>
    <w:p w14:paraId="35C53ACE" w14:textId="77777777" w:rsidR="00A25853" w:rsidRDefault="00A25853" w:rsidP="0078474F">
      <w:pPr>
        <w:pStyle w:val="citedbyentry"/>
        <w:pBdr>
          <w:bottom w:val="single" w:sz="6" w:space="0" w:color="D8D9DA"/>
        </w:pBdr>
        <w:shd w:val="clear" w:color="auto" w:fill="FFFFFF"/>
        <w:ind w:left="720"/>
        <w:rPr>
          <w:rFonts w:ascii="Open Sans" w:hAnsi="Open Sans" w:cs="Open Sans"/>
          <w:color w:val="1C1D1E"/>
          <w:sz w:val="21"/>
          <w:szCs w:val="21"/>
        </w:rPr>
      </w:pPr>
    </w:p>
    <w:p w14:paraId="489A9548" w14:textId="77777777" w:rsidR="00B73FA3" w:rsidRDefault="00B73FA3" w:rsidP="00B73FA3"/>
    <w:p w14:paraId="6D5DD999" w14:textId="77777777" w:rsidR="00B73FA3" w:rsidRDefault="00B73FA3" w:rsidP="00B73FA3">
      <w:pPr>
        <w:pStyle w:val="NormalWeb"/>
        <w:ind w:left="567" w:hanging="567"/>
      </w:pPr>
      <w:r>
        <w:t xml:space="preserve">Thompson, A.K. (2022) </w:t>
      </w:r>
      <w:r>
        <w:rPr>
          <w:i/>
          <w:iCs/>
        </w:rPr>
        <w:t>The social construction of Childhoood</w:t>
      </w:r>
      <w:r>
        <w:t xml:space="preserve">, </w:t>
      </w:r>
      <w:r>
        <w:rPr>
          <w:i/>
          <w:iCs/>
        </w:rPr>
        <w:t>ReviseSociology</w:t>
      </w:r>
      <w:r>
        <w:t xml:space="preserve">. Available at: https://revisesociology.com/2015/05/06/social-construction-of-childhood/ (Accessed: December 14, 2022). </w:t>
      </w:r>
    </w:p>
    <w:p w14:paraId="4471B8BE" w14:textId="77777777" w:rsidR="00B73FA3" w:rsidRDefault="00B73FA3" w:rsidP="00B73FA3">
      <w:pPr>
        <w:pStyle w:val="NormalWeb"/>
        <w:ind w:left="567" w:hanging="567"/>
      </w:pPr>
      <w:r>
        <w:lastRenderedPageBreak/>
        <w:t xml:space="preserve"> </w:t>
      </w:r>
      <w:r>
        <w:rPr>
          <w:i/>
          <w:iCs/>
        </w:rPr>
        <w:t>Twinkl.co.uk</w:t>
      </w:r>
      <w:r>
        <w:t xml:space="preserve">. Available at: https://www.twinkl.co.uk/parenting-wiki/vulnerable-child (Accessed: December 16, 2022). </w:t>
      </w:r>
    </w:p>
    <w:p w14:paraId="59C93C18" w14:textId="77777777" w:rsidR="00B73FA3" w:rsidRDefault="00B73FA3" w:rsidP="00B73FA3">
      <w:pPr>
        <w:rPr>
          <w:rFonts w:ascii="Arial" w:hAnsi="Arial" w:cs="Arial"/>
          <w:sz w:val="24"/>
          <w:szCs w:val="24"/>
        </w:rPr>
      </w:pPr>
    </w:p>
    <w:p w14:paraId="18135437" w14:textId="77777777" w:rsidR="00B73FA3" w:rsidRDefault="00B73FA3" w:rsidP="00B73FA3">
      <w:pPr>
        <w:pStyle w:val="NormalWeb"/>
      </w:pPr>
      <w:r>
        <w:t xml:space="preserve">UNCRC (2022) </w:t>
      </w:r>
      <w:r>
        <w:rPr>
          <w:i/>
          <w:iCs/>
        </w:rPr>
        <w:t>Children's human rights</w:t>
      </w:r>
      <w:r>
        <w:t xml:space="preserve">, </w:t>
      </w:r>
      <w:r>
        <w:rPr>
          <w:i/>
          <w:iCs/>
        </w:rPr>
        <w:t>nidirect</w:t>
      </w:r>
      <w:r>
        <w:t xml:space="preserve">. Available at: https://www.nidirect.gov.uk/articles/childrens-human-rights (Accessed: December 12, 2022). </w:t>
      </w:r>
    </w:p>
    <w:p w14:paraId="3892803F" w14:textId="77777777" w:rsidR="00B73FA3" w:rsidRPr="00651941" w:rsidRDefault="00B73FA3" w:rsidP="00B73FA3">
      <w:pPr>
        <w:rPr>
          <w:rFonts w:ascii="Arial" w:hAnsi="Arial" w:cs="Arial"/>
          <w:sz w:val="24"/>
          <w:szCs w:val="24"/>
        </w:rPr>
      </w:pPr>
    </w:p>
    <w:p w14:paraId="674EC88D" w14:textId="77777777" w:rsidR="00B73FA3" w:rsidRPr="00651941" w:rsidRDefault="00B73FA3" w:rsidP="00B73FA3">
      <w:pPr>
        <w:rPr>
          <w:rFonts w:ascii="Arial" w:hAnsi="Arial" w:cs="Arial"/>
          <w:sz w:val="24"/>
          <w:szCs w:val="24"/>
        </w:rPr>
      </w:pPr>
      <w:r w:rsidRPr="00651941">
        <w:rPr>
          <w:rFonts w:ascii="Arial" w:hAnsi="Arial" w:cs="Arial"/>
          <w:sz w:val="24"/>
          <w:szCs w:val="24"/>
        </w:rPr>
        <w:t>Wilson, Adrian. “The Infancy of The History of Childhood: An Appraisal of Philippe Ariès.” History and Theory: Studies in the Philosophy of History. Vol. 19:2 (1980): 132-153.</w:t>
      </w:r>
    </w:p>
    <w:p w14:paraId="5470B6FE" w14:textId="77777777" w:rsidR="00B73FA3" w:rsidRPr="00756C3B" w:rsidRDefault="00B73FA3" w:rsidP="00B73FA3">
      <w:pPr>
        <w:rPr>
          <w:rFonts w:ascii="Arial" w:hAnsi="Arial" w:cs="Arial"/>
          <w:sz w:val="24"/>
          <w:szCs w:val="24"/>
        </w:rPr>
      </w:pPr>
    </w:p>
    <w:p w14:paraId="79C63494" w14:textId="77777777" w:rsidR="00B73FA3" w:rsidRDefault="00B73FA3" w:rsidP="0081304D">
      <w:pPr>
        <w:rPr>
          <w:rFonts w:ascii="Arial" w:hAnsi="Arial" w:cs="Arial"/>
          <w:sz w:val="24"/>
          <w:szCs w:val="24"/>
        </w:rPr>
      </w:pPr>
    </w:p>
    <w:p w14:paraId="3C873A1D" w14:textId="77777777" w:rsidR="00552593" w:rsidRPr="0081304D" w:rsidRDefault="00552593" w:rsidP="0081304D">
      <w:pPr>
        <w:rPr>
          <w:rFonts w:ascii="Arial" w:hAnsi="Arial" w:cs="Arial"/>
          <w:sz w:val="24"/>
          <w:szCs w:val="24"/>
        </w:rPr>
      </w:pPr>
    </w:p>
    <w:p w14:paraId="4207D079" w14:textId="77777777" w:rsidR="0081304D" w:rsidRPr="0081304D" w:rsidRDefault="0081304D" w:rsidP="0081304D"/>
    <w:p w14:paraId="40D59709" w14:textId="77777777" w:rsidR="0081304D" w:rsidRPr="0081304D" w:rsidRDefault="0081304D" w:rsidP="0081304D"/>
    <w:p w14:paraId="5D100F62" w14:textId="77777777" w:rsidR="0081304D" w:rsidRPr="0081304D" w:rsidRDefault="0081304D" w:rsidP="0081304D"/>
    <w:p w14:paraId="6DB164D6" w14:textId="3610D8A5" w:rsidR="008F6B4E" w:rsidRDefault="00A653D8"/>
    <w:sectPr w:rsidR="008F6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A0181"/>
    <w:multiLevelType w:val="hybridMultilevel"/>
    <w:tmpl w:val="7D663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3F4B12"/>
    <w:multiLevelType w:val="multilevel"/>
    <w:tmpl w:val="8976D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7831019">
    <w:abstractNumId w:val="0"/>
  </w:num>
  <w:num w:numId="2" w16cid:durableId="1696924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04D"/>
    <w:rsid w:val="00006F50"/>
    <w:rsid w:val="00022A9F"/>
    <w:rsid w:val="00060622"/>
    <w:rsid w:val="00066D75"/>
    <w:rsid w:val="00181195"/>
    <w:rsid w:val="001A51B2"/>
    <w:rsid w:val="001D205B"/>
    <w:rsid w:val="001D6F06"/>
    <w:rsid w:val="00222E1E"/>
    <w:rsid w:val="002A370A"/>
    <w:rsid w:val="002B0E07"/>
    <w:rsid w:val="002E62D7"/>
    <w:rsid w:val="003B7DD1"/>
    <w:rsid w:val="003E2F33"/>
    <w:rsid w:val="00484ADC"/>
    <w:rsid w:val="004F2517"/>
    <w:rsid w:val="00504FF9"/>
    <w:rsid w:val="005217FB"/>
    <w:rsid w:val="00552593"/>
    <w:rsid w:val="00573A04"/>
    <w:rsid w:val="00753D5D"/>
    <w:rsid w:val="0078474F"/>
    <w:rsid w:val="007C04A1"/>
    <w:rsid w:val="0081304D"/>
    <w:rsid w:val="008515FE"/>
    <w:rsid w:val="008B51C2"/>
    <w:rsid w:val="00911AA2"/>
    <w:rsid w:val="009271D7"/>
    <w:rsid w:val="0099616B"/>
    <w:rsid w:val="00997842"/>
    <w:rsid w:val="00A041A2"/>
    <w:rsid w:val="00A047B4"/>
    <w:rsid w:val="00A25853"/>
    <w:rsid w:val="00A653D8"/>
    <w:rsid w:val="00AA02DC"/>
    <w:rsid w:val="00AA2E94"/>
    <w:rsid w:val="00B07CD7"/>
    <w:rsid w:val="00B669FE"/>
    <w:rsid w:val="00B73FA3"/>
    <w:rsid w:val="00BB34A3"/>
    <w:rsid w:val="00C639D7"/>
    <w:rsid w:val="00CB59BA"/>
    <w:rsid w:val="00CC42DD"/>
    <w:rsid w:val="00CD13A4"/>
    <w:rsid w:val="00D1513F"/>
    <w:rsid w:val="00D36DB4"/>
    <w:rsid w:val="00D7239A"/>
    <w:rsid w:val="00E20643"/>
    <w:rsid w:val="00E511BA"/>
    <w:rsid w:val="00E801D4"/>
    <w:rsid w:val="00EA6547"/>
    <w:rsid w:val="00F07FD2"/>
    <w:rsid w:val="00F4314D"/>
    <w:rsid w:val="00F85F0A"/>
    <w:rsid w:val="00F87900"/>
    <w:rsid w:val="00FB3E35"/>
    <w:rsid w:val="00FF3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16B63"/>
  <w15:chartTrackingRefBased/>
  <w15:docId w15:val="{BC3AFFB1-AFC2-411B-9EB2-2ED90D1BD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3FA3"/>
    <w:rPr>
      <w:color w:val="0000FF"/>
      <w:u w:val="single"/>
    </w:rPr>
  </w:style>
  <w:style w:type="paragraph" w:customStyle="1" w:styleId="c-article-referencestext">
    <w:name w:val="c-article-references__text"/>
    <w:basedOn w:val="Normal"/>
    <w:rsid w:val="00B73F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referenceslinks">
    <w:name w:val="c-article-references__links"/>
    <w:basedOn w:val="Normal"/>
    <w:rsid w:val="00B73F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73FA3"/>
    <w:rPr>
      <w:b/>
      <w:bCs/>
    </w:rPr>
  </w:style>
  <w:style w:type="paragraph" w:styleId="NormalWeb">
    <w:name w:val="Normal (Web)"/>
    <w:basedOn w:val="Normal"/>
    <w:uiPriority w:val="99"/>
    <w:unhideWhenUsed/>
    <w:rsid w:val="00B73F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edbyentry">
    <w:name w:val="citedbyentry"/>
    <w:basedOn w:val="Normal"/>
    <w:rsid w:val="007847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78474F"/>
  </w:style>
  <w:style w:type="character" w:customStyle="1" w:styleId="seriestitle">
    <w:name w:val="seriestitle"/>
    <w:basedOn w:val="DefaultParagraphFont"/>
    <w:rsid w:val="0078474F"/>
  </w:style>
  <w:style w:type="character" w:customStyle="1" w:styleId="doi">
    <w:name w:val="doi"/>
    <w:basedOn w:val="DefaultParagraphFont"/>
    <w:rsid w:val="0078474F"/>
  </w:style>
  <w:style w:type="character" w:customStyle="1" w:styleId="volume">
    <w:name w:val="volume"/>
    <w:basedOn w:val="DefaultParagraphFont"/>
    <w:rsid w:val="0078474F"/>
  </w:style>
  <w:style w:type="character" w:customStyle="1" w:styleId="issue">
    <w:name w:val="issue"/>
    <w:basedOn w:val="DefaultParagraphFont"/>
    <w:rsid w:val="0078474F"/>
  </w:style>
  <w:style w:type="character" w:customStyle="1" w:styleId="page-range">
    <w:name w:val="page-range"/>
    <w:basedOn w:val="DefaultParagraphFont"/>
    <w:rsid w:val="0078474F"/>
  </w:style>
  <w:style w:type="character" w:customStyle="1" w:styleId="pub-date">
    <w:name w:val="pub-date"/>
    <w:basedOn w:val="DefaultParagraphFont"/>
    <w:rsid w:val="007847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4065523">
      <w:bodyDiv w:val="1"/>
      <w:marLeft w:val="0"/>
      <w:marRight w:val="0"/>
      <w:marTop w:val="0"/>
      <w:marBottom w:val="0"/>
      <w:divBdr>
        <w:top w:val="none" w:sz="0" w:space="0" w:color="auto"/>
        <w:left w:val="none" w:sz="0" w:space="0" w:color="auto"/>
        <w:bottom w:val="none" w:sz="0" w:space="0" w:color="auto"/>
        <w:right w:val="none" w:sz="0" w:space="0" w:color="auto"/>
      </w:divBdr>
      <w:divsChild>
        <w:div w:id="259069912">
          <w:marLeft w:val="0"/>
          <w:marRight w:val="0"/>
          <w:marTop w:val="0"/>
          <w:marBottom w:val="0"/>
          <w:divBdr>
            <w:top w:val="none" w:sz="0" w:space="0" w:color="auto"/>
            <w:left w:val="none" w:sz="0" w:space="0" w:color="auto"/>
            <w:bottom w:val="none" w:sz="0" w:space="0" w:color="auto"/>
            <w:right w:val="none" w:sz="0" w:space="0" w:color="auto"/>
          </w:divBdr>
        </w:div>
      </w:divsChild>
    </w:div>
    <w:div w:id="1543053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Neil-Postman.%20Accessed%2012%20December%202022" TargetMode="External"/><Relationship Id="rId3" Type="http://schemas.openxmlformats.org/officeDocument/2006/relationships/settings" Target="settings.xml"/><Relationship Id="rId7" Type="http://schemas.openxmlformats.org/officeDocument/2006/relationships/hyperlink" Target="https://www.mcser.org/journal/index.php/jesr/article/view/915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holar.google.com/scholar_lookup?&amp;title=Travail%20social%20et%20lutte%20politique&amp;journal=Esprit&amp;volume=4%E2%80%935&amp;pages=654-673&amp;publication_year=1972&amp;author=Donzelot%2CJ" TargetMode="External"/><Relationship Id="rId11" Type="http://schemas.openxmlformats.org/officeDocument/2006/relationships/theme" Target="theme/theme1.xml"/><Relationship Id="rId5" Type="http://schemas.openxmlformats.org/officeDocument/2006/relationships/hyperlink" Target="https://policypractice.oxfam.org.uk/publications/public-good-or-private-wealth-universal-health-educationand-other-public-servi-620599"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92/pb.29.6.2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3076</Words>
  <Characters>17535</Characters>
  <Application>Microsoft Office Word</Application>
  <DocSecurity>0</DocSecurity>
  <Lines>146</Lines>
  <Paragraphs>41</Paragraphs>
  <ScaleCrop>false</ScaleCrop>
  <Company/>
  <LinksUpToDate>false</LinksUpToDate>
  <CharactersWithSpaces>20570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Pugsley</dc:creator>
  <cp:keywords/>
  <dc:description/>
  <cp:lastModifiedBy>Sacha Pugsley</cp:lastModifiedBy>
  <cp:revision>55</cp:revision>
  <dcterms:created xsi:type="dcterms:W3CDTF">2022-12-16T01:32:00Z</dcterms:created>
  <dcterms:modified xsi:type="dcterms:W3CDTF">2022-12-16T04:27:00Z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eee45365-cd13-49f4-a40c-12e3ff73d377</vt:lpwstr>
  </property>
</Properties>
</file>