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26360A" w14:textId="77777777" w:rsidR="00693A2E" w:rsidRDefault="002F7E1C">
      <w:pPr>
        <w:spacing w:before="480" w:after="60"/>
        <w:jc w:val="center"/>
      </w:pPr>
      <w:r>
        <w:rPr>
          <w:b/>
          <w:bCs/>
          <w:color w:val="1F3864"/>
          <w:sz w:val="56"/>
          <w:szCs w:val="56"/>
        </w:rPr>
        <w:t>Dementia:</w:t>
      </w:r>
      <w:bookmarkStart w:id="0" w:name="_GoBack"/>
      <w:bookmarkEnd w:id="0"/>
    </w:p>
    <w:p w14:paraId="07F40078" w14:textId="77777777" w:rsidR="00693A2E" w:rsidRDefault="002F7E1C">
      <w:pPr>
        <w:spacing w:after="60"/>
        <w:jc w:val="center"/>
      </w:pPr>
      <w:r>
        <w:rPr>
          <w:b/>
          <w:bCs/>
          <w:color w:val="1F3864"/>
          <w:sz w:val="40"/>
          <w:szCs w:val="40"/>
        </w:rPr>
        <w:t>Disease Management, Community Impact,</w:t>
      </w:r>
    </w:p>
    <w:p w14:paraId="36C29F1C" w14:textId="77777777" w:rsidR="00693A2E" w:rsidRDefault="002F7E1C">
      <w:pPr>
        <w:spacing w:after="240"/>
        <w:jc w:val="center"/>
      </w:pPr>
      <w:r>
        <w:rPr>
          <w:b/>
          <w:bCs/>
          <w:color w:val="1F3864"/>
          <w:sz w:val="40"/>
          <w:szCs w:val="40"/>
        </w:rPr>
        <w:t>and Health and Social Care Provision</w:t>
      </w:r>
    </w:p>
    <w:p w14:paraId="635ED2C1" w14:textId="77777777" w:rsidR="00693A2E" w:rsidRDefault="002F7E1C">
      <w:pPr>
        <w:spacing w:after="480"/>
        <w:jc w:val="center"/>
      </w:pPr>
      <w:r>
        <w:rPr>
          <w:i/>
          <w:iCs/>
          <w:color w:val="2E75B6"/>
          <w:sz w:val="26"/>
          <w:szCs w:val="26"/>
        </w:rPr>
        <w:t>A Written Report with UK Case Study Data</w:t>
      </w:r>
    </w:p>
    <w:p w14:paraId="47C8314C" w14:textId="77777777" w:rsidR="00693A2E" w:rsidRDefault="002F7E1C">
      <w:pPr>
        <w:pBdr>
          <w:bottom w:val="single" w:sz="12" w:space="0" w:color="1F3864"/>
        </w:pBdr>
        <w:spacing w:after="480"/>
      </w:pPr>
      <w:r>
        <w:rPr>
          <w:sz w:val="4"/>
          <w:szCs w:val="4"/>
        </w:rPr>
        <w:t xml:space="preserve"> </w:t>
      </w:r>
    </w:p>
    <w:p w14:paraId="6617FBC3" w14:textId="0E6BAFDC" w:rsidR="00693A2E" w:rsidRDefault="00793077">
      <w:pPr>
        <w:spacing w:before="80" w:after="80"/>
        <w:jc w:val="center"/>
      </w:pPr>
      <w:r>
        <w:t>MODULE: INTRODUCTION TO PUBLIC HEALTH (LCHS 4008)</w:t>
      </w:r>
    </w:p>
    <w:p w14:paraId="412248CC" w14:textId="058DAAF9" w:rsidR="00693A2E" w:rsidRDefault="00793077">
      <w:pPr>
        <w:spacing w:before="80" w:after="80"/>
        <w:jc w:val="center"/>
      </w:pPr>
      <w:r>
        <w:t>ASSESSMENT: WRITTEN REPORT</w:t>
      </w:r>
    </w:p>
    <w:p w14:paraId="5B4F9598" w14:textId="043E5022" w:rsidR="00693A2E" w:rsidRDefault="00793077">
      <w:pPr>
        <w:spacing w:before="80" w:after="80"/>
        <w:jc w:val="center"/>
      </w:pPr>
      <w:r>
        <w:t>NAME: Prince Peter Ojeabulu Okhueidiata (2509560)</w:t>
      </w:r>
    </w:p>
    <w:p w14:paraId="0F166ECA" w14:textId="595DBA18" w:rsidR="00793077" w:rsidRDefault="00793077">
      <w:pPr>
        <w:spacing w:before="80" w:after="80"/>
        <w:jc w:val="center"/>
      </w:pPr>
      <w:r>
        <w:t>LECTURER’S NAME: Caroline Salami</w:t>
      </w:r>
    </w:p>
    <w:p w14:paraId="172AE01B" w14:textId="1F49940F" w:rsidR="00693A2E" w:rsidRDefault="00793077">
      <w:pPr>
        <w:spacing w:before="80" w:after="80"/>
        <w:jc w:val="center"/>
      </w:pPr>
      <w:r>
        <w:t>SUBMITTED DATE: 17 APRIL 2026</w:t>
      </w:r>
    </w:p>
    <w:p w14:paraId="62E43742" w14:textId="77777777" w:rsidR="00693A2E" w:rsidRDefault="002F7E1C">
      <w:r>
        <w:br w:type="page"/>
      </w:r>
    </w:p>
    <w:p w14:paraId="6828DBCE" w14:textId="77777777" w:rsidR="00693A2E" w:rsidRDefault="002F7E1C">
      <w:pPr>
        <w:pStyle w:val="Heading1"/>
        <w:pBdr>
          <w:bottom w:val="single" w:sz="6" w:space="1" w:color="1F3864"/>
        </w:pBdr>
      </w:pPr>
      <w:r>
        <w:lastRenderedPageBreak/>
        <w:t>Overview</w:t>
      </w:r>
    </w:p>
    <w:p w14:paraId="02855F35" w14:textId="77777777" w:rsidR="00693A2E" w:rsidRDefault="002F7E1C">
      <w:pPr>
        <w:spacing w:before="80" w:after="80" w:line="360" w:lineRule="auto"/>
        <w:jc w:val="both"/>
      </w:pPr>
      <w:r>
        <w:t>Dementia is an umbrella term that encompasses a range of progressive neurological conditions impairing cognitive function well beyond what is considered normal age-related decline. Those affected typically experience deterioration across several domains, including memory retention, logical thinking, verbal communication, spatial orientation, and the ability to make everyday decisions (World Health Organization, 2023). Among its various forms, Alzheimer’s disease is the most widespread, responsible for approximately 60 to 70 per cent of all cases globally. The remaining diagnoses are largely accounted for by vascular dementia, Lewy body dementia, and frontotemporal dementia (Alzheimer’s Disease International, 2023).</w:t>
      </w:r>
    </w:p>
    <w:p w14:paraId="51A220E9" w14:textId="77777777" w:rsidR="00693A2E" w:rsidRDefault="00693A2E">
      <w:pPr>
        <w:spacing w:before="40" w:after="40"/>
      </w:pPr>
    </w:p>
    <w:p w14:paraId="53D56E60" w14:textId="77777777" w:rsidR="00693A2E" w:rsidRDefault="002F7E1C">
      <w:pPr>
        <w:spacing w:before="80" w:after="80" w:line="360" w:lineRule="auto"/>
        <w:jc w:val="both"/>
      </w:pPr>
      <w:r>
        <w:t>Dementia tends to manifest through a consistent set of early indicators: recurrent difficulty recalling recent events, reduced capacity to concentrate or follow sequential tasks, disorientation regarding time or location, challenges with spoken and written communication, and a gradual retreat from social engagement (NHS, 2023). As the condition worsens, both the individual and their support network face escalating pressures, with continuous care ultimately becoming unavoidable.</w:t>
      </w:r>
    </w:p>
    <w:p w14:paraId="3DF840A7" w14:textId="77777777" w:rsidR="00693A2E" w:rsidRDefault="00693A2E">
      <w:pPr>
        <w:spacing w:before="40" w:after="40"/>
      </w:pPr>
    </w:p>
    <w:p w14:paraId="77D51018" w14:textId="77777777" w:rsidR="00693A2E" w:rsidRDefault="002F7E1C">
      <w:pPr>
        <w:spacing w:before="80" w:after="80" w:line="360" w:lineRule="auto"/>
        <w:jc w:val="both"/>
      </w:pPr>
      <w:r>
        <w:t>At a global level, dementia has become one of the most pressing public health challenges of the modern era. The World Health Organization (2023) reports that in excess of 55 million people are currently living with the condition, with approximately 10 million new cases emerging annually. In the United Kingdom, Alzheimer’s Research UK (2023) estimates that nearly 944,000 individuals are affected, a figure anticipated to surpass 1.6 million by 2040. The condition has also become the leading recorded cause of death in England and Wales, surpassing heart disease in recent years (Office for National Statistics, 2022), highlighting the profound challenge it poses to individuals, households, and health systems.</w:t>
      </w:r>
    </w:p>
    <w:p w14:paraId="43D76939" w14:textId="77777777" w:rsidR="00693A2E" w:rsidRDefault="002F7E1C">
      <w:pPr>
        <w:spacing w:before="120" w:after="60"/>
        <w:jc w:val="center"/>
      </w:pPr>
      <w:r>
        <w:rPr>
          <w:noProof/>
        </w:rPr>
        <w:lastRenderedPageBreak/>
        <w:drawing>
          <wp:inline distT="0" distB="0" distL="0" distR="0" wp14:anchorId="24B1D1A3" wp14:editId="54C40E70">
            <wp:extent cx="5048250" cy="2838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048250" cy="2838450"/>
                    </a:xfrm>
                    <a:prstGeom prst="rect">
                      <a:avLst/>
                    </a:prstGeom>
                  </pic:spPr>
                </pic:pic>
              </a:graphicData>
            </a:graphic>
          </wp:inline>
        </w:drawing>
      </w:r>
    </w:p>
    <w:p w14:paraId="39EC76F7" w14:textId="77777777" w:rsidR="00693A2E" w:rsidRDefault="002F7E1C">
      <w:pPr>
        <w:spacing w:after="200"/>
        <w:jc w:val="center"/>
      </w:pPr>
      <w:r>
        <w:rPr>
          <w:i/>
          <w:iCs/>
          <w:color w:val="444444"/>
          <w:sz w:val="19"/>
          <w:szCs w:val="19"/>
        </w:rPr>
        <w:t>Figure 1: UK Dementia Prevalence - Recorded Figures (2014-2024) and Projections to 2040 (Sources: Alzheimer's Research UK, 2023; Wittenberg et al., 2019)</w:t>
      </w:r>
    </w:p>
    <w:p w14:paraId="3F9CB19B" w14:textId="77777777" w:rsidR="00693A2E" w:rsidRDefault="002F7E1C">
      <w:pPr>
        <w:spacing w:before="120" w:after="60"/>
        <w:jc w:val="center"/>
      </w:pPr>
      <w:r>
        <w:rPr>
          <w:noProof/>
        </w:rPr>
        <w:drawing>
          <wp:inline distT="0" distB="0" distL="0" distR="0" wp14:anchorId="006ACFAF" wp14:editId="1CAE1CC1">
            <wp:extent cx="4381500" cy="3143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381500" cy="3143250"/>
                    </a:xfrm>
                    <a:prstGeom prst="rect">
                      <a:avLst/>
                    </a:prstGeom>
                  </pic:spPr>
                </pic:pic>
              </a:graphicData>
            </a:graphic>
          </wp:inline>
        </w:drawing>
      </w:r>
    </w:p>
    <w:p w14:paraId="795652E8" w14:textId="77777777" w:rsidR="00693A2E" w:rsidRDefault="002F7E1C">
      <w:pPr>
        <w:spacing w:after="200"/>
        <w:jc w:val="center"/>
      </w:pPr>
      <w:r>
        <w:rPr>
          <w:i/>
          <w:iCs/>
          <w:color w:val="444444"/>
          <w:sz w:val="19"/>
          <w:szCs w:val="19"/>
        </w:rPr>
        <w:t>Figure 2: Distribution of Dementia Types Among UK Diagnoses (Sources: Alzheimer's Disease International, 2023; Alzheimer's Society, 2022)</w:t>
      </w:r>
    </w:p>
    <w:p w14:paraId="7FB7990B" w14:textId="77777777" w:rsidR="00693A2E" w:rsidRDefault="002F7E1C">
      <w:pPr>
        <w:pStyle w:val="Heading1"/>
        <w:pBdr>
          <w:bottom w:val="single" w:sz="6" w:space="1" w:color="1F3864"/>
        </w:pBdr>
      </w:pPr>
      <w:r>
        <w:t>Main Body</w:t>
      </w:r>
    </w:p>
    <w:p w14:paraId="41774A7C" w14:textId="77777777" w:rsidR="00693A2E" w:rsidRDefault="002F7E1C">
      <w:pPr>
        <w:pStyle w:val="Heading2"/>
      </w:pPr>
      <w:r>
        <w:t>i. Monitoring and Measuring Dementia at a Population Level</w:t>
      </w:r>
    </w:p>
    <w:p w14:paraId="18714AE5" w14:textId="77777777" w:rsidR="00693A2E" w:rsidRDefault="002F7E1C">
      <w:pPr>
        <w:spacing w:before="80" w:after="80" w:line="360" w:lineRule="auto"/>
        <w:jc w:val="both"/>
      </w:pPr>
      <w:r>
        <w:t xml:space="preserve">Any meaningful public health intervention must be underpinned by a sound body of evidence. Epidemiologists gather this through two principal approaches: prevalence studies, which determine the number of individuals living with dementia at a particular point in time, and incidence studies, which quantify newly arising cases within a defined period. Long-term projects such as the English Longitudinal Study of Ageing have proven especially informative, monitoring the health </w:t>
      </w:r>
      <w:r>
        <w:lastRenderedPageBreak/>
        <w:t>and social conditions of thousands of adults aged 50 and above to pinpoint the factors associated with increased dementia risk (Banks et al., 2019).</w:t>
      </w:r>
    </w:p>
    <w:p w14:paraId="4D52F07B" w14:textId="77777777" w:rsidR="00693A2E" w:rsidRDefault="00693A2E">
      <w:pPr>
        <w:spacing w:before="40" w:after="40"/>
      </w:pPr>
    </w:p>
    <w:p w14:paraId="01E08EDB" w14:textId="77777777" w:rsidR="00693A2E" w:rsidRDefault="002F7E1C">
      <w:pPr>
        <w:spacing w:before="80" w:after="80" w:line="360" w:lineRule="auto"/>
        <w:jc w:val="both"/>
      </w:pPr>
      <w:r>
        <w:t>At the individual clinical level, healthcare practitioners employ standardised cognitive testing tools to identify and track cognitive decline in patients. Instruments such as the Mini-Mental State Examination and the Montreal Cognitive Assessment are routinely administered in GP settings and specialist memory services to screen for impairment and chart its progression over time (Folstein et al., 1975; Nasreddine et al., 2005). Advances in neuroimaging have further extended diagnostic capabilities: MRI and PET scans can now reveal brain changes characteristic of dementia prior to the onset of visible symptoms, facilitating earlier therapeutic intervention (Jack et al., 2018). At the national level, NHS Digital and Public Health England draw on data derived from GP records, hospital activity, and mortality registrations to build a comprehensive picture of the condition across England. The Quality and Outcomes Framework reinforces this effort by incentivising GPs to keep accurate and current dementia registers for their patient populations (NHS Digital, 2022).</w:t>
      </w:r>
    </w:p>
    <w:p w14:paraId="1ED517D1" w14:textId="77777777" w:rsidR="00693A2E" w:rsidRDefault="00693A2E">
      <w:pPr>
        <w:spacing w:before="40" w:after="40"/>
      </w:pPr>
    </w:p>
    <w:tbl>
      <w:tblPr>
        <w:tblW w:w="9026" w:type="dxa"/>
        <w:tblInd w:w="-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93A2E" w14:paraId="32FFB9A5" w14:textId="77777777">
        <w:tc>
          <w:tcPr>
            <w:tcW w:w="9026" w:type="dxa"/>
            <w:tcBorders>
              <w:top w:val="single" w:sz="4" w:space="0" w:color="2E75B6"/>
              <w:left w:val="single" w:sz="16" w:space="0" w:color="1F3864"/>
              <w:bottom w:val="single" w:sz="4" w:space="0" w:color="2E75B6"/>
              <w:right w:val="single" w:sz="4" w:space="0" w:color="2E75B6"/>
            </w:tcBorders>
            <w:shd w:val="clear" w:color="auto" w:fill="DEEAF1"/>
            <w:tcMar>
              <w:top w:w="120" w:type="dxa"/>
              <w:left w:w="200" w:type="dxa"/>
              <w:bottom w:w="120" w:type="dxa"/>
              <w:right w:w="200" w:type="dxa"/>
            </w:tcMar>
          </w:tcPr>
          <w:p w14:paraId="6FFF5F81" w14:textId="77777777" w:rsidR="00693A2E" w:rsidRDefault="002F7E1C">
            <w:r>
              <w:rPr>
                <w:b/>
                <w:bCs/>
                <w:color w:val="1F3864"/>
              </w:rPr>
              <w:t>UK Key Stat: As of 2024, fewer than two-thirds of individuals estimated to be living with dementia in England have a formal diagnosis recorded on a GP register (NHS Digital, 2022), a long-standing shortfall that continues to restrict timely access to appropriate care and support.</w:t>
            </w:r>
          </w:p>
        </w:tc>
      </w:tr>
    </w:tbl>
    <w:p w14:paraId="1781CA6F" w14:textId="77777777" w:rsidR="00693A2E" w:rsidRDefault="00693A2E">
      <w:pPr>
        <w:spacing w:before="40" w:after="40"/>
      </w:pPr>
    </w:p>
    <w:p w14:paraId="693FAF7B" w14:textId="77777777" w:rsidR="00693A2E" w:rsidRDefault="002F7E1C">
      <w:pPr>
        <w:pStyle w:val="Heading2"/>
      </w:pPr>
      <w:r>
        <w:t>ii. Approaches to Managing and Minimising the Effects of Dementia</w:t>
      </w:r>
    </w:p>
    <w:p w14:paraId="4B3BF380" w14:textId="77777777" w:rsidR="00693A2E" w:rsidRDefault="002F7E1C">
      <w:pPr>
        <w:spacing w:before="80" w:after="80" w:line="360" w:lineRule="auto"/>
        <w:jc w:val="both"/>
      </w:pPr>
      <w:r>
        <w:t>In the absence of a cure, the management of dementia is organised around three primary objectives: prevention where feasible, timely identification of the condition, and enabling those affected to sustain the highest possible quality of life. A growing body of evidence connects a variety of lifestyle and health-related variables to long-term dementia risk. The 2020 Lancet Commission pinpointed twelve modifiable risk factors, among them physical inactivity, smoking, heavy alcohol consumption, obesity, elevated blood pressure, and social isolation, which collectively may explain up to 40 per cent of all dementia cases globally (Livingston et al., 2020). Public health initiatives promoting physical activity, balanced diets, and the effective control of conditions such as hypertension therefore hold genuine preventive potential at a population scale.</w:t>
      </w:r>
    </w:p>
    <w:p w14:paraId="55F94BF7" w14:textId="77777777" w:rsidR="00693A2E" w:rsidRDefault="002F7E1C">
      <w:pPr>
        <w:spacing w:before="120" w:after="60"/>
        <w:jc w:val="center"/>
      </w:pPr>
      <w:r>
        <w:rPr>
          <w:noProof/>
        </w:rPr>
        <w:lastRenderedPageBreak/>
        <w:drawing>
          <wp:inline distT="0" distB="0" distL="0" distR="0" wp14:anchorId="5E91EA16" wp14:editId="1ECE2865">
            <wp:extent cx="5048250" cy="34766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048250" cy="3476625"/>
                    </a:xfrm>
                    <a:prstGeom prst="rect">
                      <a:avLst/>
                    </a:prstGeom>
                  </pic:spPr>
                </pic:pic>
              </a:graphicData>
            </a:graphic>
          </wp:inline>
        </w:drawing>
      </w:r>
    </w:p>
    <w:p w14:paraId="57E43419" w14:textId="77777777" w:rsidR="00693A2E" w:rsidRDefault="002F7E1C">
      <w:pPr>
        <w:spacing w:after="200"/>
        <w:jc w:val="center"/>
      </w:pPr>
      <w:r>
        <w:rPr>
          <w:i/>
          <w:iCs/>
          <w:color w:val="444444"/>
          <w:sz w:val="19"/>
          <w:szCs w:val="19"/>
        </w:rPr>
        <w:t>Figure 3: Modifiable Risk Factors for Dementia and Their Population Attributable Fractions (Source: Livingston et al., 2020 - Lancet Commission; applied to UK context)</w:t>
      </w:r>
    </w:p>
    <w:p w14:paraId="68AF761A" w14:textId="77777777" w:rsidR="00693A2E" w:rsidRDefault="00693A2E">
      <w:pPr>
        <w:spacing w:before="40" w:after="40"/>
      </w:pPr>
    </w:p>
    <w:p w14:paraId="2E52A72D" w14:textId="77777777" w:rsidR="00693A2E" w:rsidRDefault="002F7E1C">
      <w:pPr>
        <w:spacing w:before="80" w:after="80" w:line="360" w:lineRule="auto"/>
        <w:jc w:val="both"/>
      </w:pPr>
      <w:r>
        <w:t>In the United Kingdom, consecutive governments have worked to expand access to early diagnosis through the National Dementia Strategy. The reasoning is well established: an earlier diagnosis generally results in improved patient outcomes and reduced long-term costs to health services (Department of Health and Social Care, 2021). Where pharmacological treatment is considered appropriate, medications such as donepezil and memantine can produce modest delays in cognitive decline for patients with Alzheimer’s disease, though neither is capable of halting or reversing the underlying neurological deterioration (NICE, 2018). Non-pharmacological interventions, including cognitive stimulation therapy, reminiscence-based work, and music activities, have also demonstrated meaningful benefits in supporting emotional well-being and helping individuals with dementia retain a sense of self (Woods et al., 2012). Collectively, these strategies embody the recognition that addressing dementia requires not only clinical action but also wider societal shifts, including greater public awareness, reduced stigma, and proper acknowledgement of the indispensable role of unpaid carers.</w:t>
      </w:r>
    </w:p>
    <w:p w14:paraId="33E43A1F" w14:textId="77777777" w:rsidR="00693A2E" w:rsidRDefault="002F7E1C">
      <w:pPr>
        <w:pStyle w:val="Heading2"/>
      </w:pPr>
      <w:r>
        <w:t>iii. The Impact of Dementia on Individuals, Families, and Society</w:t>
      </w:r>
    </w:p>
    <w:p w14:paraId="559689C2" w14:textId="77777777" w:rsidR="00693A2E" w:rsidRDefault="002F7E1C">
      <w:pPr>
        <w:spacing w:before="80" w:after="80" w:line="360" w:lineRule="auto"/>
        <w:jc w:val="both"/>
      </w:pPr>
      <w:r>
        <w:t xml:space="preserve">Living with dementia entails a gradual erosion of memory, autonomy, and self-assurance. As the illness progresses, individuals find it increasingly difficult to sustain the relationships and pursuits that previously brought meaning to their lives. The psychological toll is considerable: over two in five people with dementia will experience depression or anxiety at some point during the course of their illness (Alzheimer’s Society, 2022). Social withdrawal is also common, arising either from </w:t>
      </w:r>
      <w:r>
        <w:lastRenderedPageBreak/>
        <w:t>a sense of embarrassment or because the condition itself makes certain social situations more difficult to navigate safely.</w:t>
      </w:r>
    </w:p>
    <w:p w14:paraId="0B2FB0CB" w14:textId="77777777" w:rsidR="00693A2E" w:rsidRDefault="00693A2E">
      <w:pPr>
        <w:spacing w:before="40" w:after="40"/>
      </w:pPr>
    </w:p>
    <w:p w14:paraId="3F9E2301" w14:textId="77777777" w:rsidR="00693A2E" w:rsidRDefault="002F7E1C">
      <w:pPr>
        <w:spacing w:before="80" w:after="80" w:line="360" w:lineRule="auto"/>
        <w:jc w:val="both"/>
      </w:pPr>
      <w:r>
        <w:t>The effects of dementia reach well beyond the person who receives the diagnosis. Across the United Kingdom, around 700,000 individuals provide unpaid care to a family member or close friend with the condition, and a significant proportion report lasting consequences for their own physical and mental well-being (Carers UK, 2021). Carer burnout, in which prolonged stress and fatigue diminish an individual’s capacity to continue providing care, is widely documented and raises serious concerns about the long-term viability of informal caregiving. The economic burden is equally striking: dementia is estimated to cost the UK approximately 34.7 billion pounds annually, a figure projected to increase substantially as the population continues to age (Wittenberg et al., 2019).</w:t>
      </w:r>
    </w:p>
    <w:p w14:paraId="30B1AD3D" w14:textId="77777777" w:rsidR="00693A2E" w:rsidRDefault="002F7E1C">
      <w:pPr>
        <w:spacing w:before="120" w:after="60"/>
        <w:jc w:val="center"/>
      </w:pPr>
      <w:r>
        <w:rPr>
          <w:noProof/>
        </w:rPr>
        <w:drawing>
          <wp:inline distT="0" distB="0" distL="0" distR="0" wp14:anchorId="65F0771E" wp14:editId="55169E3A">
            <wp:extent cx="4667250" cy="2838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667250" cy="2838450"/>
                    </a:xfrm>
                    <a:prstGeom prst="rect">
                      <a:avLst/>
                    </a:prstGeom>
                  </pic:spPr>
                </pic:pic>
              </a:graphicData>
            </a:graphic>
          </wp:inline>
        </w:drawing>
      </w:r>
    </w:p>
    <w:p w14:paraId="2B4FC8C4" w14:textId="77777777" w:rsidR="00693A2E" w:rsidRDefault="002F7E1C">
      <w:pPr>
        <w:spacing w:after="200"/>
        <w:jc w:val="center"/>
      </w:pPr>
      <w:r>
        <w:rPr>
          <w:i/>
          <w:iCs/>
          <w:color w:val="444444"/>
          <w:sz w:val="19"/>
          <w:szCs w:val="19"/>
        </w:rPr>
        <w:t>Figure 4: Impact of Dementia Caregiving on Unpaid Carers in the UK (Source: Carers UK, State of Caring Report, 2021)</w:t>
      </w:r>
    </w:p>
    <w:p w14:paraId="2ED5C53F" w14:textId="77777777" w:rsidR="00693A2E" w:rsidRDefault="00693A2E">
      <w:pPr>
        <w:spacing w:before="40" w:after="40"/>
      </w:pPr>
    </w:p>
    <w:p w14:paraId="59FCC4A6" w14:textId="77777777" w:rsidR="00693A2E" w:rsidRDefault="002F7E1C">
      <w:pPr>
        <w:spacing w:before="120" w:after="60"/>
        <w:jc w:val="center"/>
      </w:pPr>
      <w:r>
        <w:rPr>
          <w:noProof/>
        </w:rPr>
        <w:lastRenderedPageBreak/>
        <w:drawing>
          <wp:inline distT="0" distB="0" distL="0" distR="0" wp14:anchorId="5FC0F93A" wp14:editId="0925FDF7">
            <wp:extent cx="5048250" cy="28384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048250" cy="2838450"/>
                    </a:xfrm>
                    <a:prstGeom prst="rect">
                      <a:avLst/>
                    </a:prstGeom>
                  </pic:spPr>
                </pic:pic>
              </a:graphicData>
            </a:graphic>
          </wp:inline>
        </w:drawing>
      </w:r>
    </w:p>
    <w:p w14:paraId="5110E813" w14:textId="77777777" w:rsidR="00693A2E" w:rsidRDefault="002F7E1C">
      <w:pPr>
        <w:spacing w:after="200"/>
        <w:jc w:val="center"/>
      </w:pPr>
      <w:r>
        <w:rPr>
          <w:i/>
          <w:iCs/>
          <w:color w:val="444444"/>
          <w:sz w:val="19"/>
          <w:szCs w:val="19"/>
        </w:rPr>
        <w:t>Figure 5: Annual Economic Cost of Dementia in the UK by Category (Source: Wittenberg et al., 2019 - CPEC Working Paper)</w:t>
      </w:r>
    </w:p>
    <w:p w14:paraId="10A3FD98" w14:textId="77777777" w:rsidR="00693A2E" w:rsidRDefault="00693A2E">
      <w:pPr>
        <w:spacing w:before="40" w:after="40"/>
      </w:pPr>
    </w:p>
    <w:p w14:paraId="7E4457C7" w14:textId="77777777" w:rsidR="00693A2E" w:rsidRDefault="002F7E1C">
      <w:pPr>
        <w:spacing w:before="80" w:after="80" w:line="360" w:lineRule="auto"/>
        <w:jc w:val="both"/>
      </w:pPr>
      <w:r>
        <w:t>At a community level, those living with cognitive impairment face heightened risks of falls, becoming disoriented, financial exploitation, and insufficient oversight, all of which generate increasing pressures on local services, housing providers, and community volunteers. The dementia-friendly communities initiative, actively promoted in the United Kingdom by the Alzheimer’s Society, has sought to make public spaces, local businesses, and community institutions more navigable and inclusive for people living with cognitive difficulties (Alzheimer’s Society, 2022).</w:t>
      </w:r>
    </w:p>
    <w:p w14:paraId="1EE869E7" w14:textId="77777777" w:rsidR="00693A2E" w:rsidRDefault="00693A2E">
      <w:pPr>
        <w:spacing w:before="40" w:after="40"/>
      </w:pPr>
    </w:p>
    <w:tbl>
      <w:tblPr>
        <w:tblW w:w="9026" w:type="dxa"/>
        <w:tblInd w:w="-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93A2E" w14:paraId="32B94DB5" w14:textId="77777777">
        <w:tc>
          <w:tcPr>
            <w:tcW w:w="9026" w:type="dxa"/>
            <w:tcBorders>
              <w:top w:val="single" w:sz="4" w:space="0" w:color="2E75B6"/>
              <w:left w:val="single" w:sz="16" w:space="0" w:color="1F3864"/>
              <w:bottom w:val="single" w:sz="4" w:space="0" w:color="2E75B6"/>
              <w:right w:val="single" w:sz="4" w:space="0" w:color="2E75B6"/>
            </w:tcBorders>
            <w:shd w:val="clear" w:color="auto" w:fill="DEEAF1"/>
            <w:tcMar>
              <w:top w:w="120" w:type="dxa"/>
              <w:left w:w="200" w:type="dxa"/>
              <w:bottom w:w="120" w:type="dxa"/>
              <w:right w:w="200" w:type="dxa"/>
            </w:tcMar>
          </w:tcPr>
          <w:p w14:paraId="55337917" w14:textId="77777777" w:rsidR="00693A2E" w:rsidRDefault="002F7E1C">
            <w:r>
              <w:rPr>
                <w:b/>
                <w:bCs/>
                <w:color w:val="1F3864"/>
              </w:rPr>
              <w:t>UK Fact: The annual economic cost of dementia in the United Kingdom (34.7 billion pounds) surpasses the combined yearly expenditure on cancer and heart disease. Informal, unpaid care accounts for the largest single portion of this total, representing approximately 13.9 billion pounds (Wittenberg et al., 2019).</w:t>
            </w:r>
          </w:p>
        </w:tc>
      </w:tr>
    </w:tbl>
    <w:p w14:paraId="09E6F73E" w14:textId="77777777" w:rsidR="00693A2E" w:rsidRDefault="00693A2E">
      <w:pPr>
        <w:spacing w:before="40" w:after="40"/>
      </w:pPr>
    </w:p>
    <w:p w14:paraId="7CA7BADE" w14:textId="77777777" w:rsidR="00693A2E" w:rsidRDefault="002F7E1C">
      <w:pPr>
        <w:pStyle w:val="Heading2"/>
      </w:pPr>
      <w:r>
        <w:t>iv. The Contribution of Health, Social Care, and Voluntary Sector Provision</w:t>
      </w:r>
    </w:p>
    <w:p w14:paraId="49B8E370" w14:textId="77777777" w:rsidR="00693A2E" w:rsidRDefault="002F7E1C">
      <w:pPr>
        <w:spacing w:before="80" w:after="80" w:line="360" w:lineRule="auto"/>
        <w:jc w:val="both"/>
      </w:pPr>
      <w:r>
        <w:t>People living with dementia commonly rely on support from multiple components of the care system, and the character of that support evolves as the condition advances. General practitioners are typically the first professional point of contact, recognising early warning signs and directing patients towards specialist memory assessment services. These services are delivered by multidisciplinary teams comprising psychiatrists, psychologists, and specialist nurses, who conduct comprehensive assessments and provide tailored post-diagnostic support. Admiral Nurses, who are trained specifically to support families affected by dementia, are widely regarded as one of the most valued specialist resources in this field (Dementia UK, 2023).</w:t>
      </w:r>
    </w:p>
    <w:p w14:paraId="54FA2537" w14:textId="77777777" w:rsidR="00693A2E" w:rsidRDefault="00693A2E">
      <w:pPr>
        <w:spacing w:before="40" w:after="40"/>
      </w:pPr>
    </w:p>
    <w:p w14:paraId="1B728D8B" w14:textId="77777777" w:rsidR="00693A2E" w:rsidRDefault="002F7E1C">
      <w:pPr>
        <w:spacing w:before="80" w:after="80" w:line="360" w:lineRule="auto"/>
        <w:jc w:val="both"/>
      </w:pPr>
      <w:r>
        <w:t>Community-based provision serves as a vital link between formal clinical services and everyday home life. Day centres and peer support groups offer opportunities for purposeful activity and meaningful social engagement, both of which have been shown to enhance well-being and reduce feelings of isolation. Carer respite programmes provide family members with essential periods of rest, helping to guard against burnout. Occupational therapists assist individuals in maintaining independence by adapting their home environments and daily routines to meet their evolving needs (College of Occupational Therapists, 2015). When home-based care is no longer adequate, residential or nursing home placement may become necessary. Under the Care Act 2014, local authorities carry a statutory obligation to assess care needs and arrange appropriate provision, though the means-testing framework imposes a considerable financial burden on many households (Local Government Association, 2020). The voluntary sector provides an additional and indispensable tier of support. Organisations such as the Alzheimer’s Society, Dementia UK, and Age UK operate helplines, facilitate peer support groups, offer befriending services, and advise on legal and financial matters, frequently acting as the first port of call for individuals and families following a new diagnosis (Age UK, 2022).</w:t>
      </w:r>
    </w:p>
    <w:p w14:paraId="14ACC9D1" w14:textId="77777777" w:rsidR="00693A2E" w:rsidRDefault="00693A2E">
      <w:pPr>
        <w:spacing w:before="40" w:after="40"/>
      </w:pPr>
    </w:p>
    <w:tbl>
      <w:tblPr>
        <w:tblW w:w="9026" w:type="dxa"/>
        <w:tblInd w:w="-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693A2E" w14:paraId="472BB47A" w14:textId="77777777">
        <w:tc>
          <w:tcPr>
            <w:tcW w:w="9026" w:type="dxa"/>
            <w:tcBorders>
              <w:top w:val="single" w:sz="4" w:space="0" w:color="2E75B6"/>
              <w:left w:val="single" w:sz="16" w:space="0" w:color="1F3864"/>
              <w:bottom w:val="single" w:sz="4" w:space="0" w:color="2E75B6"/>
              <w:right w:val="single" w:sz="4" w:space="0" w:color="2E75B6"/>
            </w:tcBorders>
            <w:shd w:val="clear" w:color="auto" w:fill="DEEAF1"/>
            <w:tcMar>
              <w:top w:w="120" w:type="dxa"/>
              <w:left w:w="200" w:type="dxa"/>
              <w:bottom w:w="120" w:type="dxa"/>
              <w:right w:w="200" w:type="dxa"/>
            </w:tcMar>
          </w:tcPr>
          <w:p w14:paraId="43C712DE" w14:textId="77777777" w:rsidR="00693A2E" w:rsidRDefault="002F7E1C">
            <w:r>
              <w:rPr>
                <w:b/>
                <w:bCs/>
                <w:color w:val="1F3864"/>
              </w:rPr>
              <w:t>UK Context: Under the Care Act 2014, individuals whose total assets exceed 23,250 pounds are required to meet the full cost of their care independently, a threshold that has remained unchanged in real terms since 2010, resulting in significant financial strain for a large number of families (Local Government Association, 2020).</w:t>
            </w:r>
          </w:p>
        </w:tc>
      </w:tr>
    </w:tbl>
    <w:p w14:paraId="72B78063" w14:textId="77777777" w:rsidR="00693A2E" w:rsidRDefault="00693A2E">
      <w:pPr>
        <w:spacing w:before="40" w:after="40"/>
      </w:pPr>
    </w:p>
    <w:p w14:paraId="04C54E87" w14:textId="77777777" w:rsidR="00693A2E" w:rsidRDefault="002F7E1C">
      <w:pPr>
        <w:pStyle w:val="Heading1"/>
        <w:pBdr>
          <w:bottom w:val="single" w:sz="6" w:space="1" w:color="1F3864"/>
        </w:pBdr>
      </w:pPr>
      <w:r>
        <w:t>Final Thoughts</w:t>
      </w:r>
    </w:p>
    <w:p w14:paraId="20624E90" w14:textId="77777777" w:rsidR="00693A2E" w:rsidRDefault="002F7E1C">
      <w:pPr>
        <w:spacing w:before="80" w:after="80" w:line="360" w:lineRule="auto"/>
        <w:jc w:val="both"/>
      </w:pPr>
      <w:r>
        <w:t>Dementia stands as one of the defining public health challenges of the present generation, with far-reaching consequences that touch every dimension of society. It places profound strain on families, demands that communities become more inclusive and accommodating, and exerts growing pressure on health and care services. Although a curative treatment remains elusive, substantial progress has been achieved in identifying risk factors, advancing early detection, and developing services and therapies that enable people to live well with the condition. The social and economic costs are already considerable and will only escalate without sustained, coordinated action across all tiers of government and civil society. What is required is a comprehensive response that places prevention at its core, advances timely diagnosis, genuinely recognises and resources unpaid carers, and guarantees that high-quality care is accessible to all who require it. In the United Kingdom, where nearly a million people are already living with dementia and that figure is set to rise sharply in the coming decades, the imperative to construct such a response is both pressing and undeniable.</w:t>
      </w:r>
    </w:p>
    <w:p w14:paraId="766CA2A8" w14:textId="77777777" w:rsidR="00693A2E" w:rsidRDefault="002F7E1C">
      <w:pPr>
        <w:pStyle w:val="Heading1"/>
        <w:pBdr>
          <w:bottom w:val="single" w:sz="6" w:space="1" w:color="1F3864"/>
        </w:pBdr>
      </w:pPr>
      <w:r>
        <w:lastRenderedPageBreak/>
        <w:t>References</w:t>
      </w:r>
    </w:p>
    <w:p w14:paraId="40A8F7A6" w14:textId="77777777" w:rsidR="00693A2E" w:rsidRDefault="002F7E1C">
      <w:pPr>
        <w:spacing w:before="60" w:after="60" w:line="320" w:lineRule="auto"/>
        <w:ind w:left="360" w:hanging="360"/>
      </w:pPr>
      <w:r>
        <w:rPr>
          <w:sz w:val="20"/>
          <w:szCs w:val="20"/>
        </w:rPr>
        <w:t>Age UK (2022) Dementia support services. Available at: https://www.ageuk.org.uk (Accessed: 15 March 2026).</w:t>
      </w:r>
    </w:p>
    <w:p w14:paraId="2D317572" w14:textId="77777777" w:rsidR="00693A2E" w:rsidRDefault="002F7E1C">
      <w:pPr>
        <w:spacing w:before="60" w:after="60" w:line="320" w:lineRule="auto"/>
        <w:ind w:left="360" w:hanging="360"/>
      </w:pPr>
      <w:r>
        <w:rPr>
          <w:sz w:val="20"/>
          <w:szCs w:val="20"/>
        </w:rPr>
        <w:t>Alzheimer's Disease International (2023) World Alzheimer Report 2023. London: Alzheimer's Disease International.</w:t>
      </w:r>
    </w:p>
    <w:p w14:paraId="5D735D98" w14:textId="77777777" w:rsidR="00693A2E" w:rsidRDefault="002F7E1C">
      <w:pPr>
        <w:spacing w:before="60" w:after="60" w:line="320" w:lineRule="auto"/>
        <w:ind w:left="360" w:hanging="360"/>
      </w:pPr>
      <w:r>
        <w:rPr>
          <w:sz w:val="20"/>
          <w:szCs w:val="20"/>
        </w:rPr>
        <w:t>Alzheimer's Research UK (2023) Dementia statistics. Available at: https://www.alzheimersresearchuk.org (Accessed: 15 March 2026).</w:t>
      </w:r>
    </w:p>
    <w:p w14:paraId="2DDA7F7D" w14:textId="77777777" w:rsidR="00693A2E" w:rsidRDefault="002F7E1C">
      <w:pPr>
        <w:spacing w:before="60" w:after="60" w:line="320" w:lineRule="auto"/>
        <w:ind w:left="360" w:hanging="360"/>
      </w:pPr>
      <w:r>
        <w:rPr>
          <w:sz w:val="20"/>
          <w:szCs w:val="20"/>
        </w:rPr>
        <w:t>Alzheimer's Society (2022) Dementia UK Report. 3rd edn. London: Alzheimer's Society.</w:t>
      </w:r>
    </w:p>
    <w:p w14:paraId="3259AE23" w14:textId="77777777" w:rsidR="00693A2E" w:rsidRDefault="002F7E1C">
      <w:pPr>
        <w:spacing w:before="60" w:after="60" w:line="320" w:lineRule="auto"/>
        <w:ind w:left="360" w:hanging="360"/>
      </w:pPr>
      <w:r>
        <w:rPr>
          <w:sz w:val="20"/>
          <w:szCs w:val="20"/>
        </w:rPr>
        <w:t>Banks, J., Batty, G.D., Coughlin, K., Dangerfield, P., Marmot, M., Nazroo, J., Oldfield, Z., Steel, N., Steptoe, A., Wood, M. and Zaninotto, P. (2019) English Longitudinal Study of Ageing: waves 0-9, 1998-2019. UK Data Service. SN: 5050.</w:t>
      </w:r>
    </w:p>
    <w:p w14:paraId="357A3262" w14:textId="77777777" w:rsidR="00693A2E" w:rsidRDefault="002F7E1C">
      <w:pPr>
        <w:spacing w:before="60" w:after="60" w:line="320" w:lineRule="auto"/>
        <w:ind w:left="360" w:hanging="360"/>
      </w:pPr>
      <w:r>
        <w:rPr>
          <w:sz w:val="20"/>
          <w:szCs w:val="20"/>
        </w:rPr>
        <w:t>Carers UK (2021) State of Caring 2021: A snapshot of unpaid care in the UK. London: Carers UK.</w:t>
      </w:r>
    </w:p>
    <w:p w14:paraId="2BEB9FE3" w14:textId="77777777" w:rsidR="00693A2E" w:rsidRDefault="002F7E1C">
      <w:pPr>
        <w:spacing w:before="60" w:after="60" w:line="320" w:lineRule="auto"/>
        <w:ind w:left="360" w:hanging="360"/>
      </w:pPr>
      <w:r>
        <w:rPr>
          <w:sz w:val="20"/>
          <w:szCs w:val="20"/>
        </w:rPr>
        <w:t>College of Occupational Therapists (2015) Living well through activity in care homes: The toolkit. London: College of Occupational Therapists.</w:t>
      </w:r>
    </w:p>
    <w:p w14:paraId="0961897B" w14:textId="77777777" w:rsidR="00693A2E" w:rsidRDefault="002F7E1C">
      <w:pPr>
        <w:spacing w:before="60" w:after="60" w:line="320" w:lineRule="auto"/>
        <w:ind w:left="360" w:hanging="360"/>
      </w:pPr>
      <w:r>
        <w:rPr>
          <w:sz w:val="20"/>
          <w:szCs w:val="20"/>
        </w:rPr>
        <w:t>Dementia UK (2023) Admiral Nursing. Available at: https://www.dementiauk.org (Accessed: 15 March 2026).</w:t>
      </w:r>
    </w:p>
    <w:p w14:paraId="7DE3E821" w14:textId="77777777" w:rsidR="00693A2E" w:rsidRDefault="002F7E1C">
      <w:pPr>
        <w:spacing w:before="60" w:after="60" w:line="320" w:lineRule="auto"/>
        <w:ind w:left="360" w:hanging="360"/>
      </w:pPr>
      <w:r>
        <w:rPr>
          <w:sz w:val="20"/>
          <w:szCs w:val="20"/>
        </w:rPr>
        <w:t>Department of Health and Social Care (2021) Dementia 2020 challenge: Final report. London: DHSC.</w:t>
      </w:r>
    </w:p>
    <w:p w14:paraId="2B4D3FE3" w14:textId="77777777" w:rsidR="00693A2E" w:rsidRDefault="002F7E1C">
      <w:pPr>
        <w:spacing w:before="60" w:after="60" w:line="320" w:lineRule="auto"/>
        <w:ind w:left="360" w:hanging="360"/>
      </w:pPr>
      <w:r>
        <w:rPr>
          <w:sz w:val="20"/>
          <w:szCs w:val="20"/>
        </w:rPr>
        <w:t>Folstein, M.F., Folstein, S.E. and McHugh, P.R. (1975) 'Mini-mental state: A practical method for grading the cognitive state of patients for the clinician', Journal of Psychiatric Research, 12(3), pp. 189-198.</w:t>
      </w:r>
    </w:p>
    <w:p w14:paraId="4D98B1B8" w14:textId="77777777" w:rsidR="00693A2E" w:rsidRDefault="002F7E1C">
      <w:pPr>
        <w:spacing w:before="60" w:after="60" w:line="320" w:lineRule="auto"/>
        <w:ind w:left="360" w:hanging="360"/>
      </w:pPr>
      <w:r>
        <w:rPr>
          <w:sz w:val="20"/>
          <w:szCs w:val="20"/>
        </w:rPr>
        <w:t>Jack, C.R., Bennett, D.A., Blennow, K., Carrillo, M.C., Dunn, B., Haeberlein, S.B. and Sperling, R. (2018) 'NIA-AA Research Framework: Toward a biological definition of Alzheimer's disease', Alzheimer's and Dementia, 14(4), pp. 535-562.</w:t>
      </w:r>
    </w:p>
    <w:p w14:paraId="75E6B9E8" w14:textId="77777777" w:rsidR="00693A2E" w:rsidRDefault="002F7E1C">
      <w:pPr>
        <w:spacing w:before="60" w:after="60" w:line="320" w:lineRule="auto"/>
        <w:ind w:left="360" w:hanging="360"/>
      </w:pPr>
      <w:r>
        <w:rPr>
          <w:sz w:val="20"/>
          <w:szCs w:val="20"/>
        </w:rPr>
        <w:t>Livingston, G., Huntley, J., Sommerlad, A., Ames, D., Ballard, C., Banerjee, S. and Mukadam, N. (2020) 'Dementia prevention, intervention, and care: 2020 report of the Lancet Commission', The Lancet, 396(10248), pp. 413-446.</w:t>
      </w:r>
    </w:p>
    <w:p w14:paraId="2F76DFDC" w14:textId="77777777" w:rsidR="00693A2E" w:rsidRDefault="002F7E1C">
      <w:pPr>
        <w:spacing w:before="60" w:after="60" w:line="320" w:lineRule="auto"/>
        <w:ind w:left="360" w:hanging="360"/>
      </w:pPr>
      <w:r>
        <w:rPr>
          <w:sz w:val="20"/>
          <w:szCs w:val="20"/>
        </w:rPr>
        <w:t>Local Government Association (2020) Dementia and the Care Act 2014. London: LGA.</w:t>
      </w:r>
    </w:p>
    <w:p w14:paraId="7E76C805" w14:textId="77777777" w:rsidR="00693A2E" w:rsidRDefault="002F7E1C">
      <w:pPr>
        <w:spacing w:before="60" w:after="60" w:line="320" w:lineRule="auto"/>
        <w:ind w:left="360" w:hanging="360"/>
      </w:pPr>
      <w:r>
        <w:rPr>
          <w:sz w:val="20"/>
          <w:szCs w:val="20"/>
        </w:rPr>
        <w:t>Nasreddine, Z.S., Phillips, N.A., Bedirian, V., Charbonneau, S., Whitehead, V., Collin, I. and Chertkow, H. (2005) 'The Montreal Cognitive Assessment, MoCA: A brief screening tool for mild cognitive impairment', Journal of the American Geriatrics Society, 53(4), pp. 695-699.</w:t>
      </w:r>
    </w:p>
    <w:p w14:paraId="2DE46480" w14:textId="77777777" w:rsidR="00693A2E" w:rsidRDefault="002F7E1C">
      <w:pPr>
        <w:spacing w:before="60" w:after="60" w:line="320" w:lineRule="auto"/>
        <w:ind w:left="360" w:hanging="360"/>
      </w:pPr>
      <w:r>
        <w:rPr>
          <w:sz w:val="20"/>
          <w:szCs w:val="20"/>
        </w:rPr>
        <w:t>NHS (2023) Dementia: Symptoms and causes. Available at: https://www.nhs.uk/conditions/dementia (Accessed: 15 March 2026).</w:t>
      </w:r>
    </w:p>
    <w:p w14:paraId="2DF03F91" w14:textId="77777777" w:rsidR="00693A2E" w:rsidRDefault="002F7E1C">
      <w:pPr>
        <w:spacing w:before="60" w:after="60" w:line="320" w:lineRule="auto"/>
        <w:ind w:left="360" w:hanging="360"/>
      </w:pPr>
      <w:r>
        <w:rPr>
          <w:sz w:val="20"/>
          <w:szCs w:val="20"/>
        </w:rPr>
        <w:t>NHS Digital (2022) Quality and Outcomes Framework 2021/22. Leeds: NHS Digital.</w:t>
      </w:r>
    </w:p>
    <w:p w14:paraId="74C378EF" w14:textId="77777777" w:rsidR="00693A2E" w:rsidRDefault="002F7E1C">
      <w:pPr>
        <w:spacing w:before="60" w:after="60" w:line="320" w:lineRule="auto"/>
        <w:ind w:left="360" w:hanging="360"/>
      </w:pPr>
      <w:r>
        <w:rPr>
          <w:sz w:val="20"/>
          <w:szCs w:val="20"/>
        </w:rPr>
        <w:t>NICE (2018) Dementia: Assessment, management and support for people living with dementia and their carers. NICE Guideline NG97. London: National Institute for Health and Care Excellence.</w:t>
      </w:r>
    </w:p>
    <w:p w14:paraId="0A03722C" w14:textId="77777777" w:rsidR="00693A2E" w:rsidRDefault="002F7E1C">
      <w:pPr>
        <w:spacing w:before="60" w:after="60" w:line="320" w:lineRule="auto"/>
        <w:ind w:left="360" w:hanging="360"/>
      </w:pPr>
      <w:r>
        <w:rPr>
          <w:sz w:val="20"/>
          <w:szCs w:val="20"/>
        </w:rPr>
        <w:t>Office for National Statistics (2022) Deaths registered in England and Wales: 2021. Newport: ONS.</w:t>
      </w:r>
    </w:p>
    <w:p w14:paraId="413FB383" w14:textId="77777777" w:rsidR="00693A2E" w:rsidRDefault="002F7E1C">
      <w:pPr>
        <w:spacing w:before="60" w:after="60" w:line="320" w:lineRule="auto"/>
        <w:ind w:left="360" w:hanging="360"/>
      </w:pPr>
      <w:r>
        <w:rPr>
          <w:sz w:val="20"/>
          <w:szCs w:val="20"/>
        </w:rPr>
        <w:t>Wittenberg, R., Hu, B., Barraza-Araiza, L.F. and Rehill, A. (2019) Projections of older people with dementia and costs of dementia care in the United Kingdom, 2019-2040. CPEC Working Paper 5. London: Care Policy and Evaluation Centre.</w:t>
      </w:r>
    </w:p>
    <w:p w14:paraId="43D684E7" w14:textId="77777777" w:rsidR="00693A2E" w:rsidRDefault="002F7E1C">
      <w:pPr>
        <w:spacing w:before="60" w:after="60" w:line="320" w:lineRule="auto"/>
        <w:ind w:left="360" w:hanging="360"/>
      </w:pPr>
      <w:r>
        <w:rPr>
          <w:sz w:val="20"/>
          <w:szCs w:val="20"/>
        </w:rPr>
        <w:t>Woods, B., Aguirre, E., Spector, A.E. and Orrell, M. (2012) 'Cognitive stimulation to improve cognitive functioning in people with dementia', Cochrane Database of Systematic Reviews, 2012(2), CD005562.</w:t>
      </w:r>
    </w:p>
    <w:p w14:paraId="17B5635E" w14:textId="77777777" w:rsidR="00693A2E" w:rsidRDefault="002F7E1C">
      <w:pPr>
        <w:spacing w:before="60" w:after="60" w:line="320" w:lineRule="auto"/>
        <w:ind w:left="360" w:hanging="360"/>
      </w:pPr>
      <w:r>
        <w:rPr>
          <w:sz w:val="20"/>
          <w:szCs w:val="20"/>
        </w:rPr>
        <w:lastRenderedPageBreak/>
        <w:t>World Health Organization (2023) Dementia. Available at: https://www.who.int/news-room/fact-sheets/detail/dementia (Accessed: 15 March 2026).</w:t>
      </w:r>
    </w:p>
    <w:sectPr w:rsidR="00693A2E">
      <w:headerReference w:type="default" r:id="rId12"/>
      <w:pgSz w:w="11906" w:h="16838"/>
      <w:pgMar w:top="1440" w:right="1260" w:bottom="1440" w:left="1260" w:header="708" w:footer="708"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F6C5E2" w14:textId="77777777" w:rsidR="0034043A" w:rsidRDefault="0034043A">
      <w:r>
        <w:separator/>
      </w:r>
    </w:p>
  </w:endnote>
  <w:endnote w:type="continuationSeparator" w:id="0">
    <w:p w14:paraId="4D5ABE34" w14:textId="77777777" w:rsidR="0034043A" w:rsidRDefault="003404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8FD7A80" w14:textId="77777777" w:rsidR="0034043A" w:rsidRDefault="0034043A">
      <w:r>
        <w:separator/>
      </w:r>
    </w:p>
  </w:footnote>
  <w:footnote w:type="continuationSeparator" w:id="0">
    <w:p w14:paraId="3EEF6E2F" w14:textId="77777777" w:rsidR="0034043A" w:rsidRDefault="0034043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967243" w14:textId="6DABDBD1" w:rsidR="00693A2E" w:rsidRDefault="00693A2E">
    <w:pPr>
      <w:pBdr>
        <w:bottom w:val="single" w:sz="4" w:space="1" w:color="1F3864"/>
      </w:pBdr>
      <w:spacing w:after="16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8A07076"/>
    <w:multiLevelType w:val="hybridMultilevel"/>
    <w:tmpl w:val="7252401A"/>
    <w:lvl w:ilvl="0" w:tplc="734C97F6">
      <w:start w:val="1"/>
      <w:numFmt w:val="bullet"/>
      <w:lvlText w:val="●"/>
      <w:lvlJc w:val="left"/>
      <w:pPr>
        <w:ind w:left="720" w:hanging="360"/>
      </w:pPr>
    </w:lvl>
    <w:lvl w:ilvl="1" w:tplc="38D22904">
      <w:start w:val="1"/>
      <w:numFmt w:val="bullet"/>
      <w:lvlText w:val="○"/>
      <w:lvlJc w:val="left"/>
      <w:pPr>
        <w:ind w:left="1440" w:hanging="360"/>
      </w:pPr>
    </w:lvl>
    <w:lvl w:ilvl="2" w:tplc="FA7897A8">
      <w:start w:val="1"/>
      <w:numFmt w:val="bullet"/>
      <w:lvlText w:val="■"/>
      <w:lvlJc w:val="left"/>
      <w:pPr>
        <w:ind w:left="2160" w:hanging="360"/>
      </w:pPr>
    </w:lvl>
    <w:lvl w:ilvl="3" w:tplc="AF76ACC8">
      <w:start w:val="1"/>
      <w:numFmt w:val="bullet"/>
      <w:lvlText w:val="●"/>
      <w:lvlJc w:val="left"/>
      <w:pPr>
        <w:ind w:left="2880" w:hanging="360"/>
      </w:pPr>
    </w:lvl>
    <w:lvl w:ilvl="4" w:tplc="EEC6DCB2">
      <w:start w:val="1"/>
      <w:numFmt w:val="bullet"/>
      <w:lvlText w:val="○"/>
      <w:lvlJc w:val="left"/>
      <w:pPr>
        <w:ind w:left="3600" w:hanging="360"/>
      </w:pPr>
    </w:lvl>
    <w:lvl w:ilvl="5" w:tplc="4A866C4C">
      <w:start w:val="1"/>
      <w:numFmt w:val="bullet"/>
      <w:lvlText w:val="■"/>
      <w:lvlJc w:val="left"/>
      <w:pPr>
        <w:ind w:left="4320" w:hanging="360"/>
      </w:pPr>
    </w:lvl>
    <w:lvl w:ilvl="6" w:tplc="0AD61604">
      <w:start w:val="1"/>
      <w:numFmt w:val="bullet"/>
      <w:lvlText w:val="●"/>
      <w:lvlJc w:val="left"/>
      <w:pPr>
        <w:ind w:left="5040" w:hanging="360"/>
      </w:pPr>
    </w:lvl>
    <w:lvl w:ilvl="7" w:tplc="186E88D2">
      <w:start w:val="1"/>
      <w:numFmt w:val="bullet"/>
      <w:lvlText w:val="●"/>
      <w:lvlJc w:val="left"/>
      <w:pPr>
        <w:ind w:left="5760" w:hanging="360"/>
      </w:pPr>
    </w:lvl>
    <w:lvl w:ilvl="8" w:tplc="581EF152">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3A2E"/>
    <w:rsid w:val="002F7E1C"/>
    <w:rsid w:val="0034043A"/>
    <w:rsid w:val="00391722"/>
    <w:rsid w:val="003E1F2F"/>
    <w:rsid w:val="00641FA0"/>
    <w:rsid w:val="00683154"/>
    <w:rsid w:val="00693A2E"/>
    <w:rsid w:val="00793077"/>
    <w:rsid w:val="00B1034A"/>
    <w:rsid w:val="00BE0D20"/>
    <w:rsid w:val="00BE5151"/>
    <w:rsid w:val="00CC2000"/>
    <w:rsid w:val="00EE4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D1193"/>
  <w15:docId w15:val="{94182E02-F89A-4A0C-B12A-E9A470716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qFormat/>
    <w:pPr>
      <w:spacing w:before="360" w:after="160"/>
      <w:outlineLvl w:val="0"/>
    </w:pPr>
    <w:rPr>
      <w:b/>
      <w:bCs/>
      <w:color w:val="1F3864"/>
      <w:sz w:val="30"/>
      <w:szCs w:val="30"/>
    </w:rPr>
  </w:style>
  <w:style w:type="paragraph" w:styleId="Heading2">
    <w:name w:val="heading 2"/>
    <w:qFormat/>
    <w:pPr>
      <w:spacing w:before="280" w:after="120"/>
      <w:outlineLvl w:val="1"/>
    </w:pPr>
    <w:rPr>
      <w:b/>
      <w:bCs/>
      <w:color w:val="2E75B6"/>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641FA0"/>
    <w:pPr>
      <w:tabs>
        <w:tab w:val="center" w:pos="4513"/>
        <w:tab w:val="right" w:pos="9026"/>
      </w:tabs>
    </w:pPr>
  </w:style>
  <w:style w:type="character" w:customStyle="1" w:styleId="HeaderChar">
    <w:name w:val="Header Char"/>
    <w:basedOn w:val="DefaultParagraphFont"/>
    <w:link w:val="Header"/>
    <w:uiPriority w:val="99"/>
    <w:rsid w:val="00641FA0"/>
  </w:style>
  <w:style w:type="paragraph" w:styleId="Footer">
    <w:name w:val="footer"/>
    <w:basedOn w:val="Normal"/>
    <w:link w:val="FooterChar"/>
    <w:uiPriority w:val="99"/>
    <w:unhideWhenUsed/>
    <w:rsid w:val="00641FA0"/>
    <w:pPr>
      <w:tabs>
        <w:tab w:val="center" w:pos="4513"/>
        <w:tab w:val="right" w:pos="9026"/>
      </w:tabs>
    </w:pPr>
  </w:style>
  <w:style w:type="character" w:customStyle="1" w:styleId="FooterChar">
    <w:name w:val="Footer Char"/>
    <w:basedOn w:val="DefaultParagraphFont"/>
    <w:link w:val="Footer"/>
    <w:uiPriority w:val="99"/>
    <w:rsid w:val="00641F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2448</Words>
  <Characters>13954</Characters>
  <Application>Microsoft Office Word</Application>
  <DocSecurity>0</DocSecurity>
  <Lines>116</Lines>
  <Paragraphs>32</Paragraphs>
  <ScaleCrop>false</ScaleCrop>
  <Company/>
  <LinksUpToDate>false</LinksUpToDate>
  <CharactersWithSpaces>16370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Kwame</cp:lastModifiedBy>
  <cp:revision>7</cp:revision>
  <dcterms:created xsi:type="dcterms:W3CDTF">2026-04-17T11:31:00Z</dcterms:created>
  <dcterms:modified xsi:type="dcterms:W3CDTF">2026-04-17T14:48:00Z</dcterms:modified>
</cp:coreProperties>
</file>