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1A7981" w:rsidRDefault="001A7981" w14:paraId="0D15216A" w14:textId="77777777"/>
    <w:p w:rsidR="001A7981" w:rsidRDefault="001A7981" w14:paraId="7EAF9ED2" w14:textId="77777777"/>
    <w:p w:rsidR="001A7981" w:rsidRDefault="001A7981" w14:paraId="326CCAC9" w14:textId="77777777">
      <w:pPr>
        <w:spacing w:line="480" w:lineRule="auto"/>
        <w:jc w:val="center"/>
        <w:rPr>
          <w:rFonts w:ascii="Times New Roman" w:hAnsi="Times New Roman" w:eastAsia="Times New Roman" w:cs="Times New Roman"/>
          <w:sz w:val="26"/>
          <w:szCs w:val="26"/>
        </w:rPr>
      </w:pPr>
    </w:p>
    <w:p w:rsidR="001A7981" w:rsidRDefault="0010593F" w14:paraId="12AC5B76" w14:textId="77777777">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Student name: Nasreen Akhtar Ahmed</w:t>
      </w:r>
    </w:p>
    <w:p w:rsidR="001A7981" w:rsidRDefault="0010593F" w14:paraId="793D7A8E" w14:textId="77777777">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Student ID: 2428725</w:t>
      </w:r>
    </w:p>
    <w:p w:rsidR="001A7981" w:rsidRDefault="0010593F" w14:paraId="46939EBC" w14:textId="77777777">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Module Code: LCHS4003</w:t>
      </w:r>
    </w:p>
    <w:p w:rsidR="002F0276" w:rsidRDefault="0010593F" w14:paraId="10F9CEBA" w14:textId="0649AE5C">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Module: Introduction to Health and Social Care</w:t>
      </w:r>
    </w:p>
    <w:p w:rsidR="002F0276" w:rsidP="785FE055" w:rsidRDefault="002F0276" w14:paraId="0A54E9EB" w14:textId="085B471B">
      <w:pPr>
        <w:spacing w:line="480" w:lineRule="auto"/>
        <w:rPr>
          <w:rFonts w:ascii="Times New Roman" w:hAnsi="Times New Roman" w:eastAsia="Times New Roman" w:cs="Times New Roman"/>
          <w:sz w:val="28"/>
          <w:szCs w:val="28"/>
          <w:lang w:val="en-US"/>
        </w:rPr>
      </w:pPr>
      <w:r w:rsidRPr="785FE055" w:rsidR="002F0276">
        <w:rPr>
          <w:rFonts w:ascii="Times New Roman" w:hAnsi="Times New Roman" w:eastAsia="Times New Roman" w:cs="Times New Roman"/>
          <w:sz w:val="28"/>
          <w:szCs w:val="28"/>
          <w:lang w:val="en-US"/>
        </w:rPr>
        <w:t>Lecturer :</w:t>
      </w:r>
      <w:r w:rsidRPr="785FE055" w:rsidR="002F0276">
        <w:rPr>
          <w:rFonts w:ascii="Times New Roman" w:hAnsi="Times New Roman" w:eastAsia="Times New Roman" w:cs="Times New Roman"/>
          <w:sz w:val="28"/>
          <w:szCs w:val="28"/>
          <w:lang w:val="en-US"/>
        </w:rPr>
        <w:t xml:space="preserve"> </w:t>
      </w:r>
      <w:r w:rsidRPr="785FE055" w:rsidR="0010593F">
        <w:rPr>
          <w:rFonts w:ascii="Times New Roman" w:hAnsi="Times New Roman" w:eastAsia="Times New Roman" w:cs="Times New Roman"/>
          <w:sz w:val="28"/>
          <w:szCs w:val="28"/>
          <w:lang w:val="en-US"/>
        </w:rPr>
        <w:t>Aishrat</w:t>
      </w:r>
      <w:r w:rsidRPr="785FE055" w:rsidR="0010593F">
        <w:rPr>
          <w:rFonts w:ascii="Times New Roman" w:hAnsi="Times New Roman" w:eastAsia="Times New Roman" w:cs="Times New Roman"/>
          <w:sz w:val="28"/>
          <w:szCs w:val="28"/>
          <w:lang w:val="en-US"/>
        </w:rPr>
        <w:t xml:space="preserve"> </w:t>
      </w:r>
      <w:r w:rsidRPr="785FE055" w:rsidR="0010593F">
        <w:rPr>
          <w:rFonts w:ascii="Times New Roman" w:hAnsi="Times New Roman" w:eastAsia="Times New Roman" w:cs="Times New Roman"/>
          <w:sz w:val="28"/>
          <w:szCs w:val="28"/>
          <w:lang w:val="en-US"/>
        </w:rPr>
        <w:t>Bakre</w:t>
      </w:r>
      <w:r w:rsidRPr="785FE055" w:rsidR="0010593F">
        <w:rPr>
          <w:rFonts w:ascii="Times New Roman" w:hAnsi="Times New Roman" w:eastAsia="Times New Roman" w:cs="Times New Roman"/>
          <w:sz w:val="28"/>
          <w:szCs w:val="28"/>
          <w:lang w:val="en-US"/>
        </w:rPr>
        <w:t xml:space="preserve"> </w:t>
      </w:r>
    </w:p>
    <w:p w:rsidR="001A7981" w:rsidRDefault="0010593F" w14:paraId="56229B21" w14:textId="77777777">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Assessment Title:  Portfolio - two tasks</w:t>
      </w:r>
    </w:p>
    <w:p w:rsidR="001A7981" w:rsidRDefault="0010593F" w14:paraId="08A623D3" w14:textId="77777777">
      <w:pPr>
        <w:spacing w:line="48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Poster Topic: Dentistry Services</w:t>
      </w:r>
    </w:p>
    <w:p w:rsidR="001A7981" w:rsidP="785FE055" w:rsidRDefault="0010593F" w14:paraId="68B8F92B" w14:textId="77777777">
      <w:pPr>
        <w:spacing w:line="480" w:lineRule="auto"/>
        <w:rPr>
          <w:rFonts w:ascii="Times New Roman" w:hAnsi="Times New Roman" w:eastAsia="Times New Roman" w:cs="Times New Roman"/>
          <w:sz w:val="28"/>
          <w:szCs w:val="28"/>
          <w:lang w:val="en-US"/>
        </w:rPr>
      </w:pPr>
      <w:r w:rsidRPr="785FE055" w:rsidR="0010593F">
        <w:rPr>
          <w:rFonts w:ascii="Times New Roman" w:hAnsi="Times New Roman" w:eastAsia="Times New Roman" w:cs="Times New Roman"/>
          <w:sz w:val="28"/>
          <w:szCs w:val="28"/>
          <w:lang w:val="en-US"/>
        </w:rPr>
        <w:t xml:space="preserve">Date: 7th </w:t>
      </w:r>
      <w:r w:rsidRPr="785FE055" w:rsidR="0010593F">
        <w:rPr>
          <w:rFonts w:ascii="Times New Roman" w:hAnsi="Times New Roman" w:eastAsia="Times New Roman" w:cs="Times New Roman"/>
          <w:sz w:val="28"/>
          <w:szCs w:val="28"/>
          <w:lang w:val="en-US"/>
        </w:rPr>
        <w:t>October,</w:t>
      </w:r>
      <w:r w:rsidRPr="785FE055" w:rsidR="0010593F">
        <w:rPr>
          <w:rFonts w:ascii="Times New Roman" w:hAnsi="Times New Roman" w:eastAsia="Times New Roman" w:cs="Times New Roman"/>
          <w:sz w:val="28"/>
          <w:szCs w:val="28"/>
          <w:lang w:val="en-US"/>
        </w:rPr>
        <w:t xml:space="preserve"> 2025</w:t>
      </w:r>
    </w:p>
    <w:p w:rsidR="001A7981" w:rsidRDefault="001A7981" w14:paraId="1B3BC436" w14:textId="77777777">
      <w:pPr>
        <w:spacing w:line="480" w:lineRule="auto"/>
      </w:pPr>
    </w:p>
    <w:p w:rsidR="001A7981" w:rsidRDefault="001A7981" w14:paraId="5EE2FA12" w14:textId="77777777"/>
    <w:p w:rsidR="001A7981" w:rsidRDefault="001A7981" w14:paraId="44A0760E" w14:textId="77777777"/>
    <w:p w:rsidR="001A7981" w:rsidRDefault="001A7981" w14:paraId="5ADDD80B" w14:textId="77777777"/>
    <w:p w:rsidR="001A7981" w:rsidRDefault="001A7981" w14:paraId="0BB5F97D" w14:textId="77777777"/>
    <w:p w:rsidR="001A7981" w:rsidRDefault="001A7981" w14:paraId="5F30DB91" w14:textId="77777777"/>
    <w:p w:rsidR="001A7981" w:rsidRDefault="001A7981" w14:paraId="70643B7D" w14:textId="77777777"/>
    <w:p w:rsidR="001A7981" w:rsidRDefault="001A7981" w14:paraId="504B273D" w14:textId="77777777"/>
    <w:p w:rsidR="001A7981" w:rsidRDefault="001A7981" w14:paraId="6E2D4086" w14:textId="77777777"/>
    <w:p w:rsidR="001A7981" w:rsidRDefault="001A7981" w14:paraId="59114E10" w14:textId="77777777"/>
    <w:p w:rsidR="001A7981" w:rsidRDefault="0010593F" w14:paraId="07EC9F8C" w14:textId="77777777">
      <w:pPr>
        <w:keepNext/>
        <w:keepLines/>
        <w:pBdr>
          <w:top w:val="nil"/>
          <w:left w:val="nil"/>
          <w:bottom w:val="nil"/>
          <w:right w:val="nil"/>
          <w:between w:val="nil"/>
        </w:pBdr>
        <w:spacing w:before="240" w:after="0" w:line="360" w:lineRule="auto"/>
        <w:jc w:val="both"/>
        <w:rPr>
          <w:rFonts w:ascii="Arial" w:hAnsi="Arial" w:eastAsia="Arial" w:cs="Arial"/>
          <w:b/>
          <w:color w:val="000000"/>
        </w:rPr>
      </w:pPr>
      <w:r>
        <w:rPr>
          <w:rFonts w:ascii="Arial" w:hAnsi="Arial" w:eastAsia="Arial" w:cs="Arial"/>
          <w:b/>
          <w:color w:val="000000"/>
        </w:rPr>
        <w:t>Contents</w:t>
      </w:r>
    </w:p>
    <w:sdt>
      <w:sdtPr>
        <w:id w:val="-1981477468"/>
        <w:docPartObj>
          <w:docPartGallery w:val="Table of Contents"/>
          <w:docPartUnique/>
        </w:docPartObj>
      </w:sdtPr>
      <w:sdtEndPr/>
      <w:sdtContent>
        <w:p w:rsidR="001A7981" w:rsidRDefault="0010593F" w14:paraId="1BB16845"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r>
            <w:fldChar w:fldCharType="begin"/>
          </w:r>
          <w:r>
            <w:instrText xml:space="preserve"> TOC \h \u \z \t "Heading 1,1,Heading 2,2,Heading 3,3,"</w:instrText>
          </w:r>
          <w:r>
            <w:fldChar w:fldCharType="separate"/>
          </w:r>
          <w:hyperlink w:anchor="_vdfo35vehdc1">
            <w:r>
              <w:rPr>
                <w:rFonts w:ascii="Arial" w:hAnsi="Arial" w:eastAsia="Arial" w:cs="Arial"/>
                <w:color w:val="000000"/>
              </w:rPr>
              <w:t>Task 1: Poster</w:t>
            </w:r>
            <w:r>
              <w:rPr>
                <w:rFonts w:ascii="Arial" w:hAnsi="Arial" w:eastAsia="Arial" w:cs="Arial"/>
                <w:color w:val="000000"/>
              </w:rPr>
              <w:tab/>
            </w:r>
            <w:r>
              <w:rPr>
                <w:rFonts w:ascii="Arial" w:hAnsi="Arial" w:eastAsia="Arial" w:cs="Arial"/>
                <w:color w:val="000000"/>
              </w:rPr>
              <w:t>2</w:t>
            </w:r>
          </w:hyperlink>
        </w:p>
        <w:p w:rsidR="001A7981" w:rsidRDefault="0010593F" w14:paraId="7FF9F18F"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mr9qz59isrr">
            <w:r>
              <w:rPr>
                <w:rFonts w:ascii="Arial" w:hAnsi="Arial" w:eastAsia="Arial" w:cs="Arial"/>
                <w:color w:val="000000"/>
              </w:rPr>
              <w:t>Introduction</w:t>
            </w:r>
            <w:r>
              <w:rPr>
                <w:rFonts w:ascii="Arial" w:hAnsi="Arial" w:eastAsia="Arial" w:cs="Arial"/>
                <w:color w:val="000000"/>
              </w:rPr>
              <w:tab/>
            </w:r>
            <w:r>
              <w:rPr>
                <w:rFonts w:ascii="Arial" w:hAnsi="Arial" w:eastAsia="Arial" w:cs="Arial"/>
                <w:color w:val="000000"/>
              </w:rPr>
              <w:t>3</w:t>
            </w:r>
          </w:hyperlink>
        </w:p>
        <w:p w:rsidR="001A7981" w:rsidRDefault="0010593F" w14:paraId="32B4FAA1"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vg0neqfbxxqq">
            <w:r>
              <w:rPr>
                <w:rFonts w:ascii="Arial" w:hAnsi="Arial" w:eastAsia="Arial" w:cs="Arial"/>
                <w:color w:val="000000"/>
              </w:rPr>
              <w:t>Origins of the NHS — Wartime coordination, Beveridge’s vision, Bevan’s settlement</w:t>
            </w:r>
            <w:r>
              <w:rPr>
                <w:rFonts w:ascii="Arial" w:hAnsi="Arial" w:eastAsia="Arial" w:cs="Arial"/>
                <w:color w:val="000000"/>
              </w:rPr>
              <w:tab/>
            </w:r>
            <w:r>
              <w:rPr>
                <w:rFonts w:ascii="Arial" w:hAnsi="Arial" w:eastAsia="Arial" w:cs="Arial"/>
                <w:color w:val="000000"/>
              </w:rPr>
              <w:t>3</w:t>
            </w:r>
          </w:hyperlink>
        </w:p>
        <w:p w:rsidR="001A7981" w:rsidRDefault="0010593F" w14:paraId="63FFB9BE"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8vtj34jsjoub">
            <w:r>
              <w:rPr>
                <w:rFonts w:ascii="Arial" w:hAnsi="Arial" w:eastAsia="Arial" w:cs="Arial"/>
                <w:color w:val="000000"/>
              </w:rPr>
              <w:t>Founding principles — Universality, Equity, Comprehensive, tax-funded and free at use</w:t>
            </w:r>
            <w:r>
              <w:rPr>
                <w:rFonts w:ascii="Arial" w:hAnsi="Arial" w:eastAsia="Arial" w:cs="Arial"/>
                <w:color w:val="000000"/>
              </w:rPr>
              <w:tab/>
            </w:r>
            <w:r>
              <w:rPr>
                <w:rFonts w:ascii="Arial" w:hAnsi="Arial" w:eastAsia="Arial" w:cs="Arial"/>
                <w:color w:val="000000"/>
              </w:rPr>
              <w:t>3</w:t>
            </w:r>
          </w:hyperlink>
        </w:p>
        <w:p w:rsidR="001A7981" w:rsidRDefault="0010593F" w14:paraId="6485A442"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ec17bq5iv6z4">
            <w:r>
              <w:rPr>
                <w:rFonts w:ascii="Arial" w:hAnsi="Arial" w:eastAsia="Arial" w:cs="Arial"/>
                <w:color w:val="000000"/>
              </w:rPr>
              <w:t>Current structure — Devolution, Commissioning and regulation, Providers</w:t>
            </w:r>
            <w:r>
              <w:rPr>
                <w:rFonts w:ascii="Arial" w:hAnsi="Arial" w:eastAsia="Arial" w:cs="Arial"/>
                <w:color w:val="000000"/>
              </w:rPr>
              <w:tab/>
            </w:r>
            <w:r>
              <w:rPr>
                <w:rFonts w:ascii="Arial" w:hAnsi="Arial" w:eastAsia="Arial" w:cs="Arial"/>
                <w:color w:val="000000"/>
              </w:rPr>
              <w:t>3</w:t>
            </w:r>
          </w:hyperlink>
        </w:p>
        <w:p w:rsidR="001A7981" w:rsidRDefault="0010593F" w14:paraId="75FB69F1"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sybjvwgycgck">
            <w:r>
              <w:rPr>
                <w:rFonts w:ascii="Arial" w:hAnsi="Arial" w:eastAsia="Arial" w:cs="Arial"/>
                <w:color w:val="000000"/>
              </w:rPr>
              <w:t>Functioning today — Strengths, Fault-lines, What would improve</w:t>
            </w:r>
            <w:r>
              <w:rPr>
                <w:rFonts w:ascii="Arial" w:hAnsi="Arial" w:eastAsia="Arial" w:cs="Arial"/>
                <w:color w:val="000000"/>
              </w:rPr>
              <w:tab/>
            </w:r>
            <w:r>
              <w:rPr>
                <w:rFonts w:ascii="Arial" w:hAnsi="Arial" w:eastAsia="Arial" w:cs="Arial"/>
                <w:color w:val="000000"/>
              </w:rPr>
              <w:t>4</w:t>
            </w:r>
          </w:hyperlink>
        </w:p>
        <w:p w:rsidR="001A7981" w:rsidRDefault="0010593F" w14:paraId="491C26F4"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kw5tppqylihn">
            <w:r>
              <w:rPr>
                <w:rFonts w:ascii="Arial" w:hAnsi="Arial" w:eastAsia="Arial" w:cs="Arial"/>
                <w:color w:val="000000"/>
              </w:rPr>
              <w:t>Conclusion</w:t>
            </w:r>
            <w:r>
              <w:rPr>
                <w:rFonts w:ascii="Arial" w:hAnsi="Arial" w:eastAsia="Arial" w:cs="Arial"/>
                <w:color w:val="000000"/>
              </w:rPr>
              <w:tab/>
            </w:r>
            <w:r>
              <w:rPr>
                <w:rFonts w:ascii="Arial" w:hAnsi="Arial" w:eastAsia="Arial" w:cs="Arial"/>
                <w:color w:val="000000"/>
              </w:rPr>
              <w:t>4</w:t>
            </w:r>
          </w:hyperlink>
        </w:p>
        <w:p w:rsidR="001A7981" w:rsidRDefault="0010593F" w14:paraId="580F47C4" w14:textId="77777777">
          <w:pPr>
            <w:pBdr>
              <w:top w:val="nil"/>
              <w:left w:val="nil"/>
              <w:bottom w:val="nil"/>
              <w:right w:val="nil"/>
              <w:between w:val="nil"/>
            </w:pBdr>
            <w:tabs>
              <w:tab w:val="right" w:pos="9350"/>
            </w:tabs>
            <w:spacing w:after="100" w:line="360" w:lineRule="auto"/>
            <w:jc w:val="both"/>
            <w:rPr>
              <w:rFonts w:ascii="Arial" w:hAnsi="Arial" w:eastAsia="Arial" w:cs="Arial"/>
              <w:color w:val="000000"/>
            </w:rPr>
          </w:pPr>
          <w:hyperlink w:anchor="_hwyctp6l4j4m">
            <w:r>
              <w:rPr>
                <w:rFonts w:ascii="Arial" w:hAnsi="Arial" w:eastAsia="Arial" w:cs="Arial"/>
                <w:color w:val="000000"/>
              </w:rPr>
              <w:t>Reference list</w:t>
            </w:r>
            <w:r>
              <w:rPr>
                <w:rFonts w:ascii="Arial" w:hAnsi="Arial" w:eastAsia="Arial" w:cs="Arial"/>
                <w:color w:val="000000"/>
              </w:rPr>
              <w:tab/>
            </w:r>
            <w:r>
              <w:rPr>
                <w:rFonts w:ascii="Arial" w:hAnsi="Arial" w:eastAsia="Arial" w:cs="Arial"/>
                <w:color w:val="000000"/>
              </w:rPr>
              <w:t>5</w:t>
            </w:r>
          </w:hyperlink>
        </w:p>
        <w:p w:rsidR="001A7981" w:rsidRDefault="0010593F" w14:paraId="5D40FDF9" w14:textId="77777777">
          <w:pPr>
            <w:spacing w:line="360" w:lineRule="auto"/>
            <w:jc w:val="both"/>
            <w:rPr>
              <w:rFonts w:ascii="Arial" w:hAnsi="Arial" w:eastAsia="Arial" w:cs="Arial"/>
            </w:rPr>
          </w:pPr>
          <w:r>
            <w:fldChar w:fldCharType="end"/>
          </w:r>
        </w:p>
      </w:sdtContent>
    </w:sdt>
    <w:p w:rsidR="001A7981" w:rsidRDefault="001A7981" w14:paraId="215C1625" w14:textId="77777777">
      <w:pPr>
        <w:spacing w:line="360" w:lineRule="auto"/>
        <w:jc w:val="both"/>
        <w:rPr>
          <w:rFonts w:ascii="Arial" w:hAnsi="Arial" w:eastAsia="Arial" w:cs="Arial"/>
        </w:rPr>
      </w:pPr>
    </w:p>
    <w:p w:rsidR="001A7981" w:rsidRDefault="001A7981" w14:paraId="64CA575D" w14:textId="77777777">
      <w:pPr>
        <w:spacing w:line="360" w:lineRule="auto"/>
        <w:jc w:val="both"/>
        <w:rPr>
          <w:rFonts w:ascii="Arial" w:hAnsi="Arial" w:eastAsia="Arial" w:cs="Arial"/>
        </w:rPr>
      </w:pPr>
    </w:p>
    <w:p w:rsidR="001A7981" w:rsidRDefault="001A7981" w14:paraId="41868764" w14:textId="77777777">
      <w:pPr>
        <w:spacing w:line="360" w:lineRule="auto"/>
        <w:jc w:val="both"/>
        <w:rPr>
          <w:rFonts w:ascii="Arial" w:hAnsi="Arial" w:eastAsia="Arial" w:cs="Arial"/>
        </w:rPr>
      </w:pPr>
    </w:p>
    <w:p w:rsidR="001A7981" w:rsidRDefault="001A7981" w14:paraId="6104E3CA" w14:textId="77777777">
      <w:pPr>
        <w:spacing w:line="360" w:lineRule="auto"/>
        <w:jc w:val="both"/>
        <w:rPr>
          <w:rFonts w:ascii="Arial" w:hAnsi="Arial" w:eastAsia="Arial" w:cs="Arial"/>
        </w:rPr>
      </w:pPr>
    </w:p>
    <w:p w:rsidR="001A7981" w:rsidRDefault="001A7981" w14:paraId="13A39BC5" w14:textId="77777777">
      <w:pPr>
        <w:spacing w:line="360" w:lineRule="auto"/>
        <w:jc w:val="both"/>
        <w:rPr>
          <w:rFonts w:ascii="Arial" w:hAnsi="Arial" w:eastAsia="Arial" w:cs="Arial"/>
        </w:rPr>
      </w:pPr>
    </w:p>
    <w:p w:rsidR="001A7981" w:rsidRDefault="001A7981" w14:paraId="069B90D0" w14:textId="77777777">
      <w:pPr>
        <w:spacing w:line="360" w:lineRule="auto"/>
        <w:jc w:val="both"/>
        <w:rPr>
          <w:rFonts w:ascii="Arial" w:hAnsi="Arial" w:eastAsia="Arial" w:cs="Arial"/>
        </w:rPr>
      </w:pPr>
    </w:p>
    <w:p w:rsidR="001A7981" w:rsidRDefault="001A7981" w14:paraId="190F308A" w14:textId="77777777">
      <w:pPr>
        <w:spacing w:line="360" w:lineRule="auto"/>
        <w:jc w:val="both"/>
        <w:rPr>
          <w:rFonts w:ascii="Arial" w:hAnsi="Arial" w:eastAsia="Arial" w:cs="Arial"/>
        </w:rPr>
      </w:pPr>
    </w:p>
    <w:p w:rsidR="001A7981" w:rsidRDefault="001A7981" w14:paraId="76C5E1B7" w14:textId="77777777">
      <w:pPr>
        <w:spacing w:line="360" w:lineRule="auto"/>
        <w:jc w:val="both"/>
        <w:rPr>
          <w:rFonts w:ascii="Arial" w:hAnsi="Arial" w:eastAsia="Arial" w:cs="Arial"/>
        </w:rPr>
      </w:pPr>
    </w:p>
    <w:p w:rsidR="001A7981" w:rsidRDefault="001A7981" w14:paraId="2071238A" w14:textId="77777777">
      <w:pPr>
        <w:spacing w:line="360" w:lineRule="auto"/>
        <w:jc w:val="both"/>
        <w:rPr>
          <w:rFonts w:ascii="Arial" w:hAnsi="Arial" w:eastAsia="Arial" w:cs="Arial"/>
        </w:rPr>
      </w:pPr>
    </w:p>
    <w:p w:rsidR="001A7981" w:rsidRDefault="001A7981" w14:paraId="2F6D3AED" w14:textId="77777777">
      <w:pPr>
        <w:spacing w:line="360" w:lineRule="auto"/>
        <w:jc w:val="both"/>
        <w:rPr>
          <w:rFonts w:ascii="Arial" w:hAnsi="Arial" w:eastAsia="Arial" w:cs="Arial"/>
        </w:rPr>
      </w:pPr>
    </w:p>
    <w:p w:rsidR="001A7981" w:rsidRDefault="001A7981" w14:paraId="0C7A6F1E" w14:textId="77777777">
      <w:pPr>
        <w:spacing w:line="360" w:lineRule="auto"/>
        <w:jc w:val="both"/>
        <w:rPr>
          <w:rFonts w:ascii="Arial" w:hAnsi="Arial" w:eastAsia="Arial" w:cs="Arial"/>
        </w:rPr>
      </w:pPr>
    </w:p>
    <w:p w:rsidR="001A7981" w:rsidRDefault="001A7981" w14:paraId="50057D48" w14:textId="77777777">
      <w:pPr>
        <w:spacing w:line="360" w:lineRule="auto"/>
        <w:jc w:val="both"/>
        <w:rPr>
          <w:rFonts w:ascii="Arial" w:hAnsi="Arial" w:eastAsia="Arial" w:cs="Arial"/>
        </w:rPr>
      </w:pPr>
    </w:p>
    <w:p w:rsidR="001A7981" w:rsidRDefault="001A7981" w14:paraId="7DA41383" w14:textId="77777777">
      <w:pPr>
        <w:spacing w:line="360" w:lineRule="auto"/>
        <w:jc w:val="both"/>
        <w:rPr>
          <w:rFonts w:ascii="Arial" w:hAnsi="Arial" w:eastAsia="Arial" w:cs="Arial"/>
        </w:rPr>
      </w:pPr>
    </w:p>
    <w:p w:rsidR="001A7981" w:rsidRDefault="001A7981" w14:paraId="1A8D790F" w14:textId="77777777">
      <w:pPr>
        <w:spacing w:line="360" w:lineRule="auto"/>
        <w:jc w:val="both"/>
        <w:rPr>
          <w:rFonts w:ascii="Arial" w:hAnsi="Arial" w:eastAsia="Arial" w:cs="Arial"/>
        </w:rPr>
      </w:pPr>
    </w:p>
    <w:p w:rsidR="001A7981" w:rsidRDefault="001A7981" w14:paraId="406A00A7" w14:textId="77777777">
      <w:pPr>
        <w:spacing w:line="360" w:lineRule="auto"/>
        <w:jc w:val="both"/>
        <w:rPr>
          <w:rFonts w:ascii="Arial" w:hAnsi="Arial" w:eastAsia="Arial" w:cs="Arial"/>
        </w:rPr>
      </w:pPr>
    </w:p>
    <w:p w:rsidR="001A7981" w:rsidRDefault="0010593F" w14:paraId="3DA7D618" w14:textId="77777777">
      <w:pPr>
        <w:pStyle w:val="Heading1"/>
      </w:pPr>
      <w:bookmarkStart w:name="_vdfo35vehdc1" w:colFirst="0" w:colLast="0" w:id="0"/>
      <w:bookmarkEnd w:id="0"/>
      <w:r>
        <w:t>Task 1: Poster</w:t>
      </w:r>
    </w:p>
    <w:p w:rsidR="001A7981" w:rsidRDefault="0010593F" w14:paraId="6ACD1EDF" w14:textId="77777777">
      <w:pPr>
        <w:spacing w:line="360" w:lineRule="auto"/>
        <w:jc w:val="center"/>
        <w:rPr>
          <w:rFonts w:ascii="Arial" w:hAnsi="Arial" w:eastAsia="Arial" w:cs="Arial"/>
        </w:rPr>
      </w:pPr>
      <w:r>
        <w:rPr>
          <w:rFonts w:ascii="Arial" w:hAnsi="Arial" w:eastAsia="Arial" w:cs="Arial"/>
          <w:noProof/>
        </w:rPr>
        <w:drawing>
          <wp:inline distT="0" distB="0" distL="0" distR="0" wp14:anchorId="4B07FE1E" wp14:editId="0CAC9141">
            <wp:extent cx="5434013" cy="768129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434013" cy="7681299"/>
                    </a:xfrm>
                    <a:prstGeom prst="rect">
                      <a:avLst/>
                    </a:prstGeom>
                    <a:ln/>
                  </pic:spPr>
                </pic:pic>
              </a:graphicData>
            </a:graphic>
          </wp:inline>
        </w:drawing>
      </w:r>
    </w:p>
    <w:p w:rsidR="001A7981" w:rsidRDefault="0010593F" w14:paraId="5A264E24" w14:textId="77777777">
      <w:pPr>
        <w:pStyle w:val="Heading1"/>
        <w:jc w:val="both"/>
      </w:pPr>
      <w:bookmarkStart w:name="_mr9qz59isrr" w:colFirst="0" w:colLast="0" w:id="1"/>
      <w:bookmarkEnd w:id="1"/>
      <w:r>
        <w:t>Introduction</w:t>
      </w:r>
    </w:p>
    <w:p w:rsidR="001A7981" w:rsidP="1EEFFC88" w:rsidRDefault="0010593F" w14:paraId="0A90A1F5" w14:textId="77777777">
      <w:pPr>
        <w:spacing w:line="360" w:lineRule="auto"/>
        <w:jc w:val="both"/>
        <w:rPr>
          <w:rFonts w:ascii="Arial" w:hAnsi="Arial" w:eastAsia="Arial" w:cs="Arial"/>
          <w:lang w:val="en-US"/>
        </w:rPr>
      </w:pPr>
      <w:r w:rsidRPr="1EEFFC88" w:rsidR="0010593F">
        <w:rPr>
          <w:rFonts w:ascii="Arial" w:hAnsi="Arial" w:eastAsia="Arial" w:cs="Arial"/>
          <w:lang w:val="en-US"/>
        </w:rPr>
        <w:t>The National Health Service (NHS) is a publicly funded health system for the UK. Created in 1948, it replaced patchy voluntary and municipal provision with a universal service, paid for out of taxation and it was available for all. It is still one of the key components of the welfare state and the largest publicly funded health system in the world.</w:t>
      </w:r>
    </w:p>
    <w:p w:rsidR="001A7981" w:rsidRDefault="0010593F" w14:paraId="69A1F68A" w14:textId="77777777">
      <w:pPr>
        <w:pStyle w:val="Heading1"/>
        <w:jc w:val="both"/>
      </w:pPr>
      <w:bookmarkStart w:name="_vg0neqfbxxqq" w:colFirst="0" w:colLast="0" w:id="2"/>
      <w:bookmarkEnd w:id="2"/>
      <w:r>
        <w:t>Origins of the NHS — Wartime coordination, Beveridge’s vision, Bevan’s settlement</w:t>
      </w:r>
    </w:p>
    <w:p w:rsidR="001A7981" w:rsidP="785FE055" w:rsidRDefault="0010593F" w14:paraId="057BF15D" w14:textId="77777777">
      <w:pPr>
        <w:spacing w:line="360" w:lineRule="auto"/>
        <w:jc w:val="both"/>
        <w:rPr>
          <w:rFonts w:ascii="Arial" w:hAnsi="Arial" w:eastAsia="Arial" w:cs="Arial"/>
          <w:lang w:val="en-US"/>
        </w:rPr>
      </w:pPr>
      <w:r w:rsidRPr="785FE055" w:rsidR="0010593F">
        <w:rPr>
          <w:rFonts w:ascii="Arial" w:hAnsi="Arial" w:eastAsia="Arial" w:cs="Arial"/>
          <w:lang w:val="en-US"/>
        </w:rPr>
        <w:t xml:space="preserve">The interwar Britain revealed discrepancies in access, insurance schemes were available to some workers, </w:t>
      </w:r>
      <w:r w:rsidRPr="785FE055" w:rsidR="0010593F">
        <w:rPr>
          <w:rFonts w:ascii="Arial" w:hAnsi="Arial" w:eastAsia="Arial" w:cs="Arial"/>
          <w:lang w:val="en-US"/>
        </w:rPr>
        <w:t>a number of</w:t>
      </w:r>
      <w:r w:rsidRPr="785FE055" w:rsidR="0010593F">
        <w:rPr>
          <w:rFonts w:ascii="Arial" w:hAnsi="Arial" w:eastAsia="Arial" w:cs="Arial"/>
          <w:lang w:val="en-US"/>
        </w:rPr>
        <w:t xml:space="preserve"> women, children and the unemployed had to depend on charity. The Emergency Medical Service during the Second World War </w:t>
      </w:r>
      <w:r w:rsidRPr="785FE055" w:rsidR="0010593F">
        <w:rPr>
          <w:rFonts w:ascii="Arial" w:hAnsi="Arial" w:eastAsia="Arial" w:cs="Arial"/>
          <w:lang w:val="en-US"/>
        </w:rPr>
        <w:t>demonstrated</w:t>
      </w:r>
      <w:r w:rsidRPr="785FE055" w:rsidR="0010593F">
        <w:rPr>
          <w:rFonts w:ascii="Arial" w:hAnsi="Arial" w:eastAsia="Arial" w:cs="Arial"/>
          <w:lang w:val="en-US"/>
        </w:rPr>
        <w:t xml:space="preserve"> that it was possible to provide care at scale using central planning, bed </w:t>
      </w:r>
      <w:r w:rsidRPr="785FE055" w:rsidR="0010593F">
        <w:rPr>
          <w:rFonts w:ascii="Arial" w:hAnsi="Arial" w:eastAsia="Arial" w:cs="Arial"/>
          <w:lang w:val="en-US"/>
        </w:rPr>
        <w:t>pooling</w:t>
      </w:r>
      <w:r w:rsidRPr="785FE055" w:rsidR="0010593F">
        <w:rPr>
          <w:rFonts w:ascii="Arial" w:hAnsi="Arial" w:eastAsia="Arial" w:cs="Arial"/>
          <w:lang w:val="en-US"/>
        </w:rPr>
        <w:t xml:space="preserve"> and referral networks. William Beveridge suggested a social-insurance state in 1942 to overcome the so-called five giants and health provision was one of the pillars. A political compromise was then manufactured by Aneurin Bevan, Minister of Health, which </w:t>
      </w:r>
      <w:r w:rsidRPr="785FE055" w:rsidR="0010593F">
        <w:rPr>
          <w:rFonts w:ascii="Arial" w:hAnsi="Arial" w:eastAsia="Arial" w:cs="Arial"/>
          <w:lang w:val="en-US"/>
        </w:rPr>
        <w:t>nationalised</w:t>
      </w:r>
      <w:r w:rsidRPr="785FE055" w:rsidR="0010593F">
        <w:rPr>
          <w:rFonts w:ascii="Arial" w:hAnsi="Arial" w:eastAsia="Arial" w:cs="Arial"/>
          <w:lang w:val="en-US"/>
        </w:rPr>
        <w:t xml:space="preserve"> hospitals, but </w:t>
      </w:r>
      <w:r w:rsidRPr="785FE055" w:rsidR="0010593F">
        <w:rPr>
          <w:rFonts w:ascii="Arial" w:hAnsi="Arial" w:eastAsia="Arial" w:cs="Arial"/>
          <w:lang w:val="en-US"/>
        </w:rPr>
        <w:t>retained</w:t>
      </w:r>
      <w:r w:rsidRPr="785FE055" w:rsidR="0010593F">
        <w:rPr>
          <w:rFonts w:ascii="Arial" w:hAnsi="Arial" w:eastAsia="Arial" w:cs="Arial"/>
          <w:lang w:val="en-US"/>
        </w:rPr>
        <w:t xml:space="preserve"> GPs as independent contractors and introduced a single service free at the point of use on 5 July 1948 (Anderson et al., 2021).</w:t>
      </w:r>
    </w:p>
    <w:p w:rsidR="001A7981" w:rsidRDefault="0010593F" w14:paraId="7EE73F78" w14:textId="77777777">
      <w:pPr>
        <w:pStyle w:val="Heading1"/>
        <w:jc w:val="both"/>
      </w:pPr>
      <w:bookmarkStart w:name="_8vtj34jsjoub" w:id="3"/>
      <w:bookmarkEnd w:id="3"/>
      <w:r w:rsidRPr="785FE055" w:rsidR="0010593F">
        <w:rPr>
          <w:lang w:val="en-US"/>
        </w:rPr>
        <w:t>Founding principles — Universality, Equity, Comprehensive, tax-</w:t>
      </w:r>
      <w:r w:rsidRPr="785FE055" w:rsidR="0010593F">
        <w:rPr>
          <w:lang w:val="en-US"/>
        </w:rPr>
        <w:t>funded</w:t>
      </w:r>
      <w:r w:rsidRPr="785FE055" w:rsidR="0010593F">
        <w:rPr>
          <w:lang w:val="en-US"/>
        </w:rPr>
        <w:t xml:space="preserve"> and free at use</w:t>
      </w:r>
    </w:p>
    <w:p w:rsidR="001A7981" w:rsidP="785FE055" w:rsidRDefault="0010593F" w14:paraId="087AD1C3" w14:textId="77777777">
      <w:pPr>
        <w:spacing w:line="360" w:lineRule="auto"/>
        <w:jc w:val="both"/>
        <w:rPr>
          <w:rFonts w:ascii="Arial" w:hAnsi="Arial" w:eastAsia="Arial" w:cs="Arial"/>
          <w:lang w:val="en-US"/>
        </w:rPr>
      </w:pPr>
      <w:r w:rsidRPr="785FE055" w:rsidR="0010593F">
        <w:rPr>
          <w:rFonts w:ascii="Arial" w:hAnsi="Arial" w:eastAsia="Arial" w:cs="Arial"/>
          <w:lang w:val="en-US"/>
        </w:rPr>
        <w:t xml:space="preserve">The settlement was influenced by three major concepts. First, universality: it is covered, not according to employment status, but according to residence. Second, equity: </w:t>
      </w:r>
      <w:r w:rsidRPr="785FE055" w:rsidR="0010593F">
        <w:rPr>
          <w:rFonts w:ascii="Arial" w:hAnsi="Arial" w:eastAsia="Arial" w:cs="Arial"/>
          <w:lang w:val="en-US"/>
        </w:rPr>
        <w:t>equitable</w:t>
      </w:r>
      <w:r w:rsidRPr="785FE055" w:rsidR="0010593F">
        <w:rPr>
          <w:rFonts w:ascii="Arial" w:hAnsi="Arial" w:eastAsia="Arial" w:cs="Arial"/>
          <w:lang w:val="en-US"/>
        </w:rPr>
        <w:t xml:space="preserve"> allocation of care based on clinical need rather than ability to pay, </w:t>
      </w:r>
      <w:r w:rsidRPr="785FE055" w:rsidR="0010593F">
        <w:rPr>
          <w:rFonts w:ascii="Arial" w:hAnsi="Arial" w:eastAsia="Arial" w:cs="Arial"/>
          <w:lang w:val="en-US"/>
        </w:rPr>
        <w:t>in order to</w:t>
      </w:r>
      <w:r w:rsidRPr="785FE055" w:rsidR="0010593F">
        <w:rPr>
          <w:rFonts w:ascii="Arial" w:hAnsi="Arial" w:eastAsia="Arial" w:cs="Arial"/>
          <w:lang w:val="en-US"/>
        </w:rPr>
        <w:t xml:space="preserve"> </w:t>
      </w:r>
      <w:r w:rsidRPr="785FE055" w:rsidR="0010593F">
        <w:rPr>
          <w:rFonts w:ascii="Arial" w:hAnsi="Arial" w:eastAsia="Arial" w:cs="Arial"/>
          <w:lang w:val="en-US"/>
        </w:rPr>
        <w:t>eliminate</w:t>
      </w:r>
      <w:r w:rsidRPr="785FE055" w:rsidR="0010593F">
        <w:rPr>
          <w:rFonts w:ascii="Arial" w:hAnsi="Arial" w:eastAsia="Arial" w:cs="Arial"/>
          <w:lang w:val="en-US"/>
        </w:rPr>
        <w:t xml:space="preserve"> postcode or income-related inequalities (Khan, 2023). Third, universal care based on progressive taxation and free at the point of delivery, which combines prevention, primary, hospital and specialist care under national care (Smeeth et al., 2024).</w:t>
      </w:r>
    </w:p>
    <w:p w:rsidR="001A7981" w:rsidRDefault="0010593F" w14:paraId="6ACDE05B" w14:textId="77777777">
      <w:pPr>
        <w:pStyle w:val="Heading1"/>
        <w:jc w:val="both"/>
      </w:pPr>
      <w:bookmarkStart w:name="_ec17bq5iv6z4" w:colFirst="0" w:colLast="0" w:id="4"/>
      <w:bookmarkEnd w:id="4"/>
      <w:r>
        <w:t>Current structure — Devolution, Commissioning and regulation, Providers</w:t>
      </w:r>
    </w:p>
    <w:p w:rsidR="001A7981" w:rsidP="785FE055" w:rsidRDefault="0010593F" w14:paraId="7724FDF0" w14:textId="77777777">
      <w:pPr>
        <w:spacing w:line="360" w:lineRule="auto"/>
        <w:jc w:val="both"/>
        <w:rPr>
          <w:rFonts w:ascii="Arial" w:hAnsi="Arial" w:eastAsia="Arial" w:cs="Arial"/>
          <w:lang w:val="en-US"/>
        </w:rPr>
      </w:pPr>
      <w:r w:rsidRPr="785FE055" w:rsidR="0010593F">
        <w:rPr>
          <w:rFonts w:ascii="Arial" w:hAnsi="Arial" w:eastAsia="Arial" w:cs="Arial"/>
          <w:lang w:val="en-US"/>
        </w:rPr>
        <w:t xml:space="preserve">There is also devolution of health and thus, England, Scotland, </w:t>
      </w:r>
      <w:r w:rsidRPr="785FE055" w:rsidR="0010593F">
        <w:rPr>
          <w:rFonts w:ascii="Arial" w:hAnsi="Arial" w:eastAsia="Arial" w:cs="Arial"/>
          <w:lang w:val="en-US"/>
        </w:rPr>
        <w:t>Wales</w:t>
      </w:r>
      <w:r w:rsidRPr="785FE055" w:rsidR="0010593F">
        <w:rPr>
          <w:rFonts w:ascii="Arial" w:hAnsi="Arial" w:eastAsia="Arial" w:cs="Arial"/>
          <w:lang w:val="en-US"/>
        </w:rPr>
        <w:t xml:space="preserve"> and Northern Ireland have different NHS systems. In England, the policy is made by the Department of Health and Social Care, budgets are distributed and services by NHS England, and standards, regulation and protection of the populace are offered by NICE, the Care Quality </w:t>
      </w:r>
      <w:r w:rsidRPr="785FE055" w:rsidR="0010593F">
        <w:rPr>
          <w:rFonts w:ascii="Arial" w:hAnsi="Arial" w:eastAsia="Arial" w:cs="Arial"/>
          <w:lang w:val="en-US"/>
        </w:rPr>
        <w:t>Commission</w:t>
      </w:r>
      <w:r w:rsidRPr="785FE055" w:rsidR="0010593F">
        <w:rPr>
          <w:rFonts w:ascii="Arial" w:hAnsi="Arial" w:eastAsia="Arial" w:cs="Arial"/>
          <w:lang w:val="en-US"/>
        </w:rPr>
        <w:t xml:space="preserve"> and the UK Health Security Agency. Since 2022, the NHS and local authorities have come together in Integrated Care Systems, Integrated Care Boards are the planners and funders of services and Integrated Care Partnerships are the strategists. Primary care contractors, NHS </w:t>
      </w:r>
      <w:r w:rsidRPr="785FE055" w:rsidR="0010593F">
        <w:rPr>
          <w:rFonts w:ascii="Arial" w:hAnsi="Arial" w:eastAsia="Arial" w:cs="Arial"/>
          <w:lang w:val="en-US"/>
        </w:rPr>
        <w:t>trusts</w:t>
      </w:r>
      <w:r w:rsidRPr="785FE055" w:rsidR="0010593F">
        <w:rPr>
          <w:rFonts w:ascii="Arial" w:hAnsi="Arial" w:eastAsia="Arial" w:cs="Arial"/>
          <w:lang w:val="en-US"/>
        </w:rPr>
        <w:t xml:space="preserve"> or foundation trusts providing acute, community and mental health care and voluntary and independent partners in NHS-funded pathways are all providers.</w:t>
      </w:r>
    </w:p>
    <w:p w:rsidR="001A7981" w:rsidRDefault="0010593F" w14:paraId="612EDC31" w14:textId="77777777">
      <w:pPr>
        <w:pStyle w:val="Heading1"/>
        <w:jc w:val="both"/>
      </w:pPr>
      <w:bookmarkStart w:name="_sybjvwgycgck" w:id="5"/>
      <w:bookmarkEnd w:id="5"/>
      <w:r w:rsidRPr="785FE055" w:rsidR="0010593F">
        <w:rPr>
          <w:lang w:val="en-US"/>
        </w:rPr>
        <w:t xml:space="preserve">Functioning today — Strengths, Fault-lines, </w:t>
      </w:r>
      <w:r w:rsidRPr="785FE055" w:rsidR="0010593F">
        <w:rPr>
          <w:lang w:val="en-US"/>
        </w:rPr>
        <w:t>What</w:t>
      </w:r>
      <w:r w:rsidRPr="785FE055" w:rsidR="0010593F">
        <w:rPr>
          <w:lang w:val="en-US"/>
        </w:rPr>
        <w:t xml:space="preserve"> would improve</w:t>
      </w:r>
    </w:p>
    <w:p w:rsidR="001A7981" w:rsidP="785FE055" w:rsidRDefault="0010593F" w14:paraId="5DC23551" w14:textId="77777777">
      <w:pPr>
        <w:spacing w:line="360" w:lineRule="auto"/>
        <w:jc w:val="both"/>
        <w:rPr>
          <w:rFonts w:ascii="Arial" w:hAnsi="Arial" w:eastAsia="Arial" w:cs="Arial"/>
          <w:lang w:val="en-US"/>
        </w:rPr>
      </w:pPr>
      <w:r w:rsidRPr="785FE055" w:rsidR="0010593F">
        <w:rPr>
          <w:rFonts w:ascii="Arial" w:hAnsi="Arial" w:eastAsia="Arial" w:cs="Arial"/>
          <w:lang w:val="en-US"/>
        </w:rPr>
        <w:t xml:space="preserve">The NHS can cover the entire population at </w:t>
      </w:r>
      <w:r w:rsidRPr="785FE055" w:rsidR="0010593F">
        <w:rPr>
          <w:rFonts w:ascii="Arial" w:hAnsi="Arial" w:eastAsia="Arial" w:cs="Arial"/>
          <w:lang w:val="en-US"/>
        </w:rPr>
        <w:t>relatively reduced</w:t>
      </w:r>
      <w:r w:rsidRPr="785FE055" w:rsidR="0010593F">
        <w:rPr>
          <w:rFonts w:ascii="Arial" w:hAnsi="Arial" w:eastAsia="Arial" w:cs="Arial"/>
          <w:lang w:val="en-US"/>
        </w:rPr>
        <w:t xml:space="preserve"> administrative expenses and excelling in time-dependent pathways such as trauma and stroke, where national standards and audit are the incentive behind the improvement. However, stressors </w:t>
      </w:r>
      <w:r w:rsidRPr="785FE055" w:rsidR="0010593F">
        <w:rPr>
          <w:rFonts w:ascii="Arial" w:hAnsi="Arial" w:eastAsia="Arial" w:cs="Arial"/>
          <w:lang w:val="en-US"/>
        </w:rPr>
        <w:t>exist:</w:t>
      </w:r>
      <w:r w:rsidRPr="785FE055" w:rsidR="0010593F">
        <w:rPr>
          <w:rFonts w:ascii="Arial" w:hAnsi="Arial" w:eastAsia="Arial" w:cs="Arial"/>
          <w:lang w:val="en-US"/>
        </w:rPr>
        <w:t xml:space="preserve"> lengthy elective queues, ambulance handover, ageing premises, digital </w:t>
      </w:r>
      <w:r w:rsidRPr="785FE055" w:rsidR="0010593F">
        <w:rPr>
          <w:rFonts w:ascii="Arial" w:hAnsi="Arial" w:eastAsia="Arial" w:cs="Arial"/>
          <w:lang w:val="en-US"/>
        </w:rPr>
        <w:t>disintegration</w:t>
      </w:r>
      <w:r w:rsidRPr="785FE055" w:rsidR="0010593F">
        <w:rPr>
          <w:rFonts w:ascii="Arial" w:hAnsi="Arial" w:eastAsia="Arial" w:cs="Arial"/>
          <w:lang w:val="en-US"/>
        </w:rPr>
        <w:t xml:space="preserve"> and severe shortages of workforce in general practice, </w:t>
      </w:r>
      <w:r w:rsidRPr="785FE055" w:rsidR="0010593F">
        <w:rPr>
          <w:rFonts w:ascii="Arial" w:hAnsi="Arial" w:eastAsia="Arial" w:cs="Arial"/>
          <w:lang w:val="en-US"/>
        </w:rPr>
        <w:t>nursing</w:t>
      </w:r>
      <w:r w:rsidRPr="785FE055" w:rsidR="0010593F">
        <w:rPr>
          <w:rFonts w:ascii="Arial" w:hAnsi="Arial" w:eastAsia="Arial" w:cs="Arial"/>
          <w:lang w:val="en-US"/>
        </w:rPr>
        <w:t xml:space="preserve"> and community care. The social care interface is the most vulnerable and causes delays of discharge and flow (Khan, 2023). The direction of the policy is to redistribute the resources towards prevention and out-of-hospital care through Integrated Care Systems, enhance data infrastructure, increase training and </w:t>
      </w:r>
      <w:r w:rsidRPr="785FE055" w:rsidR="0010593F">
        <w:rPr>
          <w:rFonts w:ascii="Arial" w:hAnsi="Arial" w:eastAsia="Arial" w:cs="Arial"/>
          <w:lang w:val="en-US"/>
        </w:rPr>
        <w:t>retention</w:t>
      </w:r>
      <w:r w:rsidRPr="785FE055" w:rsidR="0010593F">
        <w:rPr>
          <w:rFonts w:ascii="Arial" w:hAnsi="Arial" w:eastAsia="Arial" w:cs="Arial"/>
          <w:lang w:val="en-US"/>
        </w:rPr>
        <w:t xml:space="preserve"> and align accountability to measurable access, </w:t>
      </w:r>
      <w:r w:rsidRPr="785FE055" w:rsidR="0010593F">
        <w:rPr>
          <w:rFonts w:ascii="Arial" w:hAnsi="Arial" w:eastAsia="Arial" w:cs="Arial"/>
          <w:lang w:val="en-US"/>
        </w:rPr>
        <w:t>safety</w:t>
      </w:r>
      <w:r w:rsidRPr="785FE055" w:rsidR="0010593F">
        <w:rPr>
          <w:rFonts w:ascii="Arial" w:hAnsi="Arial" w:eastAsia="Arial" w:cs="Arial"/>
          <w:lang w:val="en-US"/>
        </w:rPr>
        <w:t xml:space="preserve"> and inequality reduction (Khan, 2023).</w:t>
      </w:r>
    </w:p>
    <w:p w:rsidR="001A7981" w:rsidRDefault="0010593F" w14:paraId="7E844561" w14:textId="77777777">
      <w:pPr>
        <w:pStyle w:val="Heading1"/>
        <w:jc w:val="both"/>
      </w:pPr>
      <w:bookmarkStart w:name="_kw5tppqylihn" w:colFirst="0" w:colLast="0" w:id="6"/>
      <w:bookmarkEnd w:id="6"/>
      <w:r>
        <w:t>Conclusion</w:t>
      </w:r>
    </w:p>
    <w:p w:rsidR="001A7981" w:rsidP="785FE055" w:rsidRDefault="0010593F" w14:paraId="33669C17" w14:textId="77777777">
      <w:pPr>
        <w:spacing w:line="360" w:lineRule="auto"/>
        <w:jc w:val="both"/>
        <w:rPr>
          <w:rFonts w:ascii="Arial" w:hAnsi="Arial" w:eastAsia="Arial" w:cs="Arial"/>
          <w:lang w:val="en-US"/>
        </w:rPr>
      </w:pPr>
      <w:r w:rsidRPr="785FE055" w:rsidR="0010593F">
        <w:rPr>
          <w:rFonts w:ascii="Arial" w:hAnsi="Arial" w:eastAsia="Arial" w:cs="Arial"/>
          <w:lang w:val="en-US"/>
        </w:rPr>
        <w:t xml:space="preserve">The creation of wartime experience and post-war social contract, the NHS continues to be based on universality, </w:t>
      </w:r>
      <w:r w:rsidRPr="785FE055" w:rsidR="0010593F">
        <w:rPr>
          <w:rFonts w:ascii="Arial" w:hAnsi="Arial" w:eastAsia="Arial" w:cs="Arial"/>
          <w:lang w:val="en-US"/>
        </w:rPr>
        <w:t>equity</w:t>
      </w:r>
      <w:r w:rsidRPr="785FE055" w:rsidR="0010593F">
        <w:rPr>
          <w:rFonts w:ascii="Arial" w:hAnsi="Arial" w:eastAsia="Arial" w:cs="Arial"/>
          <w:lang w:val="en-US"/>
        </w:rPr>
        <w:t xml:space="preserve"> and tax-funded care. The provision of such ideals in the present is dependent on plausible workforce plans, capital investment and authentic integration both in health and social care. This will also take actual long-term political concord and a more precise accountability of results and regions.</w:t>
      </w:r>
    </w:p>
    <w:p w:rsidR="001A7981" w:rsidRDefault="001A7981" w14:paraId="027EEFF5" w14:textId="77777777">
      <w:pPr>
        <w:rPr>
          <w:rFonts w:ascii="Arial" w:hAnsi="Arial" w:eastAsia="Arial" w:cs="Arial"/>
        </w:rPr>
      </w:pPr>
    </w:p>
    <w:p w:rsidR="001A7981" w:rsidRDefault="001A7981" w14:paraId="5AC8360F" w14:textId="77777777">
      <w:pPr>
        <w:rPr>
          <w:rFonts w:ascii="Arial" w:hAnsi="Arial" w:eastAsia="Arial" w:cs="Arial"/>
        </w:rPr>
      </w:pPr>
    </w:p>
    <w:p w:rsidR="001A7981" w:rsidRDefault="001A7981" w14:paraId="4DCED629" w14:textId="77777777">
      <w:pPr>
        <w:rPr>
          <w:rFonts w:ascii="Arial" w:hAnsi="Arial" w:eastAsia="Arial" w:cs="Arial"/>
        </w:rPr>
      </w:pPr>
    </w:p>
    <w:p w:rsidR="001A7981" w:rsidRDefault="001A7981" w14:paraId="12FAC547" w14:textId="77777777">
      <w:pPr>
        <w:rPr>
          <w:rFonts w:ascii="Arial" w:hAnsi="Arial" w:eastAsia="Arial" w:cs="Arial"/>
        </w:rPr>
      </w:pPr>
    </w:p>
    <w:p w:rsidR="001A7981" w:rsidRDefault="001A7981" w14:paraId="396EFB3A" w14:textId="77777777">
      <w:pPr>
        <w:rPr>
          <w:rFonts w:ascii="Arial" w:hAnsi="Arial" w:eastAsia="Arial" w:cs="Arial"/>
        </w:rPr>
      </w:pPr>
    </w:p>
    <w:p w:rsidR="001A7981" w:rsidRDefault="001A7981" w14:paraId="71A8B004" w14:textId="77777777">
      <w:pPr>
        <w:rPr>
          <w:rFonts w:ascii="Arial" w:hAnsi="Arial" w:eastAsia="Arial" w:cs="Arial"/>
        </w:rPr>
      </w:pPr>
    </w:p>
    <w:p w:rsidR="001A7981" w:rsidRDefault="001A7981" w14:paraId="6F758263" w14:textId="77777777">
      <w:pPr>
        <w:rPr>
          <w:rFonts w:ascii="Arial" w:hAnsi="Arial" w:eastAsia="Arial" w:cs="Arial"/>
        </w:rPr>
      </w:pPr>
    </w:p>
    <w:p w:rsidR="001A7981" w:rsidRDefault="001A7981" w14:paraId="0A17F040" w14:textId="77777777">
      <w:pPr>
        <w:rPr>
          <w:rFonts w:ascii="Arial" w:hAnsi="Arial" w:eastAsia="Arial" w:cs="Arial"/>
        </w:rPr>
      </w:pPr>
    </w:p>
    <w:p w:rsidR="001A7981" w:rsidRDefault="001A7981" w14:paraId="53688A76" w14:textId="77777777">
      <w:pPr>
        <w:rPr>
          <w:rFonts w:ascii="Arial" w:hAnsi="Arial" w:eastAsia="Arial" w:cs="Arial"/>
        </w:rPr>
      </w:pPr>
    </w:p>
    <w:p w:rsidR="001A7981" w:rsidRDefault="001A7981" w14:paraId="6C94A815" w14:textId="77777777">
      <w:pPr>
        <w:rPr>
          <w:rFonts w:ascii="Arial" w:hAnsi="Arial" w:eastAsia="Arial" w:cs="Arial"/>
        </w:rPr>
      </w:pPr>
    </w:p>
    <w:p w:rsidR="001A7981" w:rsidRDefault="001A7981" w14:paraId="1E0117F4" w14:textId="77777777">
      <w:pPr>
        <w:rPr>
          <w:rFonts w:ascii="Arial" w:hAnsi="Arial" w:eastAsia="Arial" w:cs="Arial"/>
        </w:rPr>
      </w:pPr>
    </w:p>
    <w:p w:rsidR="001A7981" w:rsidRDefault="001A7981" w14:paraId="2B00BBE4" w14:textId="77777777">
      <w:pPr>
        <w:rPr>
          <w:rFonts w:ascii="Arial" w:hAnsi="Arial" w:eastAsia="Arial" w:cs="Arial"/>
        </w:rPr>
      </w:pPr>
    </w:p>
    <w:p w:rsidR="001A7981" w:rsidRDefault="001A7981" w14:paraId="5634E1E8" w14:textId="77777777">
      <w:pPr>
        <w:rPr>
          <w:rFonts w:ascii="Arial" w:hAnsi="Arial" w:eastAsia="Arial" w:cs="Arial"/>
        </w:rPr>
      </w:pPr>
    </w:p>
    <w:p w:rsidR="001A7981" w:rsidRDefault="001A7981" w14:paraId="45CB7771" w14:textId="77777777">
      <w:pPr>
        <w:rPr>
          <w:rFonts w:ascii="Arial" w:hAnsi="Arial" w:eastAsia="Arial" w:cs="Arial"/>
        </w:rPr>
      </w:pPr>
    </w:p>
    <w:p w:rsidR="001A7981" w:rsidRDefault="001A7981" w14:paraId="29B2150D" w14:textId="77777777">
      <w:pPr>
        <w:rPr>
          <w:rFonts w:ascii="Arial" w:hAnsi="Arial" w:eastAsia="Arial" w:cs="Arial"/>
        </w:rPr>
      </w:pPr>
    </w:p>
    <w:p w:rsidR="001A7981" w:rsidRDefault="0010593F" w14:paraId="2FDE55E3" w14:textId="77777777">
      <w:pPr>
        <w:pStyle w:val="Heading1"/>
      </w:pPr>
      <w:bookmarkStart w:name="_hwyctp6l4j4m" w:colFirst="0" w:colLast="0" w:id="7"/>
      <w:bookmarkEnd w:id="7"/>
      <w:r>
        <w:t>Reference list</w:t>
      </w:r>
    </w:p>
    <w:p w:rsidR="001A7981" w:rsidP="785FE055" w:rsidRDefault="0010593F" w14:paraId="7F91A7D9"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Anderson, M., O’Neill, C., Macleod Clark, J., Street, A., Woods, M., Johnston-Webber, C., Charlesworth, A., Whyte, M., Foster, M., Majeed, A., Pitchforth, E., </w:t>
      </w:r>
      <w:r w:rsidRPr="785FE055" w:rsidR="0010593F">
        <w:rPr>
          <w:rFonts w:ascii="Arial" w:hAnsi="Arial" w:eastAsia="Arial" w:cs="Arial"/>
          <w:lang w:val="en-US"/>
        </w:rPr>
        <w:t>Mossialos</w:t>
      </w:r>
      <w:r w:rsidRPr="785FE055" w:rsidR="0010593F">
        <w:rPr>
          <w:rFonts w:ascii="Arial" w:hAnsi="Arial" w:eastAsia="Arial" w:cs="Arial"/>
          <w:lang w:val="en-US"/>
        </w:rPr>
        <w:t xml:space="preserve">, E., Asaria, M. and McGuire, A. (2021). Securing a sustainable and fit-for-purpose UK health and care workforce. </w:t>
      </w:r>
      <w:r w:rsidRPr="785FE055" w:rsidR="0010593F">
        <w:rPr>
          <w:rFonts w:ascii="Arial" w:hAnsi="Arial" w:eastAsia="Arial" w:cs="Arial"/>
          <w:i w:val="1"/>
          <w:iCs w:val="1"/>
          <w:lang w:val="en-US"/>
        </w:rPr>
        <w:t>The Lancet</w:t>
      </w:r>
      <w:r w:rsidRPr="785FE055" w:rsidR="0010593F">
        <w:rPr>
          <w:rFonts w:ascii="Arial" w:hAnsi="Arial" w:eastAsia="Arial" w:cs="Arial"/>
          <w:lang w:val="en-US"/>
        </w:rPr>
        <w:t xml:space="preserve">, 397(10288), pp.1992–2011. </w:t>
      </w:r>
      <w:r w:rsidRPr="785FE055" w:rsidR="0010593F">
        <w:rPr>
          <w:rFonts w:ascii="Arial" w:hAnsi="Arial" w:eastAsia="Arial" w:cs="Arial"/>
          <w:lang w:val="en-US"/>
        </w:rPr>
        <w:t>doi:https</w:t>
      </w:r>
      <w:r w:rsidRPr="785FE055" w:rsidR="0010593F">
        <w:rPr>
          <w:rFonts w:ascii="Arial" w:hAnsi="Arial" w:eastAsia="Arial" w:cs="Arial"/>
          <w:lang w:val="en-US"/>
        </w:rPr>
        <w:t>://doi.org/10.1016/S0140-6736(21)00231-2.</w:t>
      </w:r>
    </w:p>
    <w:p w:rsidR="001A7981" w:rsidP="785FE055" w:rsidRDefault="0010593F" w14:paraId="11E12D7D"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Eaton, K.A. (2022). The development of digital dentistry in the UK: An overview. </w:t>
      </w:r>
      <w:r w:rsidRPr="785FE055" w:rsidR="0010593F">
        <w:rPr>
          <w:rFonts w:ascii="Arial" w:hAnsi="Arial" w:eastAsia="Arial" w:cs="Arial"/>
          <w:i w:val="1"/>
          <w:iCs w:val="1"/>
          <w:lang w:val="en-US"/>
        </w:rPr>
        <w:t>Primary Dental Journal</w:t>
      </w:r>
      <w:r w:rsidRPr="785FE055" w:rsidR="0010593F">
        <w:rPr>
          <w:rFonts w:ascii="Arial" w:hAnsi="Arial" w:eastAsia="Arial" w:cs="Arial"/>
          <w:lang w:val="en-US"/>
        </w:rPr>
        <w:t xml:space="preserve">, 11(4), pp.94–98. </w:t>
      </w:r>
      <w:r w:rsidRPr="785FE055" w:rsidR="0010593F">
        <w:rPr>
          <w:rFonts w:ascii="Arial" w:hAnsi="Arial" w:eastAsia="Arial" w:cs="Arial"/>
          <w:lang w:val="en-US"/>
        </w:rPr>
        <w:t>doi:https</w:t>
      </w:r>
      <w:r w:rsidRPr="785FE055" w:rsidR="0010593F">
        <w:rPr>
          <w:rFonts w:ascii="Arial" w:hAnsi="Arial" w:eastAsia="Arial" w:cs="Arial"/>
          <w:lang w:val="en-US"/>
        </w:rPr>
        <w:t>://doi.org/10.1177/20501684221134198.</w:t>
      </w:r>
    </w:p>
    <w:p w:rsidR="001A7981" w:rsidP="785FE055" w:rsidRDefault="0010593F" w14:paraId="069ADF6B"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Evans, D., Burns, L., Mills, I., Bryce, </w:t>
      </w:r>
      <w:r w:rsidRPr="785FE055" w:rsidR="0010593F">
        <w:rPr>
          <w:rFonts w:ascii="Arial" w:hAnsi="Arial" w:eastAsia="Arial" w:cs="Arial"/>
          <w:lang w:val="en-US"/>
        </w:rPr>
        <w:t>M.</w:t>
      </w:r>
      <w:r w:rsidRPr="785FE055" w:rsidR="0010593F">
        <w:rPr>
          <w:rFonts w:ascii="Arial" w:hAnsi="Arial" w:eastAsia="Arial" w:cs="Arial"/>
          <w:lang w:val="en-US"/>
        </w:rPr>
        <w:t xml:space="preserve"> and Hanks, S. (2023). Recruitment and retention in dentistry in the UK: a scoping review to explore the challenges across the UK, with a particular interest in rural and coastal areas. </w:t>
      </w:r>
      <w:r w:rsidRPr="785FE055" w:rsidR="0010593F">
        <w:rPr>
          <w:rFonts w:ascii="Arial" w:hAnsi="Arial" w:eastAsia="Arial" w:cs="Arial"/>
          <w:i w:val="1"/>
          <w:iCs w:val="1"/>
          <w:lang w:val="en-US"/>
        </w:rPr>
        <w:t>British Dental Journal</w:t>
      </w:r>
      <w:r w:rsidRPr="785FE055" w:rsidR="0010593F">
        <w:rPr>
          <w:rFonts w:ascii="Arial" w:hAnsi="Arial" w:eastAsia="Arial" w:cs="Arial"/>
          <w:lang w:val="en-US"/>
        </w:rPr>
        <w:t xml:space="preserve">. </w:t>
      </w:r>
      <w:r w:rsidRPr="785FE055" w:rsidR="0010593F">
        <w:rPr>
          <w:rFonts w:ascii="Arial" w:hAnsi="Arial" w:eastAsia="Arial" w:cs="Arial"/>
          <w:lang w:val="en-US"/>
        </w:rPr>
        <w:t>doi:https</w:t>
      </w:r>
      <w:r w:rsidRPr="785FE055" w:rsidR="0010593F">
        <w:rPr>
          <w:rFonts w:ascii="Arial" w:hAnsi="Arial" w:eastAsia="Arial" w:cs="Arial"/>
          <w:lang w:val="en-US"/>
        </w:rPr>
        <w:t>://doi.org/10.1038/s41415-022-5406-0.</w:t>
      </w:r>
    </w:p>
    <w:p w:rsidR="001A7981" w:rsidP="785FE055" w:rsidRDefault="0010593F" w14:paraId="7E79B886"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Khan, Z. (2023). The Emerging Challenges and Strengths of the National Health Services: A Physician Perspective. </w:t>
      </w:r>
      <w:r w:rsidRPr="785FE055" w:rsidR="0010593F">
        <w:rPr>
          <w:rFonts w:ascii="Arial" w:hAnsi="Arial" w:eastAsia="Arial" w:cs="Arial"/>
          <w:i w:val="1"/>
          <w:iCs w:val="1"/>
          <w:lang w:val="en-US"/>
        </w:rPr>
        <w:t>Cureus</w:t>
      </w:r>
      <w:r w:rsidRPr="785FE055" w:rsidR="0010593F">
        <w:rPr>
          <w:rFonts w:ascii="Arial" w:hAnsi="Arial" w:eastAsia="Arial" w:cs="Arial"/>
          <w:lang w:val="en-US"/>
        </w:rPr>
        <w:t>, [online] 15(5). Available at: https://pmc.ncbi.nlm.nih.gov/articles/PMC10240167/.</w:t>
      </w:r>
    </w:p>
    <w:p w:rsidR="001A7981" w:rsidP="785FE055" w:rsidRDefault="0010593F" w14:paraId="1EA8F6C6"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O´Connor, C., Bridges-Smith, F., Docherty, C., Research Network, N.D.P.B. and Holliday, R. (2022). General dental practitioner views on the current and future provision of advanced NHS restorative dentistry services: a cross-sectional survey in England. </w:t>
      </w:r>
      <w:r w:rsidRPr="785FE055" w:rsidR="0010593F">
        <w:rPr>
          <w:rFonts w:ascii="Arial" w:hAnsi="Arial" w:eastAsia="Arial" w:cs="Arial"/>
          <w:i w:val="1"/>
          <w:iCs w:val="1"/>
          <w:lang w:val="en-US"/>
        </w:rPr>
        <w:t>British Dental Journal</w:t>
      </w:r>
      <w:r w:rsidRPr="785FE055" w:rsidR="0010593F">
        <w:rPr>
          <w:rFonts w:ascii="Arial" w:hAnsi="Arial" w:eastAsia="Arial" w:cs="Arial"/>
          <w:lang w:val="en-US"/>
        </w:rPr>
        <w:t xml:space="preserve">. </w:t>
      </w:r>
      <w:r w:rsidRPr="785FE055" w:rsidR="0010593F">
        <w:rPr>
          <w:rFonts w:ascii="Arial" w:hAnsi="Arial" w:eastAsia="Arial" w:cs="Arial"/>
          <w:lang w:val="en-US"/>
        </w:rPr>
        <w:t>doi:https</w:t>
      </w:r>
      <w:r w:rsidRPr="785FE055" w:rsidR="0010593F">
        <w:rPr>
          <w:rFonts w:ascii="Arial" w:hAnsi="Arial" w:eastAsia="Arial" w:cs="Arial"/>
          <w:lang w:val="en-US"/>
        </w:rPr>
        <w:t>://doi.org/10.1038/s41415-022-4035-y.</w:t>
      </w:r>
    </w:p>
    <w:p w:rsidR="001A7981" w:rsidP="785FE055" w:rsidRDefault="0010593F" w14:paraId="530FDAC7"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Smeeth, L., Kumar, P., Adebowale, V. and Abbasi, K. (2024). The BMJ’s NHS commission: an emphatic recommitment to the founding principles. </w:t>
      </w:r>
      <w:r w:rsidRPr="785FE055" w:rsidR="0010593F">
        <w:rPr>
          <w:rFonts w:ascii="Arial" w:hAnsi="Arial" w:eastAsia="Arial" w:cs="Arial"/>
          <w:i w:val="1"/>
          <w:iCs w:val="1"/>
          <w:lang w:val="en-US"/>
        </w:rPr>
        <w:t>BMJ</w:t>
      </w:r>
      <w:r w:rsidRPr="785FE055" w:rsidR="0010593F">
        <w:rPr>
          <w:rFonts w:ascii="Arial" w:hAnsi="Arial" w:eastAsia="Arial" w:cs="Arial"/>
          <w:lang w:val="en-US"/>
        </w:rPr>
        <w:t xml:space="preserve">, [online] 384, p.q187. </w:t>
      </w:r>
      <w:r w:rsidRPr="785FE055" w:rsidR="0010593F">
        <w:rPr>
          <w:rFonts w:ascii="Arial" w:hAnsi="Arial" w:eastAsia="Arial" w:cs="Arial"/>
          <w:lang w:val="en-US"/>
        </w:rPr>
        <w:t>doi:https</w:t>
      </w:r>
      <w:r w:rsidRPr="785FE055" w:rsidR="0010593F">
        <w:rPr>
          <w:rFonts w:ascii="Arial" w:hAnsi="Arial" w:eastAsia="Arial" w:cs="Arial"/>
          <w:lang w:val="en-US"/>
        </w:rPr>
        <w:t>://doi.org/10.1136/bmj.q187.</w:t>
      </w:r>
    </w:p>
    <w:p w:rsidR="001A7981" w:rsidP="785FE055" w:rsidRDefault="0010593F" w14:paraId="2248DDC2" w14:textId="77777777">
      <w:pPr>
        <w:spacing w:line="360" w:lineRule="auto"/>
        <w:ind w:left="720" w:hanging="720"/>
        <w:rPr>
          <w:rFonts w:ascii="Arial" w:hAnsi="Arial" w:eastAsia="Arial" w:cs="Arial"/>
          <w:lang w:val="en-US"/>
        </w:rPr>
      </w:pPr>
      <w:r w:rsidRPr="785FE055" w:rsidR="0010593F">
        <w:rPr>
          <w:rFonts w:ascii="Arial" w:hAnsi="Arial" w:eastAsia="Arial" w:cs="Arial"/>
          <w:lang w:val="en-US"/>
        </w:rPr>
        <w:t xml:space="preserve">Tidman, S. (2023). UK dentistry: a timeline of events 1920-2020 - Part 2: 1946-1993. </w:t>
      </w:r>
      <w:r w:rsidRPr="785FE055" w:rsidR="0010593F">
        <w:rPr>
          <w:rFonts w:ascii="Arial" w:hAnsi="Arial" w:eastAsia="Arial" w:cs="Arial"/>
          <w:i w:val="1"/>
          <w:iCs w:val="1"/>
          <w:lang w:val="en-US"/>
        </w:rPr>
        <w:t>BDJ</w:t>
      </w:r>
      <w:r w:rsidRPr="785FE055" w:rsidR="0010593F">
        <w:rPr>
          <w:rFonts w:ascii="Arial" w:hAnsi="Arial" w:eastAsia="Arial" w:cs="Arial"/>
          <w:lang w:val="en-US"/>
        </w:rPr>
        <w:t xml:space="preserve">, [online] 235(5), pp.335–343. </w:t>
      </w:r>
      <w:r w:rsidRPr="785FE055" w:rsidR="0010593F">
        <w:rPr>
          <w:rFonts w:ascii="Arial" w:hAnsi="Arial" w:eastAsia="Arial" w:cs="Arial"/>
          <w:lang w:val="en-US"/>
        </w:rPr>
        <w:t>doi:https</w:t>
      </w:r>
      <w:r w:rsidRPr="785FE055" w:rsidR="0010593F">
        <w:rPr>
          <w:rFonts w:ascii="Arial" w:hAnsi="Arial" w:eastAsia="Arial" w:cs="Arial"/>
          <w:lang w:val="en-US"/>
        </w:rPr>
        <w:t>://doi.org/10.1038/s41415-023-6257-z.</w:t>
      </w:r>
    </w:p>
    <w:p w:rsidR="001A7981" w:rsidRDefault="001A7981" w14:paraId="607030AB" w14:textId="77777777">
      <w:pPr>
        <w:rPr>
          <w:rFonts w:ascii="Arial" w:hAnsi="Arial" w:eastAsia="Arial" w:cs="Arial"/>
        </w:rPr>
      </w:pPr>
    </w:p>
    <w:sectPr w:rsidR="001A7981">
      <w:footerReference w:type="default" r:id="rId7"/>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593F" w:rsidRDefault="0010593F" w14:paraId="058FEFC1" w14:textId="77777777">
      <w:pPr>
        <w:spacing w:after="0" w:line="240" w:lineRule="auto"/>
      </w:pPr>
      <w:r>
        <w:separator/>
      </w:r>
    </w:p>
  </w:endnote>
  <w:endnote w:type="continuationSeparator" w:id="0">
    <w:p w:rsidR="0010593F" w:rsidRDefault="0010593F" w14:paraId="1AFB49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7981" w:rsidRDefault="0010593F" w14:paraId="3BE9CE8F" w14:textId="7777777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1A7981" w:rsidRDefault="001A7981" w14:paraId="13A61F97" w14:textId="7777777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593F" w:rsidRDefault="0010593F" w14:paraId="51AE98CB" w14:textId="77777777">
      <w:pPr>
        <w:spacing w:after="0" w:line="240" w:lineRule="auto"/>
      </w:pPr>
      <w:r>
        <w:separator/>
      </w:r>
    </w:p>
  </w:footnote>
  <w:footnote w:type="continuationSeparator" w:id="0">
    <w:p w:rsidR="0010593F" w:rsidRDefault="0010593F" w14:paraId="574CAAD1" w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81"/>
    <w:rsid w:val="0010593F"/>
    <w:rsid w:val="00182448"/>
    <w:rsid w:val="001A7981"/>
    <w:rsid w:val="002F0276"/>
    <w:rsid w:val="003872FC"/>
    <w:rsid w:val="004D7914"/>
    <w:rsid w:val="00CB7FA7"/>
    <w:rsid w:val="1EEFFC88"/>
    <w:rsid w:val="785FE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2414AF"/>
  <w15:docId w15:val="{A1306741-C08D-BA43-850F-46E8A8BB02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line="360" w:lineRule="auto"/>
      <w:outlineLvl w:val="0"/>
    </w:pPr>
    <w:rPr>
      <w:rFonts w:ascii="Arial" w:hAnsi="Arial" w:eastAsia="Arial" w:cs="Arial"/>
      <w:b/>
    </w:rPr>
  </w:style>
  <w:style w:type="paragraph" w:styleId="Heading2">
    <w:name w:val="heading 2"/>
    <w:basedOn w:val="Normal"/>
    <w:next w:val="Normal"/>
    <w:uiPriority w:val="9"/>
    <w:semiHidden/>
    <w:unhideWhenUsed/>
    <w:qFormat/>
    <w:pPr>
      <w:keepNext/>
      <w:keepLines/>
      <w:spacing w:before="40" w:after="0" w:line="360" w:lineRule="auto"/>
      <w:outlineLvl w:val="1"/>
    </w:pPr>
    <w:rPr>
      <w:rFonts w:ascii="Arial" w:hAnsi="Arial" w:eastAsia="Arial" w:cs="Arial"/>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Nasreen Ahmed (2428725)</lastModifiedBy>
  <revision>4</revision>
  <dcterms:created xsi:type="dcterms:W3CDTF">2025-10-04T11:07:00.0000000Z</dcterms:created>
  <dcterms:modified xsi:type="dcterms:W3CDTF">2025-10-09T08:28:24.6825822Z</dcterms:modified>
</coreProperties>
</file>