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DD2" w:rsidRPr="00FE4403" w:rsidRDefault="00E54DD2" w:rsidP="00301EB9">
      <w:pPr>
        <w:jc w:val="center"/>
        <w:rPr>
          <w:rFonts w:ascii="Calibri" w:hAnsi="Calibri"/>
          <w:b/>
          <w:sz w:val="36"/>
          <w:szCs w:val="36"/>
        </w:rPr>
      </w:pPr>
      <w:r w:rsidRPr="00FE4403">
        <w:rPr>
          <w:rFonts w:ascii="Calibri" w:hAnsi="Calibri"/>
          <w:b/>
          <w:sz w:val="36"/>
          <w:szCs w:val="36"/>
        </w:rPr>
        <w:t>BACHELOR’S DEGREE ASSIGNMENT SPECIFICATION</w:t>
      </w:r>
    </w:p>
    <w:p w:rsidR="00301EB9" w:rsidRPr="00FE4403" w:rsidRDefault="00301EB9" w:rsidP="00301EB9">
      <w:pPr>
        <w:jc w:val="center"/>
        <w:rPr>
          <w:rFonts w:ascii="Calibri" w:hAnsi="Calibri"/>
          <w:b/>
          <w:sz w:val="36"/>
          <w:szCs w:val="36"/>
        </w:rPr>
      </w:pPr>
      <w:r w:rsidRPr="00FE4403">
        <w:rPr>
          <w:rFonts w:ascii="Calibri" w:hAnsi="Calibri"/>
          <w:b/>
          <w:sz w:val="36"/>
          <w:szCs w:val="36"/>
        </w:rPr>
        <w:t>School of Social Justice and Inclusion</w:t>
      </w:r>
    </w:p>
    <w:p w:rsidR="00E54DD2" w:rsidRPr="00FE4403" w:rsidRDefault="00EA6672" w:rsidP="00301EB9">
      <w:pPr>
        <w:jc w:val="center"/>
        <w:rPr>
          <w:rFonts w:ascii="Calibri" w:hAnsi="Calibri"/>
          <w:b/>
          <w:i/>
          <w:sz w:val="36"/>
          <w:szCs w:val="36"/>
        </w:rPr>
      </w:pPr>
      <w:r>
        <w:rPr>
          <w:rFonts w:ascii="Calibri" w:hAnsi="Calibri"/>
          <w:b/>
          <w:i/>
          <w:sz w:val="36"/>
          <w:szCs w:val="36"/>
        </w:rPr>
        <w:t>MSocStud/BASS/SI</w:t>
      </w:r>
    </w:p>
    <w:p w:rsidR="00720DCB" w:rsidRPr="00FE4403" w:rsidRDefault="00720DCB" w:rsidP="00E54DD2">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8"/>
      </w:tblGrid>
      <w:tr w:rsidR="00E35D7A" w:rsidRPr="00FE4403" w:rsidTr="00D441FB">
        <w:tc>
          <w:tcPr>
            <w:tcW w:w="3780" w:type="dxa"/>
          </w:tcPr>
          <w:p w:rsidR="00E35D7A" w:rsidRPr="00FE4403" w:rsidRDefault="00E35D7A" w:rsidP="00532AC4">
            <w:pPr>
              <w:jc w:val="center"/>
              <w:rPr>
                <w:rStyle w:val="FootnoteReference"/>
                <w:rFonts w:ascii="Calibri" w:hAnsi="Calibri"/>
                <w:b/>
                <w:i/>
                <w:sz w:val="32"/>
                <w:szCs w:val="32"/>
                <w:u w:val="single"/>
              </w:rPr>
            </w:pPr>
            <w:r w:rsidRPr="00FE4403">
              <w:rPr>
                <w:rFonts w:ascii="Calibri" w:hAnsi="Calibri"/>
                <w:b/>
                <w:sz w:val="32"/>
                <w:szCs w:val="32"/>
                <w:u w:val="single"/>
              </w:rPr>
              <w:t>Provisional Mark</w:t>
            </w:r>
          </w:p>
          <w:p w:rsidR="00E35D7A" w:rsidRPr="00FE4403" w:rsidRDefault="00E35D7A" w:rsidP="00532AC4">
            <w:pPr>
              <w:jc w:val="center"/>
              <w:rPr>
                <w:rFonts w:ascii="Calibri" w:hAnsi="Calibri"/>
                <w:color w:val="FF0000"/>
                <w:sz w:val="20"/>
                <w:u w:val="single"/>
              </w:rPr>
            </w:pPr>
            <w:r w:rsidRPr="00FE4403">
              <w:rPr>
                <w:rFonts w:ascii="Calibri" w:hAnsi="Calibri" w:cs="Tahoma"/>
                <w:i/>
                <w:iCs/>
                <w:color w:val="FF0000"/>
                <w:sz w:val="20"/>
              </w:rPr>
              <w:t>All marks are subject to moderation and scrutiny by External Examiners</w:t>
            </w:r>
          </w:p>
        </w:tc>
        <w:tc>
          <w:tcPr>
            <w:tcW w:w="1138" w:type="dxa"/>
          </w:tcPr>
          <w:p w:rsidR="00E35D7A" w:rsidRPr="00FE4403" w:rsidRDefault="00E35D7A" w:rsidP="00532AC4">
            <w:pPr>
              <w:jc w:val="center"/>
              <w:rPr>
                <w:rFonts w:ascii="Calibri" w:hAnsi="Calibri"/>
                <w:b/>
                <w:sz w:val="32"/>
                <w:szCs w:val="32"/>
                <w:u w:val="single"/>
              </w:rPr>
            </w:pPr>
            <w:r w:rsidRPr="00064B3A">
              <w:rPr>
                <w:rFonts w:ascii="Calibri" w:hAnsi="Calibri"/>
                <w:b/>
                <w:sz w:val="32"/>
                <w:szCs w:val="32"/>
                <w:u w:val="single"/>
              </w:rPr>
              <w:t>%</w:t>
            </w:r>
          </w:p>
        </w:tc>
      </w:tr>
    </w:tbl>
    <w:p w:rsidR="00F53613" w:rsidRPr="00FE4403" w:rsidRDefault="00F53613" w:rsidP="00DE26F5">
      <w:pPr>
        <w:spacing w:line="360" w:lineRule="auto"/>
        <w:jc w:val="center"/>
        <w:rPr>
          <w:rFonts w:ascii="Calibri" w:hAnsi="Calibri"/>
          <w:b/>
          <w:color w:val="FF0000"/>
          <w:sz w:val="28"/>
          <w:szCs w:val="28"/>
          <w:u w:val="single"/>
        </w:rPr>
      </w:pPr>
    </w:p>
    <w:p w:rsidR="00370371" w:rsidRPr="00FE4403" w:rsidRDefault="00370371" w:rsidP="00DE26F5">
      <w:pPr>
        <w:spacing w:line="360" w:lineRule="auto"/>
        <w:jc w:val="center"/>
        <w:rPr>
          <w:rFonts w:ascii="Calibri" w:hAnsi="Calibri"/>
          <w:b/>
          <w:color w:val="FF0000"/>
          <w:sz w:val="28"/>
          <w:szCs w:val="28"/>
          <w:u w:val="single"/>
        </w:rPr>
      </w:pPr>
    </w:p>
    <w:p w:rsidR="00585EA0" w:rsidRPr="00FE4403" w:rsidRDefault="00585EA0" w:rsidP="00DE26F5">
      <w:pPr>
        <w:spacing w:line="360" w:lineRule="auto"/>
        <w:jc w:val="center"/>
        <w:rPr>
          <w:rFonts w:ascii="Calibri" w:hAnsi="Calibri"/>
          <w:b/>
          <w:color w:val="FF0000"/>
          <w:sz w:val="28"/>
          <w:szCs w:val="28"/>
          <w:u w:val="single"/>
        </w:rPr>
      </w:pPr>
      <w:r w:rsidRPr="00FE4403">
        <w:rPr>
          <w:rFonts w:ascii="Calibri" w:hAnsi="Calibri"/>
          <w:b/>
          <w:color w:val="FF0000"/>
          <w:sz w:val="28"/>
          <w:szCs w:val="28"/>
          <w:u w:val="single"/>
        </w:rPr>
        <w:t>For Completion by Students</w:t>
      </w:r>
    </w:p>
    <w:p w:rsidR="00DE26F5" w:rsidRDefault="00DE26F5" w:rsidP="00DE26F5">
      <w:pPr>
        <w:jc w:val="cente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51"/>
        <w:gridCol w:w="2268"/>
        <w:gridCol w:w="1070"/>
        <w:gridCol w:w="429"/>
        <w:gridCol w:w="1231"/>
        <w:gridCol w:w="675"/>
        <w:gridCol w:w="1415"/>
        <w:gridCol w:w="2397"/>
      </w:tblGrid>
      <w:tr w:rsidR="00912DBA" w:rsidRPr="00FE4403" w:rsidTr="00A70425">
        <w:tc>
          <w:tcPr>
            <w:tcW w:w="1951" w:type="dxa"/>
            <w:shd w:val="clear" w:color="auto" w:fill="D9D9D9"/>
          </w:tcPr>
          <w:p w:rsidR="00912DBA" w:rsidRPr="00FE4403" w:rsidRDefault="00912DBA" w:rsidP="00FE4403">
            <w:pPr>
              <w:spacing w:after="120"/>
              <w:rPr>
                <w:rFonts w:ascii="Calibri" w:hAnsi="Calibri"/>
                <w:b/>
                <w:szCs w:val="24"/>
              </w:rPr>
            </w:pPr>
            <w:r w:rsidRPr="00FE4403">
              <w:rPr>
                <w:rFonts w:ascii="Calibri" w:hAnsi="Calibri"/>
                <w:b/>
                <w:szCs w:val="24"/>
              </w:rPr>
              <w:t>Student Number:</w:t>
            </w:r>
          </w:p>
        </w:tc>
        <w:tc>
          <w:tcPr>
            <w:tcW w:w="3338" w:type="dxa"/>
            <w:gridSpan w:val="2"/>
            <w:shd w:val="clear" w:color="auto" w:fill="auto"/>
          </w:tcPr>
          <w:p w:rsidR="00912DBA" w:rsidRPr="00FE4403" w:rsidRDefault="00C01D44" w:rsidP="00FE4403">
            <w:pPr>
              <w:spacing w:after="120"/>
              <w:rPr>
                <w:rFonts w:ascii="Calibri" w:hAnsi="Calibri"/>
                <w:szCs w:val="24"/>
              </w:rPr>
            </w:pPr>
            <w:r>
              <w:rPr>
                <w:rFonts w:ascii="Calibri" w:hAnsi="Calibri"/>
                <w:szCs w:val="24"/>
              </w:rPr>
              <w:t>1502220</w:t>
            </w:r>
          </w:p>
        </w:tc>
        <w:tc>
          <w:tcPr>
            <w:tcW w:w="1660" w:type="dxa"/>
            <w:gridSpan w:val="2"/>
            <w:shd w:val="clear" w:color="auto" w:fill="D9D9D9"/>
          </w:tcPr>
          <w:p w:rsidR="00912DBA" w:rsidRPr="00FE4403" w:rsidRDefault="00912DBA" w:rsidP="00FE4403">
            <w:pPr>
              <w:spacing w:after="120"/>
              <w:rPr>
                <w:rFonts w:ascii="Calibri" w:hAnsi="Calibri"/>
                <w:b/>
                <w:szCs w:val="24"/>
              </w:rPr>
            </w:pPr>
            <w:r w:rsidRPr="00FE4403">
              <w:rPr>
                <w:rFonts w:ascii="Calibri" w:hAnsi="Calibri"/>
                <w:b/>
                <w:szCs w:val="24"/>
              </w:rPr>
              <w:t>Student Name:</w:t>
            </w:r>
          </w:p>
        </w:tc>
        <w:tc>
          <w:tcPr>
            <w:tcW w:w="4487" w:type="dxa"/>
            <w:gridSpan w:val="3"/>
            <w:shd w:val="clear" w:color="auto" w:fill="auto"/>
          </w:tcPr>
          <w:p w:rsidR="00912DBA" w:rsidRPr="00FE4403" w:rsidRDefault="00C01D44" w:rsidP="00FE4403">
            <w:pPr>
              <w:spacing w:after="120"/>
              <w:rPr>
                <w:rFonts w:ascii="Calibri" w:hAnsi="Calibri"/>
                <w:szCs w:val="24"/>
              </w:rPr>
            </w:pPr>
            <w:r>
              <w:rPr>
                <w:rFonts w:ascii="Calibri" w:hAnsi="Calibri"/>
                <w:szCs w:val="24"/>
              </w:rPr>
              <w:t>A B Daniels</w:t>
            </w:r>
          </w:p>
        </w:tc>
      </w:tr>
      <w:tr w:rsidR="00912DBA" w:rsidRPr="00FE4403" w:rsidTr="00A70425">
        <w:tc>
          <w:tcPr>
            <w:tcW w:w="1951" w:type="dxa"/>
            <w:shd w:val="clear" w:color="auto" w:fill="D9D9D9"/>
          </w:tcPr>
          <w:p w:rsidR="00912DBA" w:rsidRPr="00FE4403" w:rsidRDefault="00912DBA" w:rsidP="00FE4403">
            <w:pPr>
              <w:spacing w:after="120"/>
              <w:rPr>
                <w:rFonts w:ascii="Calibri" w:hAnsi="Calibri"/>
                <w:b/>
                <w:szCs w:val="24"/>
              </w:rPr>
            </w:pPr>
            <w:r w:rsidRPr="00FE4403">
              <w:rPr>
                <w:rFonts w:ascii="Calibri" w:hAnsi="Calibri"/>
                <w:b/>
                <w:szCs w:val="24"/>
              </w:rPr>
              <w:t>Lecturer:</w:t>
            </w:r>
          </w:p>
        </w:tc>
        <w:tc>
          <w:tcPr>
            <w:tcW w:w="3338" w:type="dxa"/>
            <w:gridSpan w:val="2"/>
            <w:shd w:val="clear" w:color="auto" w:fill="auto"/>
          </w:tcPr>
          <w:p w:rsidR="00912DBA" w:rsidRPr="00480985" w:rsidRDefault="00C01D44" w:rsidP="007A23CB">
            <w:pPr>
              <w:spacing w:after="120"/>
              <w:rPr>
                <w:rFonts w:ascii="Calibri" w:hAnsi="Calibri"/>
                <w:b/>
                <w:szCs w:val="24"/>
              </w:rPr>
            </w:pPr>
            <w:r>
              <w:rPr>
                <w:rFonts w:ascii="Calibri" w:hAnsi="Calibri"/>
                <w:b/>
                <w:szCs w:val="24"/>
              </w:rPr>
              <w:t>Caroline Lohmann-Hancock</w:t>
            </w:r>
          </w:p>
        </w:tc>
        <w:tc>
          <w:tcPr>
            <w:tcW w:w="1660" w:type="dxa"/>
            <w:gridSpan w:val="2"/>
            <w:shd w:val="clear" w:color="auto" w:fill="D9D9D9"/>
          </w:tcPr>
          <w:p w:rsidR="00912DBA" w:rsidRPr="00FE4403" w:rsidRDefault="00912DBA" w:rsidP="00FE4403">
            <w:pPr>
              <w:spacing w:after="120"/>
              <w:rPr>
                <w:rFonts w:ascii="Calibri" w:hAnsi="Calibri"/>
                <w:b/>
                <w:szCs w:val="24"/>
              </w:rPr>
            </w:pPr>
            <w:r w:rsidRPr="00FE4403">
              <w:rPr>
                <w:rFonts w:ascii="Calibri" w:hAnsi="Calibri"/>
                <w:b/>
                <w:szCs w:val="24"/>
              </w:rPr>
              <w:t>Internal Verifier:</w:t>
            </w:r>
          </w:p>
        </w:tc>
        <w:tc>
          <w:tcPr>
            <w:tcW w:w="4487" w:type="dxa"/>
            <w:gridSpan w:val="3"/>
            <w:shd w:val="clear" w:color="auto" w:fill="auto"/>
          </w:tcPr>
          <w:p w:rsidR="00912DBA" w:rsidRPr="00480985" w:rsidRDefault="007A23CB" w:rsidP="00FE4403">
            <w:pPr>
              <w:spacing w:after="120"/>
              <w:rPr>
                <w:rFonts w:ascii="Calibri" w:hAnsi="Calibri"/>
                <w:b/>
                <w:szCs w:val="24"/>
              </w:rPr>
            </w:pPr>
            <w:r>
              <w:rPr>
                <w:rFonts w:ascii="Calibri" w:hAnsi="Calibri"/>
                <w:b/>
                <w:szCs w:val="24"/>
              </w:rPr>
              <w:t>CLH/NW/PM/CH/KD/HG</w:t>
            </w:r>
          </w:p>
        </w:tc>
      </w:tr>
      <w:tr w:rsidR="00912DBA" w:rsidRPr="00FE4403" w:rsidTr="00A70425">
        <w:tc>
          <w:tcPr>
            <w:tcW w:w="1951" w:type="dxa"/>
            <w:shd w:val="clear" w:color="auto" w:fill="D9D9D9"/>
          </w:tcPr>
          <w:p w:rsidR="00912DBA" w:rsidRPr="00FE4403" w:rsidRDefault="00912DBA" w:rsidP="00FE4403">
            <w:pPr>
              <w:spacing w:after="120"/>
              <w:rPr>
                <w:rFonts w:ascii="Calibri" w:hAnsi="Calibri"/>
                <w:b/>
                <w:szCs w:val="24"/>
              </w:rPr>
            </w:pPr>
            <w:r w:rsidRPr="00FE4403">
              <w:rPr>
                <w:rFonts w:ascii="Calibri" w:hAnsi="Calibri"/>
                <w:b/>
                <w:szCs w:val="24"/>
              </w:rPr>
              <w:t>Module Code No:</w:t>
            </w:r>
          </w:p>
        </w:tc>
        <w:tc>
          <w:tcPr>
            <w:tcW w:w="3338" w:type="dxa"/>
            <w:gridSpan w:val="2"/>
            <w:shd w:val="clear" w:color="auto" w:fill="auto"/>
          </w:tcPr>
          <w:p w:rsidR="00912DBA" w:rsidRPr="00480985" w:rsidRDefault="008859C0" w:rsidP="00FE4403">
            <w:pPr>
              <w:spacing w:after="120"/>
              <w:rPr>
                <w:rFonts w:ascii="Calibri" w:hAnsi="Calibri"/>
                <w:b/>
                <w:szCs w:val="24"/>
              </w:rPr>
            </w:pPr>
            <w:r w:rsidRPr="008859C0">
              <w:rPr>
                <w:rFonts w:ascii="Calibri" w:hAnsi="Calibri"/>
                <w:b/>
                <w:szCs w:val="24"/>
              </w:rPr>
              <w:t>SJSI6022</w:t>
            </w:r>
          </w:p>
        </w:tc>
        <w:tc>
          <w:tcPr>
            <w:tcW w:w="1660" w:type="dxa"/>
            <w:gridSpan w:val="2"/>
            <w:shd w:val="clear" w:color="auto" w:fill="D9D9D9"/>
          </w:tcPr>
          <w:p w:rsidR="00912DBA" w:rsidRPr="00FE4403" w:rsidRDefault="007A49C6" w:rsidP="00FE4403">
            <w:pPr>
              <w:spacing w:after="120"/>
              <w:rPr>
                <w:rFonts w:ascii="Calibri" w:hAnsi="Calibri"/>
                <w:b/>
                <w:szCs w:val="24"/>
              </w:rPr>
            </w:pPr>
            <w:r w:rsidRPr="00FE4403">
              <w:rPr>
                <w:rFonts w:ascii="Calibri" w:hAnsi="Calibri"/>
                <w:b/>
                <w:szCs w:val="24"/>
              </w:rPr>
              <w:t>Module Title</w:t>
            </w:r>
          </w:p>
        </w:tc>
        <w:tc>
          <w:tcPr>
            <w:tcW w:w="4487" w:type="dxa"/>
            <w:gridSpan w:val="3"/>
            <w:shd w:val="clear" w:color="auto" w:fill="auto"/>
          </w:tcPr>
          <w:p w:rsidR="00912DBA" w:rsidRPr="00480985" w:rsidRDefault="008859C0" w:rsidP="00FE4403">
            <w:pPr>
              <w:spacing w:after="120"/>
              <w:rPr>
                <w:rFonts w:ascii="Calibri" w:hAnsi="Calibri"/>
                <w:b/>
                <w:szCs w:val="24"/>
              </w:rPr>
            </w:pPr>
            <w:r w:rsidRPr="008859C0">
              <w:rPr>
                <w:rFonts w:ascii="Calibri" w:hAnsi="Calibri"/>
                <w:b/>
                <w:szCs w:val="24"/>
              </w:rPr>
              <w:t>Individuals and Families: Living in the Contemporary World</w:t>
            </w:r>
          </w:p>
        </w:tc>
      </w:tr>
      <w:tr w:rsidR="00CB48FB" w:rsidRPr="00FE4403" w:rsidTr="00E434D0">
        <w:tc>
          <w:tcPr>
            <w:tcW w:w="1951" w:type="dxa"/>
            <w:shd w:val="clear" w:color="auto" w:fill="D9D9D9"/>
          </w:tcPr>
          <w:p w:rsidR="00CB48FB" w:rsidRDefault="00CB48FB" w:rsidP="00E434D0">
            <w:pPr>
              <w:spacing w:after="120"/>
              <w:rPr>
                <w:rFonts w:ascii="Calibri" w:hAnsi="Calibri"/>
                <w:b/>
                <w:szCs w:val="24"/>
              </w:rPr>
            </w:pPr>
            <w:r>
              <w:rPr>
                <w:rFonts w:ascii="Calibri" w:hAnsi="Calibri"/>
                <w:b/>
                <w:szCs w:val="24"/>
              </w:rPr>
              <w:t>Module Weighting:</w:t>
            </w:r>
          </w:p>
        </w:tc>
        <w:tc>
          <w:tcPr>
            <w:tcW w:w="2268" w:type="dxa"/>
            <w:shd w:val="clear" w:color="auto" w:fill="auto"/>
          </w:tcPr>
          <w:p w:rsidR="00CB48FB" w:rsidRDefault="008859C0" w:rsidP="00BF2B44">
            <w:pPr>
              <w:spacing w:after="120"/>
              <w:rPr>
                <w:rFonts w:ascii="Calibri" w:hAnsi="Calibri"/>
                <w:b/>
                <w:szCs w:val="24"/>
              </w:rPr>
            </w:pPr>
            <w:r w:rsidRPr="008859C0">
              <w:rPr>
                <w:rFonts w:ascii="Calibri" w:hAnsi="Calibri"/>
                <w:b/>
                <w:szCs w:val="24"/>
              </w:rPr>
              <w:t>50%</w:t>
            </w:r>
          </w:p>
        </w:tc>
        <w:tc>
          <w:tcPr>
            <w:tcW w:w="1499" w:type="dxa"/>
            <w:gridSpan w:val="2"/>
            <w:shd w:val="clear" w:color="auto" w:fill="D9D9D9"/>
          </w:tcPr>
          <w:p w:rsidR="00CB48FB" w:rsidRDefault="00CB48FB" w:rsidP="00E434D0">
            <w:pPr>
              <w:spacing w:after="120"/>
              <w:rPr>
                <w:rFonts w:ascii="Calibri" w:hAnsi="Calibri"/>
                <w:b/>
                <w:szCs w:val="24"/>
              </w:rPr>
            </w:pPr>
            <w:r>
              <w:rPr>
                <w:rFonts w:ascii="Calibri" w:hAnsi="Calibri"/>
                <w:b/>
                <w:szCs w:val="24"/>
              </w:rPr>
              <w:t>Module Type:</w:t>
            </w:r>
          </w:p>
        </w:tc>
        <w:tc>
          <w:tcPr>
            <w:tcW w:w="1906" w:type="dxa"/>
            <w:gridSpan w:val="2"/>
            <w:shd w:val="clear" w:color="auto" w:fill="auto"/>
          </w:tcPr>
          <w:p w:rsidR="008859C0" w:rsidRPr="008859C0" w:rsidRDefault="008859C0" w:rsidP="008859C0">
            <w:pPr>
              <w:spacing w:after="120"/>
              <w:rPr>
                <w:rFonts w:ascii="Calibri" w:hAnsi="Calibri"/>
                <w:b/>
                <w:szCs w:val="24"/>
              </w:rPr>
            </w:pPr>
            <w:r w:rsidRPr="008859C0">
              <w:rPr>
                <w:rFonts w:ascii="Calibri" w:hAnsi="Calibri"/>
                <w:b/>
                <w:szCs w:val="24"/>
              </w:rPr>
              <w:t>Essay</w:t>
            </w:r>
          </w:p>
          <w:p w:rsidR="00CB48FB" w:rsidRDefault="008859C0" w:rsidP="008859C0">
            <w:pPr>
              <w:spacing w:after="120"/>
              <w:rPr>
                <w:rFonts w:ascii="Calibri" w:hAnsi="Calibri"/>
                <w:b/>
                <w:szCs w:val="24"/>
              </w:rPr>
            </w:pPr>
            <w:r w:rsidRPr="008859C0">
              <w:rPr>
                <w:rFonts w:ascii="Calibri" w:hAnsi="Calibri"/>
                <w:b/>
                <w:szCs w:val="24"/>
              </w:rPr>
              <w:t>3000 words</w:t>
            </w:r>
          </w:p>
        </w:tc>
        <w:tc>
          <w:tcPr>
            <w:tcW w:w="1415" w:type="dxa"/>
            <w:shd w:val="clear" w:color="auto" w:fill="D9D9D9"/>
          </w:tcPr>
          <w:p w:rsidR="00CB48FB" w:rsidRDefault="00CB48FB" w:rsidP="00E434D0">
            <w:pPr>
              <w:spacing w:after="120"/>
              <w:rPr>
                <w:rFonts w:ascii="Calibri" w:hAnsi="Calibri"/>
                <w:b/>
                <w:szCs w:val="24"/>
              </w:rPr>
            </w:pPr>
            <w:r>
              <w:rPr>
                <w:rFonts w:ascii="Calibri" w:hAnsi="Calibri"/>
                <w:b/>
                <w:szCs w:val="24"/>
              </w:rPr>
              <w:t>Assessment No:</w:t>
            </w:r>
          </w:p>
        </w:tc>
        <w:tc>
          <w:tcPr>
            <w:tcW w:w="2397" w:type="dxa"/>
            <w:shd w:val="clear" w:color="auto" w:fill="auto"/>
          </w:tcPr>
          <w:p w:rsidR="00CB48FB" w:rsidRDefault="007A23CB" w:rsidP="00E434D0">
            <w:pPr>
              <w:spacing w:after="120"/>
              <w:rPr>
                <w:rFonts w:ascii="Calibri" w:hAnsi="Calibri"/>
                <w:b/>
                <w:szCs w:val="24"/>
              </w:rPr>
            </w:pPr>
            <w:r w:rsidRPr="007A23CB">
              <w:rPr>
                <w:rFonts w:ascii="Calibri" w:hAnsi="Calibri"/>
                <w:b/>
                <w:szCs w:val="24"/>
              </w:rPr>
              <w:t xml:space="preserve">Ass </w:t>
            </w:r>
            <w:r w:rsidR="007478DF">
              <w:rPr>
                <w:rFonts w:ascii="Calibri" w:hAnsi="Calibri"/>
                <w:b/>
                <w:szCs w:val="24"/>
              </w:rPr>
              <w:t>1</w:t>
            </w:r>
          </w:p>
        </w:tc>
      </w:tr>
      <w:tr w:rsidR="007A49C6" w:rsidRPr="00FE4403" w:rsidTr="00A70425">
        <w:tc>
          <w:tcPr>
            <w:tcW w:w="1951" w:type="dxa"/>
            <w:shd w:val="clear" w:color="auto" w:fill="D9D9D9"/>
          </w:tcPr>
          <w:p w:rsidR="007A49C6" w:rsidRPr="00FE4403" w:rsidRDefault="007A49C6" w:rsidP="00FE4403">
            <w:pPr>
              <w:spacing w:after="120"/>
              <w:rPr>
                <w:rFonts w:ascii="Calibri" w:hAnsi="Calibri"/>
                <w:b/>
                <w:szCs w:val="24"/>
              </w:rPr>
            </w:pPr>
            <w:r w:rsidRPr="00FE4403">
              <w:rPr>
                <w:rFonts w:ascii="Calibri" w:hAnsi="Calibri"/>
                <w:b/>
                <w:szCs w:val="24"/>
              </w:rPr>
              <w:t>Question Title:</w:t>
            </w:r>
          </w:p>
        </w:tc>
        <w:tc>
          <w:tcPr>
            <w:tcW w:w="9485" w:type="dxa"/>
            <w:gridSpan w:val="7"/>
            <w:shd w:val="clear" w:color="auto" w:fill="auto"/>
          </w:tcPr>
          <w:p w:rsidR="007A49C6" w:rsidRPr="00FE4403" w:rsidRDefault="008859C0" w:rsidP="000A6026">
            <w:pPr>
              <w:spacing w:after="120"/>
              <w:rPr>
                <w:rFonts w:ascii="Calibri" w:hAnsi="Calibri"/>
                <w:b/>
                <w:szCs w:val="24"/>
              </w:rPr>
            </w:pPr>
            <w:r w:rsidRPr="008859C0">
              <w:rPr>
                <w:rFonts w:ascii="Calibri" w:hAnsi="Calibri"/>
                <w:b/>
                <w:i/>
                <w:szCs w:val="24"/>
              </w:rPr>
              <w:t>Critically reflect upon what constitutes family in a contemporary world. Reflect upon whether ‘families’ are still important in today’s society.</w:t>
            </w:r>
          </w:p>
        </w:tc>
      </w:tr>
      <w:tr w:rsidR="007A49C6" w:rsidRPr="00FE4403" w:rsidTr="00A70425">
        <w:tc>
          <w:tcPr>
            <w:tcW w:w="1951" w:type="dxa"/>
            <w:shd w:val="clear" w:color="auto" w:fill="D9D9D9"/>
          </w:tcPr>
          <w:p w:rsidR="007A49C6" w:rsidRPr="00FE4403" w:rsidRDefault="007A49C6" w:rsidP="00FE4403">
            <w:pPr>
              <w:spacing w:after="120"/>
              <w:rPr>
                <w:rFonts w:ascii="Calibri" w:hAnsi="Calibri"/>
                <w:b/>
                <w:szCs w:val="24"/>
              </w:rPr>
            </w:pPr>
            <w:r w:rsidRPr="00FE4403">
              <w:rPr>
                <w:rFonts w:ascii="Calibri" w:hAnsi="Calibri"/>
                <w:b/>
                <w:szCs w:val="24"/>
              </w:rPr>
              <w:t>Hand-out Date</w:t>
            </w:r>
          </w:p>
        </w:tc>
        <w:tc>
          <w:tcPr>
            <w:tcW w:w="2268" w:type="dxa"/>
            <w:shd w:val="clear" w:color="auto" w:fill="auto"/>
          </w:tcPr>
          <w:p w:rsidR="007A49C6" w:rsidRPr="00FE4403" w:rsidRDefault="007A23CB" w:rsidP="00FE4403">
            <w:pPr>
              <w:spacing w:after="120"/>
              <w:rPr>
                <w:rFonts w:ascii="Calibri" w:hAnsi="Calibri"/>
                <w:b/>
                <w:szCs w:val="24"/>
              </w:rPr>
            </w:pPr>
            <w:r>
              <w:rPr>
                <w:rFonts w:ascii="Calibri" w:hAnsi="Calibri"/>
                <w:b/>
                <w:szCs w:val="24"/>
              </w:rPr>
              <w:t>1 October 2017</w:t>
            </w:r>
          </w:p>
        </w:tc>
        <w:tc>
          <w:tcPr>
            <w:tcW w:w="1499" w:type="dxa"/>
            <w:gridSpan w:val="2"/>
            <w:shd w:val="clear" w:color="auto" w:fill="D9D9D9"/>
          </w:tcPr>
          <w:p w:rsidR="007A49C6" w:rsidRPr="00FE4403" w:rsidRDefault="007A49C6" w:rsidP="00FE4403">
            <w:pPr>
              <w:spacing w:after="120"/>
              <w:rPr>
                <w:rFonts w:ascii="Calibri" w:hAnsi="Calibri"/>
                <w:b/>
                <w:szCs w:val="24"/>
              </w:rPr>
            </w:pPr>
            <w:r w:rsidRPr="00FE4403">
              <w:rPr>
                <w:rFonts w:ascii="Calibri" w:hAnsi="Calibri"/>
                <w:b/>
                <w:szCs w:val="24"/>
              </w:rPr>
              <w:t>Submission Date</w:t>
            </w:r>
          </w:p>
        </w:tc>
        <w:tc>
          <w:tcPr>
            <w:tcW w:w="1906" w:type="dxa"/>
            <w:gridSpan w:val="2"/>
            <w:shd w:val="clear" w:color="auto" w:fill="auto"/>
          </w:tcPr>
          <w:p w:rsidR="007A49C6" w:rsidRPr="00FE4403" w:rsidRDefault="008859C0" w:rsidP="007478DF">
            <w:pPr>
              <w:spacing w:after="120"/>
              <w:rPr>
                <w:rFonts w:ascii="Calibri" w:hAnsi="Calibri"/>
                <w:b/>
                <w:szCs w:val="24"/>
              </w:rPr>
            </w:pPr>
            <w:r w:rsidRPr="008859C0">
              <w:rPr>
                <w:rFonts w:ascii="Calibri" w:hAnsi="Calibri"/>
                <w:b/>
                <w:szCs w:val="24"/>
              </w:rPr>
              <w:t>23/03/2018</w:t>
            </w:r>
          </w:p>
        </w:tc>
        <w:tc>
          <w:tcPr>
            <w:tcW w:w="1415" w:type="dxa"/>
            <w:shd w:val="clear" w:color="auto" w:fill="D9D9D9"/>
          </w:tcPr>
          <w:p w:rsidR="007A49C6" w:rsidRPr="00FE4403" w:rsidRDefault="007A49C6" w:rsidP="00FE4403">
            <w:pPr>
              <w:spacing w:after="120"/>
              <w:rPr>
                <w:rFonts w:ascii="Calibri" w:hAnsi="Calibri"/>
                <w:b/>
                <w:szCs w:val="24"/>
              </w:rPr>
            </w:pPr>
            <w:r w:rsidRPr="00FE4403">
              <w:rPr>
                <w:rFonts w:ascii="Calibri" w:hAnsi="Calibri"/>
                <w:b/>
                <w:szCs w:val="24"/>
              </w:rPr>
              <w:t xml:space="preserve">Return Date </w:t>
            </w:r>
          </w:p>
        </w:tc>
        <w:tc>
          <w:tcPr>
            <w:tcW w:w="2397" w:type="dxa"/>
            <w:shd w:val="clear" w:color="auto" w:fill="auto"/>
          </w:tcPr>
          <w:p w:rsidR="007A49C6" w:rsidRPr="00FE4403" w:rsidRDefault="008859C0" w:rsidP="007478DF">
            <w:pPr>
              <w:spacing w:after="120"/>
              <w:rPr>
                <w:rFonts w:ascii="Calibri" w:hAnsi="Calibri"/>
                <w:b/>
                <w:szCs w:val="24"/>
              </w:rPr>
            </w:pPr>
            <w:r w:rsidRPr="008859C0">
              <w:rPr>
                <w:rFonts w:ascii="Calibri" w:hAnsi="Calibri"/>
                <w:b/>
                <w:szCs w:val="24"/>
              </w:rPr>
              <w:t>18/05/2018</w:t>
            </w:r>
          </w:p>
        </w:tc>
      </w:tr>
    </w:tbl>
    <w:p w:rsidR="00FE4403" w:rsidRPr="00FE4403" w:rsidRDefault="00FE4403" w:rsidP="00FE4403">
      <w:pPr>
        <w:rPr>
          <w:vanish/>
        </w:rPr>
      </w:pPr>
    </w:p>
    <w:tbl>
      <w:tblPr>
        <w:tblpPr w:leftFromText="180" w:rightFromText="180" w:vertAnchor="text" w:horzAnchor="margin" w:tblpX="108" w:tblpY="248"/>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9D684C" w:rsidRPr="00C1361B" w:rsidTr="009D684C">
        <w:trPr>
          <w:trHeight w:val="112"/>
        </w:trPr>
        <w:tc>
          <w:tcPr>
            <w:tcW w:w="9356" w:type="dxa"/>
            <w:shd w:val="clear" w:color="auto" w:fill="D9D9D9"/>
          </w:tcPr>
          <w:p w:rsidR="009D684C" w:rsidRPr="007A49C6" w:rsidRDefault="009D684C" w:rsidP="00DE26F5">
            <w:pPr>
              <w:jc w:val="center"/>
              <w:rPr>
                <w:rFonts w:ascii="Calibri" w:hAnsi="Calibri" w:cs="Arial"/>
                <w:b/>
              </w:rPr>
            </w:pPr>
            <w:r w:rsidRPr="007A49C6">
              <w:rPr>
                <w:rFonts w:ascii="Calibri" w:hAnsi="Calibri" w:cs="Arial"/>
                <w:b/>
                <w:szCs w:val="22"/>
              </w:rPr>
              <w:t>SUBMISSION:</w:t>
            </w:r>
          </w:p>
        </w:tc>
        <w:tc>
          <w:tcPr>
            <w:tcW w:w="1843" w:type="dxa"/>
            <w:shd w:val="clear" w:color="auto" w:fill="D9D9D9"/>
          </w:tcPr>
          <w:p w:rsidR="009D684C" w:rsidRPr="007A49C6" w:rsidRDefault="009D684C" w:rsidP="00DE26F5">
            <w:pPr>
              <w:jc w:val="center"/>
              <w:rPr>
                <w:rFonts w:ascii="Calibri" w:hAnsi="Calibri" w:cs="Arial"/>
                <w:b/>
              </w:rPr>
            </w:pPr>
            <w:r w:rsidRPr="00C1361B">
              <w:rPr>
                <w:rFonts w:ascii="Calibri" w:hAnsi="Calibri" w:cs="Arial"/>
                <w:b/>
                <w:sz w:val="22"/>
                <w:szCs w:val="22"/>
              </w:rPr>
              <w:t>Date:</w:t>
            </w:r>
          </w:p>
        </w:tc>
      </w:tr>
      <w:tr w:rsidR="009D684C" w:rsidRPr="00C1361B" w:rsidTr="00FE4403">
        <w:trPr>
          <w:trHeight w:val="666"/>
        </w:trPr>
        <w:tc>
          <w:tcPr>
            <w:tcW w:w="9356" w:type="dxa"/>
            <w:shd w:val="clear" w:color="auto" w:fill="D9D9D9"/>
          </w:tcPr>
          <w:p w:rsidR="009D684C" w:rsidRPr="00152E9D" w:rsidRDefault="009D684C" w:rsidP="009D684C">
            <w:pPr>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9D684C" w:rsidRDefault="009D684C" w:rsidP="009D684C">
            <w:pPr>
              <w:rPr>
                <w:rFonts w:ascii="Calibri" w:hAnsi="Calibri" w:cs="Arial"/>
                <w:sz w:val="22"/>
                <w:szCs w:val="22"/>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p>
          <w:p w:rsidR="00F665B0" w:rsidRDefault="009D684C" w:rsidP="009D684C">
            <w:pPr>
              <w:rPr>
                <w:rFonts w:ascii="Calibri" w:hAnsi="Calibri" w:cs="Arial"/>
                <w:sz w:val="22"/>
                <w:szCs w:val="22"/>
              </w:rPr>
            </w:pP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Penalties</w:t>
            </w:r>
            <w:r w:rsidR="00E35D7A">
              <w:rPr>
                <w:rFonts w:ascii="Calibri" w:hAnsi="Calibri" w:cs="Arial"/>
                <w:sz w:val="22"/>
                <w:szCs w:val="22"/>
              </w:rPr>
              <w:t xml:space="preserve"> for late submission: Up to one week</w:t>
            </w:r>
            <w:r w:rsidRPr="00152E9D">
              <w:rPr>
                <w:rFonts w:ascii="Calibri" w:hAnsi="Calibri" w:cs="Arial"/>
                <w:sz w:val="22"/>
                <w:szCs w:val="22"/>
              </w:rPr>
              <w:t xml:space="preserve"> late, maximum mark of 40</w:t>
            </w:r>
            <w:r w:rsidR="00F665B0">
              <w:rPr>
                <w:rFonts w:ascii="Calibri" w:hAnsi="Calibri" w:cs="Arial"/>
                <w:sz w:val="22"/>
                <w:szCs w:val="22"/>
              </w:rPr>
              <w:t xml:space="preserve">%.  </w:t>
            </w:r>
          </w:p>
          <w:p w:rsidR="009D684C" w:rsidRPr="00C1361B" w:rsidRDefault="009D684C" w:rsidP="009D684C">
            <w:pPr>
              <w:rPr>
                <w:rFonts w:ascii="Calibri" w:hAnsi="Calibri" w:cs="Arial"/>
                <w:b/>
                <w:sz w:val="22"/>
                <w:szCs w:val="22"/>
              </w:rPr>
            </w:pPr>
            <w:r w:rsidRPr="00152E9D">
              <w:rPr>
                <w:rFonts w:ascii="Calibri" w:hAnsi="Calibri" w:cs="Arial"/>
                <w:sz w:val="22"/>
                <w:szCs w:val="22"/>
              </w:rPr>
              <w:t>Only the Extenuating Circumstances Panel may grant an extension.</w:t>
            </w:r>
          </w:p>
        </w:tc>
        <w:tc>
          <w:tcPr>
            <w:tcW w:w="1843" w:type="dxa"/>
          </w:tcPr>
          <w:p w:rsidR="009D684C" w:rsidRPr="00C1361B" w:rsidRDefault="009D684C" w:rsidP="00DE26F5">
            <w:pPr>
              <w:rPr>
                <w:rFonts w:ascii="Calibri" w:hAnsi="Calibri" w:cs="Arial"/>
                <w:b/>
              </w:rPr>
            </w:pPr>
          </w:p>
        </w:tc>
      </w:tr>
      <w:tr w:rsidR="00DE26F5" w:rsidRPr="00C1361B" w:rsidTr="00FE4403">
        <w:trPr>
          <w:trHeight w:val="666"/>
        </w:trPr>
        <w:tc>
          <w:tcPr>
            <w:tcW w:w="11199" w:type="dxa"/>
            <w:gridSpan w:val="2"/>
            <w:shd w:val="clear" w:color="auto" w:fill="FFFFFF"/>
          </w:tcPr>
          <w:p w:rsidR="00DE26F5" w:rsidRPr="00DE26F5" w:rsidRDefault="00DE26F5" w:rsidP="00DE26F5">
            <w:pPr>
              <w:jc w:val="center"/>
              <w:rPr>
                <w:rFonts w:ascii="Calibri" w:hAnsi="Calibri"/>
                <w:b/>
                <w:szCs w:val="24"/>
              </w:rPr>
            </w:pPr>
            <w:r w:rsidRPr="00DE26F5">
              <w:rPr>
                <w:rFonts w:ascii="Calibri" w:hAnsi="Calibri"/>
                <w:b/>
                <w:szCs w:val="24"/>
              </w:rPr>
              <w:t>Originality Statement</w:t>
            </w:r>
          </w:p>
          <w:p w:rsidR="00DE26F5" w:rsidRPr="00C1361B" w:rsidRDefault="00DE26F5" w:rsidP="0049787B">
            <w:pPr>
              <w:rPr>
                <w:rFonts w:ascii="Calibri" w:hAnsi="Calibri" w:cs="Arial"/>
                <w:b/>
              </w:rPr>
            </w:pPr>
            <w:r w:rsidRPr="00DE26F5">
              <w:rPr>
                <w:rFonts w:ascii="Calibri" w:hAnsi="Calibri"/>
              </w:rPr>
              <w:t xml:space="preserve"> “By submitting my work I </w:t>
            </w:r>
            <w:r w:rsidR="0049787B">
              <w:rPr>
                <w:rFonts w:ascii="Calibri" w:hAnsi="Calibri"/>
              </w:rPr>
              <w:t xml:space="preserve"> A B Daniels </w:t>
            </w:r>
            <w:r w:rsidRPr="00DE26F5">
              <w:rPr>
                <w:rFonts w:ascii="Calibri" w:hAnsi="Calibri"/>
              </w:rPr>
              <w:t>confirm that this is my original work and that I have adhered to the College |Policy on Plagiarism.” “I have also submitted my work to Turnitin UK for checking or have included a disk if this assignment is submitted as a paper copy.”</w:t>
            </w:r>
          </w:p>
        </w:tc>
      </w:tr>
    </w:tbl>
    <w:p w:rsidR="00FE4403" w:rsidRPr="00FE4403" w:rsidRDefault="00FE4403" w:rsidP="00FE4403">
      <w:pPr>
        <w:rPr>
          <w:vanish/>
        </w:rPr>
      </w:pPr>
    </w:p>
    <w:tbl>
      <w:tblPr>
        <w:tblW w:w="1119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7D4741" w:rsidRPr="00BF30FF" w:rsidTr="00DE26F5">
        <w:trPr>
          <w:trHeight w:val="386"/>
        </w:trPr>
        <w:tc>
          <w:tcPr>
            <w:tcW w:w="9356" w:type="dxa"/>
            <w:vMerge w:val="restart"/>
            <w:shd w:val="pct15" w:color="auto" w:fill="auto"/>
          </w:tcPr>
          <w:p w:rsidR="007D4741" w:rsidRPr="00BA1176" w:rsidRDefault="007D4741" w:rsidP="00DE26F5">
            <w:pPr>
              <w:rPr>
                <w:rFonts w:ascii="Calibri" w:hAnsi="Calibri" w:cs="Calibri"/>
                <w:b/>
                <w:sz w:val="18"/>
                <w:szCs w:val="18"/>
              </w:rPr>
            </w:pPr>
            <w:r w:rsidRPr="00DE26F5">
              <w:rPr>
                <w:rFonts w:ascii="Calibri" w:hAnsi="Calibri"/>
              </w:rPr>
              <w:t>Lecturer to tick to indicate if a hard copy version of the assignment must be submitted.</w:t>
            </w:r>
          </w:p>
        </w:tc>
        <w:tc>
          <w:tcPr>
            <w:tcW w:w="1134" w:type="dxa"/>
            <w:shd w:val="pct15" w:color="auto" w:fill="auto"/>
          </w:tcPr>
          <w:p w:rsidR="007D4741" w:rsidRPr="00BF30FF" w:rsidRDefault="007D4741" w:rsidP="007454F6">
            <w:pPr>
              <w:jc w:val="both"/>
              <w:rPr>
                <w:rFonts w:ascii="Calibri" w:hAnsi="Calibri" w:cs="Calibri"/>
                <w:b/>
              </w:rPr>
            </w:pPr>
            <w:r w:rsidRPr="00BF30FF">
              <w:rPr>
                <w:rFonts w:ascii="Calibri" w:hAnsi="Calibri" w:cs="Calibri"/>
                <w:b/>
              </w:rPr>
              <w:t>YES</w:t>
            </w:r>
          </w:p>
        </w:tc>
        <w:tc>
          <w:tcPr>
            <w:tcW w:w="709" w:type="dxa"/>
          </w:tcPr>
          <w:p w:rsidR="007D4741" w:rsidRPr="00BF30FF" w:rsidRDefault="007D4741" w:rsidP="007454F6">
            <w:pPr>
              <w:jc w:val="both"/>
              <w:rPr>
                <w:rFonts w:ascii="Calibri" w:hAnsi="Calibri" w:cs="Calibri"/>
                <w:b/>
              </w:rPr>
            </w:pPr>
          </w:p>
        </w:tc>
      </w:tr>
      <w:tr w:rsidR="007D4741" w:rsidRPr="00BF30FF" w:rsidTr="00DE26F5">
        <w:trPr>
          <w:trHeight w:val="408"/>
        </w:trPr>
        <w:tc>
          <w:tcPr>
            <w:tcW w:w="9356" w:type="dxa"/>
            <w:vMerge/>
            <w:shd w:val="pct15" w:color="auto" w:fill="auto"/>
          </w:tcPr>
          <w:p w:rsidR="007D4741" w:rsidRPr="00BF30FF" w:rsidRDefault="007D4741" w:rsidP="00FE4403">
            <w:pPr>
              <w:spacing w:before="120" w:after="120"/>
              <w:jc w:val="both"/>
              <w:rPr>
                <w:rFonts w:ascii="Calibri" w:hAnsi="Calibri" w:cs="Calibri"/>
                <w:b/>
              </w:rPr>
            </w:pPr>
          </w:p>
        </w:tc>
        <w:tc>
          <w:tcPr>
            <w:tcW w:w="1134" w:type="dxa"/>
            <w:shd w:val="pct15" w:color="auto" w:fill="auto"/>
          </w:tcPr>
          <w:p w:rsidR="007D4741" w:rsidRPr="00BF30FF" w:rsidRDefault="007D4741" w:rsidP="007454F6">
            <w:pPr>
              <w:jc w:val="both"/>
              <w:rPr>
                <w:rFonts w:ascii="Calibri" w:hAnsi="Calibri" w:cs="Calibri"/>
                <w:b/>
              </w:rPr>
            </w:pPr>
            <w:r w:rsidRPr="00BF30FF">
              <w:rPr>
                <w:rFonts w:ascii="Calibri" w:hAnsi="Calibri" w:cs="Calibri"/>
                <w:b/>
              </w:rPr>
              <w:t>NO</w:t>
            </w:r>
          </w:p>
        </w:tc>
        <w:tc>
          <w:tcPr>
            <w:tcW w:w="709" w:type="dxa"/>
          </w:tcPr>
          <w:p w:rsidR="007D4741" w:rsidRPr="00BF30FF" w:rsidRDefault="00A70425" w:rsidP="00A70425">
            <w:pPr>
              <w:jc w:val="center"/>
              <w:rPr>
                <w:rFonts w:ascii="Calibri" w:hAnsi="Calibri" w:cs="Calibri"/>
                <w:b/>
              </w:rPr>
            </w:pPr>
            <w:r>
              <w:rPr>
                <w:rFonts w:ascii="Calibri" w:hAnsi="Calibri" w:cs="Calibri"/>
                <w:b/>
              </w:rPr>
              <w:t>X</w:t>
            </w:r>
          </w:p>
        </w:tc>
      </w:tr>
    </w:tbl>
    <w:p w:rsidR="00643A5F" w:rsidRPr="00FE4403" w:rsidRDefault="00643A5F" w:rsidP="007F79EB">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6"/>
        <w:gridCol w:w="6334"/>
      </w:tblGrid>
      <w:tr w:rsidR="007F79EB" w:rsidRPr="00FE4403" w:rsidTr="00DE26F5">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7F79EB" w:rsidRPr="00FE4403" w:rsidRDefault="007F79EB" w:rsidP="00DE26F5">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7F79EB" w:rsidRPr="00FE4403" w:rsidRDefault="007F79EB" w:rsidP="007454F6">
            <w:pPr>
              <w:jc w:val="center"/>
              <w:rPr>
                <w:rFonts w:ascii="Calibri" w:hAnsi="Calibri"/>
                <w:b/>
                <w:u w:val="single"/>
              </w:rPr>
            </w:pPr>
            <w:r w:rsidRPr="00FE4403">
              <w:rPr>
                <w:rFonts w:ascii="Calibri" w:hAnsi="Calibri"/>
                <w:b/>
                <w:u w:val="single"/>
              </w:rPr>
              <w:t>Please ensure you complete this assessment before submitting your work.</w:t>
            </w:r>
          </w:p>
        </w:tc>
      </w:tr>
      <w:tr w:rsidR="007F79EB" w:rsidRPr="00FE4403" w:rsidTr="00DE26F5">
        <w:trPr>
          <w:trHeight w:val="572"/>
        </w:trPr>
        <w:tc>
          <w:tcPr>
            <w:tcW w:w="4860" w:type="dxa"/>
            <w:tcBorders>
              <w:top w:val="single" w:sz="6" w:space="0" w:color="auto"/>
              <w:left w:val="double" w:sz="4" w:space="0" w:color="auto"/>
              <w:bottom w:val="single" w:sz="6" w:space="0" w:color="auto"/>
              <w:right w:val="single" w:sz="6" w:space="0" w:color="auto"/>
            </w:tcBorders>
          </w:tcPr>
          <w:p w:rsidR="00681856" w:rsidRPr="00FE4403" w:rsidRDefault="007F79EB" w:rsidP="00DE26F5">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7F79EB" w:rsidRPr="00FE4403" w:rsidRDefault="0049787B" w:rsidP="00DE26F5">
            <w:pPr>
              <w:rPr>
                <w:rFonts w:ascii="Calibri" w:hAnsi="Calibri"/>
              </w:rPr>
            </w:pPr>
            <w:r>
              <w:rPr>
                <w:rFonts w:ascii="Calibri" w:hAnsi="Calibri"/>
              </w:rPr>
              <w:t>Having to look up so many things to understand the work.</w:t>
            </w:r>
          </w:p>
          <w:p w:rsidR="00DE26F5" w:rsidRPr="00FE4403" w:rsidRDefault="00DE26F5" w:rsidP="00DE26F5">
            <w:pPr>
              <w:rPr>
                <w:rFonts w:ascii="Calibri" w:hAnsi="Calibri"/>
              </w:rPr>
            </w:pPr>
          </w:p>
        </w:tc>
      </w:tr>
      <w:tr w:rsidR="007F79EB" w:rsidRPr="00FE4403" w:rsidTr="0049787B">
        <w:trPr>
          <w:trHeight w:hRule="exact" w:val="1051"/>
        </w:trPr>
        <w:tc>
          <w:tcPr>
            <w:tcW w:w="4860" w:type="dxa"/>
            <w:tcBorders>
              <w:top w:val="single" w:sz="6" w:space="0" w:color="auto"/>
              <w:left w:val="double" w:sz="4" w:space="0" w:color="auto"/>
              <w:bottom w:val="single" w:sz="6" w:space="0" w:color="auto"/>
              <w:right w:val="single" w:sz="6" w:space="0" w:color="auto"/>
            </w:tcBorders>
          </w:tcPr>
          <w:p w:rsidR="00681856" w:rsidRPr="00FE4403" w:rsidRDefault="007F79EB" w:rsidP="00DE26F5">
            <w:pPr>
              <w:rPr>
                <w:rFonts w:ascii="Calibri" w:hAnsi="Calibri"/>
              </w:rPr>
            </w:pPr>
            <w:r w:rsidRPr="00FE4403">
              <w:rPr>
                <w:rFonts w:ascii="Calibri" w:hAnsi="Calibri"/>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rsidR="00760C21" w:rsidRPr="00FE4403" w:rsidRDefault="0049787B" w:rsidP="00DE26F5">
            <w:pPr>
              <w:rPr>
                <w:rFonts w:ascii="Calibri" w:hAnsi="Calibri"/>
              </w:rPr>
            </w:pPr>
            <w:r>
              <w:rPr>
                <w:rFonts w:ascii="Calibri" w:hAnsi="Calibri"/>
              </w:rPr>
              <w:t>Maybe could have put more in</w:t>
            </w:r>
          </w:p>
          <w:p w:rsidR="00760C21" w:rsidRPr="00FE4403" w:rsidRDefault="00760C21" w:rsidP="00DE26F5">
            <w:pPr>
              <w:rPr>
                <w:rFonts w:ascii="Calibri" w:hAnsi="Calibri"/>
              </w:rPr>
            </w:pPr>
          </w:p>
        </w:tc>
      </w:tr>
      <w:tr w:rsidR="007F79EB" w:rsidRPr="00FE4403" w:rsidTr="00DE26F5">
        <w:trPr>
          <w:trHeight w:val="571"/>
        </w:trPr>
        <w:tc>
          <w:tcPr>
            <w:tcW w:w="4860" w:type="dxa"/>
            <w:tcBorders>
              <w:top w:val="single" w:sz="6" w:space="0" w:color="auto"/>
              <w:left w:val="double" w:sz="4" w:space="0" w:color="auto"/>
              <w:bottom w:val="double" w:sz="4" w:space="0" w:color="auto"/>
              <w:right w:val="single" w:sz="6" w:space="0" w:color="auto"/>
            </w:tcBorders>
          </w:tcPr>
          <w:p w:rsidR="00681856" w:rsidRPr="00FE4403" w:rsidRDefault="007F79EB" w:rsidP="00DE26F5">
            <w:pPr>
              <w:rPr>
                <w:rFonts w:ascii="Calibri" w:hAnsi="Calibri"/>
              </w:rPr>
            </w:pPr>
            <w:r w:rsidRPr="00FE4403">
              <w:rPr>
                <w:rFonts w:ascii="Calibri" w:hAnsi="Calibri"/>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rsidR="007F79EB" w:rsidRPr="00FE4403" w:rsidRDefault="0049787B" w:rsidP="00DE26F5">
            <w:pPr>
              <w:rPr>
                <w:rFonts w:ascii="Calibri" w:hAnsi="Calibri"/>
              </w:rPr>
            </w:pPr>
            <w:r>
              <w:rPr>
                <w:rFonts w:ascii="Calibri" w:hAnsi="Calibri"/>
              </w:rPr>
              <w:t>Understanding old and new family situations</w:t>
            </w:r>
            <w:bookmarkStart w:id="0" w:name="_GoBack"/>
            <w:bookmarkEnd w:id="0"/>
          </w:p>
          <w:p w:rsidR="00760C21" w:rsidRPr="00FE4403" w:rsidRDefault="00760C21" w:rsidP="00DE26F5">
            <w:pPr>
              <w:rPr>
                <w:rFonts w:ascii="Calibri" w:hAnsi="Calibri"/>
              </w:rPr>
            </w:pPr>
          </w:p>
        </w:tc>
      </w:tr>
    </w:tbl>
    <w:p w:rsidR="009F1FC7" w:rsidRPr="00B435CD" w:rsidRDefault="00643A5F" w:rsidP="009F1FC7">
      <w:pPr>
        <w:ind w:left="851" w:right="1297"/>
        <w:jc w:val="both"/>
        <w:rPr>
          <w:rFonts w:ascii="Times New Roman" w:eastAsia="Calibri" w:hAnsi="Times New Roman"/>
          <w:b/>
          <w:i/>
          <w:szCs w:val="24"/>
          <w:lang w:eastAsia="en-US"/>
        </w:rPr>
      </w:pPr>
      <w:r w:rsidRPr="00FE4403">
        <w:rPr>
          <w:rFonts w:ascii="Calibri" w:hAnsi="Calibri"/>
          <w:b/>
          <w:szCs w:val="24"/>
        </w:rPr>
        <w:br w:type="page"/>
      </w:r>
      <w:r w:rsidR="00C01D44" w:rsidRPr="00B435CD">
        <w:rPr>
          <w:rFonts w:ascii="Times New Roman" w:hAnsi="Times New Roman"/>
          <w:szCs w:val="24"/>
        </w:rPr>
        <w:lastRenderedPageBreak/>
        <w:t xml:space="preserve"> </w:t>
      </w:r>
      <w:r w:rsidR="009F1FC7" w:rsidRPr="00B435CD">
        <w:rPr>
          <w:rFonts w:ascii="Times New Roman" w:eastAsia="Calibri" w:hAnsi="Times New Roman"/>
          <w:b/>
          <w:i/>
          <w:szCs w:val="24"/>
          <w:lang w:eastAsia="en-US"/>
        </w:rPr>
        <w:t>Critically reflect upon what constitutes family in a contemporary world. Reflect upon whether ‘families’ are still important in today’s society</w:t>
      </w:r>
    </w:p>
    <w:p w:rsidR="00B435CD" w:rsidRPr="00B435CD" w:rsidRDefault="00B435CD" w:rsidP="009F1FC7">
      <w:pPr>
        <w:spacing w:after="160" w:line="259" w:lineRule="auto"/>
        <w:ind w:left="851" w:right="1297"/>
        <w:jc w:val="both"/>
        <w:rPr>
          <w:rFonts w:ascii="Times New Roman" w:eastAsia="Calibri" w:hAnsi="Times New Roman"/>
          <w:szCs w:val="24"/>
          <w:lang w:eastAsia="en-US"/>
        </w:rPr>
      </w:pPr>
    </w:p>
    <w:p w:rsidR="009F1FC7" w:rsidRPr="00B435CD" w:rsidRDefault="009F1FC7" w:rsidP="009F1FC7">
      <w:pPr>
        <w:spacing w:after="160" w:line="259" w:lineRule="auto"/>
        <w:ind w:left="851" w:right="1297"/>
        <w:jc w:val="both"/>
        <w:rPr>
          <w:rFonts w:ascii="Times New Roman" w:eastAsia="Calibri" w:hAnsi="Times New Roman"/>
          <w:szCs w:val="24"/>
          <w:lang w:eastAsia="en-US"/>
        </w:rPr>
      </w:pPr>
      <w:r w:rsidRPr="00B435CD">
        <w:rPr>
          <w:rFonts w:ascii="Times New Roman" w:eastAsia="Calibri" w:hAnsi="Times New Roman"/>
          <w:szCs w:val="24"/>
          <w:lang w:eastAsia="en-US"/>
        </w:rPr>
        <w:t>This essay will critically reflect on what constitutes family in a contemporary world. In particular British society. The assignment critically reflects as to whether families still have importance in society today and in the future. In today’s Britain people still b</w:t>
      </w:r>
      <w:r w:rsidRPr="00B435CD">
        <w:rPr>
          <w:rFonts w:ascii="Times New Roman" w:eastAsia="Calibri" w:hAnsi="Times New Roman"/>
          <w:szCs w:val="24"/>
          <w:lang w:eastAsia="en-US"/>
        </w:rPr>
        <w:softHyphen/>
      </w:r>
      <w:r w:rsidRPr="00B435CD">
        <w:rPr>
          <w:rFonts w:ascii="Times New Roman" w:eastAsia="Calibri" w:hAnsi="Times New Roman"/>
          <w:szCs w:val="24"/>
          <w:lang w:eastAsia="en-US"/>
        </w:rPr>
        <w:softHyphen/>
        <w:t xml:space="preserve">elieve in the importance and value of the ‘family unit’, according to </w:t>
      </w:r>
      <w:r w:rsidRPr="00B435CD">
        <w:rPr>
          <w:rFonts w:ascii="Times New Roman" w:eastAsia="Calibri" w:hAnsi="Times New Roman"/>
          <w:noProof/>
          <w:szCs w:val="24"/>
          <w:lang w:eastAsia="en-US"/>
        </w:rPr>
        <w:t>Jenkins, Pareira, and Evans (2008)</w:t>
      </w:r>
      <w:r w:rsidRPr="00B435CD">
        <w:rPr>
          <w:rFonts w:ascii="Times New Roman" w:eastAsia="Calibri" w:hAnsi="Times New Roman"/>
          <w:szCs w:val="24"/>
          <w:lang w:eastAsia="en-US"/>
        </w:rPr>
        <w:t xml:space="preserve"> four out of five people think their family are more important than their friends</w:t>
      </w:r>
      <w:r w:rsidRPr="00B435CD">
        <w:rPr>
          <w:rFonts w:ascii="Times New Roman" w:eastAsia="Calibri" w:hAnsi="Times New Roman"/>
          <w:noProof/>
          <w:szCs w:val="24"/>
          <w:lang w:eastAsia="en-US"/>
        </w:rPr>
        <w:t xml:space="preserve"> (Jenkins, Pareira, and Evans, 2008)</w:t>
      </w:r>
      <w:r w:rsidRPr="00B435CD">
        <w:rPr>
          <w:rFonts w:ascii="Times New Roman" w:eastAsia="Calibri" w:hAnsi="Times New Roman"/>
          <w:szCs w:val="24"/>
          <w:lang w:eastAsia="en-US"/>
        </w:rPr>
        <w:t>.</w:t>
      </w:r>
    </w:p>
    <w:p w:rsidR="009F1FC7" w:rsidRPr="00B435CD" w:rsidRDefault="009F1FC7" w:rsidP="009F1FC7">
      <w:pPr>
        <w:spacing w:after="160" w:line="259" w:lineRule="auto"/>
        <w:ind w:left="851" w:right="1297"/>
        <w:jc w:val="both"/>
        <w:rPr>
          <w:rFonts w:ascii="Times New Roman" w:eastAsia="Calibri" w:hAnsi="Times New Roman"/>
          <w:szCs w:val="24"/>
          <w:lang w:eastAsia="en-US"/>
        </w:rPr>
      </w:pPr>
      <w:r w:rsidRPr="00B435CD">
        <w:rPr>
          <w:rFonts w:ascii="Times New Roman" w:eastAsia="Calibri" w:hAnsi="Times New Roman"/>
          <w:szCs w:val="24"/>
          <w:lang w:eastAsia="en-US"/>
        </w:rPr>
        <w:t>In order to further explore the value of a family the true definition of a family must be looked at. One definition of the family is;</w:t>
      </w:r>
    </w:p>
    <w:p w:rsidR="009F1FC7" w:rsidRPr="00B435CD" w:rsidRDefault="009F1FC7" w:rsidP="009F1FC7">
      <w:pPr>
        <w:spacing w:after="160"/>
        <w:ind w:left="851" w:right="1297"/>
        <w:jc w:val="both"/>
        <w:rPr>
          <w:rFonts w:ascii="Times New Roman" w:eastAsia="Calibri" w:hAnsi="Times New Roman"/>
          <w:i/>
          <w:szCs w:val="24"/>
          <w:lang w:eastAsia="en-US"/>
        </w:rPr>
      </w:pPr>
      <w:bookmarkStart w:id="1" w:name="OLE_LINK1"/>
      <w:bookmarkStart w:id="2" w:name="OLE_LINK2"/>
      <w:r w:rsidRPr="00B435CD">
        <w:rPr>
          <w:rFonts w:ascii="Times New Roman" w:eastAsia="Calibri" w:hAnsi="Times New Roman"/>
          <w:szCs w:val="24"/>
          <w:lang w:eastAsia="en-US"/>
        </w:rPr>
        <w:t>A social group characterised by common residence, economic cooperation and reproduction</w:t>
      </w:r>
      <w:bookmarkEnd w:id="1"/>
      <w:bookmarkEnd w:id="2"/>
      <w:r w:rsidRPr="00B435CD">
        <w:rPr>
          <w:rFonts w:ascii="Times New Roman" w:eastAsia="Calibri" w:hAnsi="Times New Roman"/>
          <w:szCs w:val="24"/>
          <w:lang w:eastAsia="en-US"/>
        </w:rPr>
        <w:t xml:space="preserve">. It includes adults of both sexes, at least two of whom maintain a socially approved sexual relationship, and one or more children, own or adopted, of the sexually cohabiting </w:t>
      </w:r>
      <w:r w:rsidRPr="00B435CD">
        <w:rPr>
          <w:rFonts w:ascii="Times New Roman" w:eastAsia="Calibri" w:hAnsi="Times New Roman"/>
          <w:noProof/>
          <w:szCs w:val="24"/>
          <w:lang w:eastAsia="en-US"/>
        </w:rPr>
        <w:t>(Murdock, 1949)</w:t>
      </w:r>
      <w:r w:rsidRPr="00B435CD">
        <w:rPr>
          <w:rFonts w:ascii="Times New Roman" w:eastAsia="Calibri" w:hAnsi="Times New Roman"/>
          <w:szCs w:val="24"/>
          <w:lang w:eastAsia="en-US"/>
        </w:rPr>
        <w:t xml:space="preserve"> </w:t>
      </w:r>
    </w:p>
    <w:p w:rsidR="009F1FC7" w:rsidRPr="00B435CD" w:rsidRDefault="009F1FC7" w:rsidP="009F1FC7">
      <w:pPr>
        <w:spacing w:after="160" w:line="259" w:lineRule="auto"/>
        <w:ind w:left="851" w:right="1297"/>
        <w:jc w:val="both"/>
        <w:rPr>
          <w:rFonts w:ascii="Times New Roman" w:eastAsia="Calibri" w:hAnsi="Times New Roman"/>
          <w:szCs w:val="24"/>
          <w:lang w:eastAsia="en-US"/>
        </w:rPr>
      </w:pPr>
      <w:r w:rsidRPr="00B435CD">
        <w:rPr>
          <w:rFonts w:ascii="Times New Roman" w:eastAsia="Calibri" w:hAnsi="Times New Roman"/>
          <w:szCs w:val="24"/>
          <w:lang w:eastAsia="en-US"/>
        </w:rPr>
        <w:t xml:space="preserve">In modern society the term family is now regarded as being too narrow a definition as life and society has had to change and the role and expectation of the family has had to change due to the diversification of the way people have chosen to live over time.  </w:t>
      </w:r>
    </w:p>
    <w:p w:rsidR="009F1FC7" w:rsidRPr="00B435CD" w:rsidRDefault="009F1FC7" w:rsidP="009F1FC7">
      <w:pPr>
        <w:spacing w:after="160" w:line="259" w:lineRule="auto"/>
        <w:ind w:left="851" w:right="1297"/>
        <w:jc w:val="both"/>
        <w:rPr>
          <w:rFonts w:ascii="Times New Roman" w:eastAsia="Calibri" w:hAnsi="Times New Roman"/>
          <w:szCs w:val="24"/>
          <w:lang w:eastAsia="en-US"/>
        </w:rPr>
      </w:pPr>
      <w:r w:rsidRPr="00B435CD">
        <w:rPr>
          <w:rFonts w:ascii="Times New Roman" w:eastAsia="Calibri" w:hAnsi="Times New Roman"/>
          <w:szCs w:val="24"/>
          <w:lang w:eastAsia="en-US"/>
        </w:rPr>
        <w:t xml:space="preserve">The standardised traditional family units which were typically nuclear in design have now been replaced by more complex family design. This is due to the increase of divorce and the consequential remarriage and co habitation </w:t>
      </w:r>
      <w:r w:rsidRPr="00B435CD">
        <w:rPr>
          <w:rFonts w:ascii="Times New Roman" w:eastAsia="Calibri" w:hAnsi="Times New Roman"/>
          <w:noProof/>
          <w:szCs w:val="24"/>
          <w:lang w:eastAsia="en-US"/>
        </w:rPr>
        <w:t>(Haralambos &amp; Holborn, 2009)</w:t>
      </w:r>
      <w:r w:rsidRPr="00B435CD">
        <w:rPr>
          <w:rFonts w:ascii="Times New Roman" w:eastAsia="Calibri" w:hAnsi="Times New Roman"/>
          <w:szCs w:val="24"/>
          <w:lang w:eastAsia="en-US"/>
        </w:rPr>
        <w:t xml:space="preserve">. Legislation has seen a significant increase in same sex marriages and civil partnerships which have disbanded the traditional family construction idyll and allowed same sex couples to have and raise children </w:t>
      </w:r>
      <w:r w:rsidRPr="00B435CD">
        <w:rPr>
          <w:rFonts w:ascii="Times New Roman" w:eastAsia="Calibri" w:hAnsi="Times New Roman"/>
          <w:noProof/>
          <w:szCs w:val="24"/>
          <w:lang w:eastAsia="en-US"/>
        </w:rPr>
        <w:t>(Revise Sociololgy, 2016)</w:t>
      </w:r>
      <w:r w:rsidRPr="00B435CD">
        <w:rPr>
          <w:rFonts w:ascii="Times New Roman" w:eastAsia="Calibri" w:hAnsi="Times New Roman"/>
          <w:szCs w:val="24"/>
          <w:lang w:eastAsia="en-US"/>
        </w:rPr>
        <w:t>.</w:t>
      </w:r>
    </w:p>
    <w:p w:rsidR="009F1FC7" w:rsidRPr="00B435CD" w:rsidRDefault="009F1FC7" w:rsidP="009F1FC7">
      <w:pPr>
        <w:spacing w:after="160" w:line="259" w:lineRule="auto"/>
        <w:ind w:left="851" w:right="1297"/>
        <w:jc w:val="both"/>
        <w:rPr>
          <w:rFonts w:ascii="Times New Roman" w:eastAsia="Calibri" w:hAnsi="Times New Roman"/>
          <w:szCs w:val="24"/>
          <w:lang w:eastAsia="en-US"/>
        </w:rPr>
      </w:pPr>
      <w:r w:rsidRPr="00B435CD">
        <w:rPr>
          <w:rFonts w:ascii="Times New Roman" w:eastAsia="Calibri" w:hAnsi="Times New Roman"/>
          <w:szCs w:val="24"/>
          <w:lang w:eastAsia="en-US"/>
        </w:rPr>
        <w:t xml:space="preserve">Similarly, over the past fifty years the structure of British families has shifted with a decline in marriages and cohabiting increasing. From 1996 to 2006 marriages dropped by 4%, in contrast cohabitating increased by 14% whereas in 1960 only 2% of people were cohabitating </w:t>
      </w:r>
      <w:r w:rsidRPr="00B435CD">
        <w:rPr>
          <w:rFonts w:ascii="Times New Roman" w:eastAsia="Calibri" w:hAnsi="Times New Roman"/>
          <w:noProof/>
          <w:szCs w:val="24"/>
          <w:lang w:eastAsia="en-US"/>
        </w:rPr>
        <w:t>(Jenkins, Pareira, and Evans, 2008)</w:t>
      </w:r>
      <w:r w:rsidRPr="00B435CD">
        <w:rPr>
          <w:rFonts w:ascii="Times New Roman" w:eastAsia="Calibri" w:hAnsi="Times New Roman"/>
          <w:szCs w:val="24"/>
          <w:lang w:eastAsia="en-US"/>
        </w:rPr>
        <w:t xml:space="preserve">. </w:t>
      </w:r>
    </w:p>
    <w:p w:rsidR="009F1FC7" w:rsidRPr="00B435CD" w:rsidRDefault="009F1FC7" w:rsidP="009F1FC7">
      <w:pPr>
        <w:spacing w:after="160" w:line="259" w:lineRule="auto"/>
        <w:ind w:left="851" w:right="1297"/>
        <w:jc w:val="both"/>
        <w:rPr>
          <w:rFonts w:ascii="Times New Roman" w:eastAsia="Calibri" w:hAnsi="Times New Roman"/>
          <w:szCs w:val="24"/>
          <w:lang w:eastAsia="en-US"/>
        </w:rPr>
      </w:pPr>
      <w:r w:rsidRPr="00B435CD">
        <w:rPr>
          <w:rFonts w:ascii="Times New Roman" w:eastAsia="Calibri" w:hAnsi="Times New Roman"/>
          <w:szCs w:val="24"/>
          <w:lang w:eastAsia="en-US"/>
        </w:rPr>
        <w:t xml:space="preserve">Over the last century there have been many changes to the way a family is defined as with new technology, legislation and attitudes. More women are having to go out to work. Since the end of the Second World War women have become more prevalent in the workplace and have developed a workplace confidence beginning to infiltrate the male dominated world of work. The norms of behaviour of pre- war Britain became more liberal the 1960s the now famous ‘summer love’ left its mark on British society. Active feminist groups also supported the choices of women consequently the availability of contraception changed the way in which women viewed their role within the family and the overall purpose of the family began to be challenged with a more relaxed attitude to divorce or cohabiting </w:t>
      </w:r>
      <w:r w:rsidRPr="00B435CD">
        <w:rPr>
          <w:rFonts w:ascii="Times New Roman" w:eastAsia="Calibri" w:hAnsi="Times New Roman"/>
          <w:noProof/>
          <w:szCs w:val="24"/>
          <w:lang w:eastAsia="en-US"/>
        </w:rPr>
        <w:t>(Jenkins, Pareira, and Evans, 2008)</w:t>
      </w:r>
      <w:r w:rsidRPr="00B435CD">
        <w:rPr>
          <w:rFonts w:ascii="Times New Roman" w:eastAsia="Calibri" w:hAnsi="Times New Roman"/>
          <w:szCs w:val="24"/>
          <w:lang w:eastAsia="en-US"/>
        </w:rPr>
        <w:t xml:space="preserve">. Immigration into Britain saw a cultural change within society, consequently the level of Afro Caribbean immigration normalised single parent families as lone parents were common among this demographic </w:t>
      </w:r>
      <w:r w:rsidRPr="00B435CD">
        <w:rPr>
          <w:rFonts w:ascii="Times New Roman" w:eastAsia="Calibri" w:hAnsi="Times New Roman"/>
          <w:noProof/>
          <w:szCs w:val="24"/>
          <w:lang w:eastAsia="en-US"/>
        </w:rPr>
        <w:t>(Haralambos &amp; Holborn, 2009)</w:t>
      </w:r>
      <w:r w:rsidRPr="00B435CD">
        <w:rPr>
          <w:rFonts w:ascii="Times New Roman" w:eastAsia="Calibri" w:hAnsi="Times New Roman"/>
          <w:szCs w:val="24"/>
          <w:lang w:eastAsia="en-US"/>
        </w:rPr>
        <w:t>.</w:t>
      </w:r>
    </w:p>
    <w:p w:rsidR="009F1FC7" w:rsidRPr="00B435CD" w:rsidRDefault="009F1FC7" w:rsidP="009F1FC7">
      <w:pPr>
        <w:spacing w:after="160" w:line="259" w:lineRule="auto"/>
        <w:ind w:left="851" w:right="1297"/>
        <w:jc w:val="both"/>
        <w:rPr>
          <w:rFonts w:ascii="Times New Roman" w:eastAsia="Calibri" w:hAnsi="Times New Roman"/>
          <w:szCs w:val="24"/>
          <w:lang w:eastAsia="en-US"/>
        </w:rPr>
      </w:pPr>
      <w:r w:rsidRPr="00B435CD">
        <w:rPr>
          <w:rFonts w:ascii="Times New Roman" w:eastAsia="Calibri" w:hAnsi="Times New Roman"/>
          <w:szCs w:val="24"/>
          <w:lang w:eastAsia="en-US"/>
        </w:rPr>
        <w:t xml:space="preserve">Within contemporary society families are changing and having to evolve to meet new challenges and requirements of society. Legislation is developed to support the family allowing tax incentives to support the longevity of the institution, however those who would prefer not to have a family feel penalised by the legislation and are required to pay more in taxation </w:t>
      </w:r>
      <w:r w:rsidRPr="00B435CD">
        <w:rPr>
          <w:rFonts w:ascii="Times New Roman" w:eastAsia="Calibri" w:hAnsi="Times New Roman"/>
          <w:noProof/>
          <w:szCs w:val="24"/>
          <w:lang w:eastAsia="en-US"/>
        </w:rPr>
        <w:t>(Jenkins, Pareira, and Evans, 2008)</w:t>
      </w:r>
      <w:r w:rsidRPr="00B435CD">
        <w:rPr>
          <w:rFonts w:ascii="Times New Roman" w:eastAsia="Calibri" w:hAnsi="Times New Roman"/>
          <w:szCs w:val="24"/>
          <w:lang w:eastAsia="en-US"/>
        </w:rPr>
        <w:t xml:space="preserve"> consequently dividing public opinion. </w:t>
      </w:r>
    </w:p>
    <w:p w:rsidR="009F1FC7" w:rsidRPr="00B435CD" w:rsidRDefault="009F1FC7" w:rsidP="009F1FC7">
      <w:pPr>
        <w:spacing w:after="160" w:line="276" w:lineRule="auto"/>
        <w:ind w:left="851" w:right="1297"/>
        <w:jc w:val="both"/>
        <w:rPr>
          <w:rFonts w:ascii="Times New Roman" w:hAnsi="Times New Roman"/>
          <w:szCs w:val="24"/>
          <w:shd w:val="clear" w:color="auto" w:fill="FFFFFF"/>
        </w:rPr>
      </w:pPr>
      <w:r w:rsidRPr="00B435CD">
        <w:rPr>
          <w:rFonts w:ascii="Times New Roman" w:hAnsi="Times New Roman"/>
          <w:szCs w:val="24"/>
          <w:shd w:val="clear" w:color="auto" w:fill="FFFFFF"/>
        </w:rPr>
        <w:t xml:space="preserve"> It is widely recognised that the traditional family is one where father, mother and the children form a long-term unit, with the father being the main and possibly only bread winner, the mother's responsibilities centred around the home and the family running the household, </w:t>
      </w:r>
      <w:r w:rsidRPr="00B435CD">
        <w:rPr>
          <w:rFonts w:ascii="Times New Roman" w:hAnsi="Times New Roman"/>
          <w:szCs w:val="24"/>
          <w:shd w:val="clear" w:color="auto" w:fill="FFFFFF"/>
        </w:rPr>
        <w:lastRenderedPageBreak/>
        <w:t xml:space="preserve">bringing in a supplementary income where needed. The challenges of modern life increasingly change family landscape creating a new set of family dynamics and structure. </w:t>
      </w:r>
    </w:p>
    <w:p w:rsidR="009F1FC7" w:rsidRPr="00B435CD" w:rsidRDefault="009F1FC7" w:rsidP="009F1FC7">
      <w:pPr>
        <w:spacing w:after="160" w:line="276" w:lineRule="auto"/>
        <w:ind w:left="851" w:right="1297"/>
        <w:jc w:val="both"/>
        <w:rPr>
          <w:rFonts w:ascii="Times New Roman" w:hAnsi="Times New Roman"/>
          <w:szCs w:val="24"/>
          <w:shd w:val="clear" w:color="auto" w:fill="FFFFFF"/>
        </w:rPr>
      </w:pPr>
      <w:r w:rsidRPr="00B435CD">
        <w:rPr>
          <w:rFonts w:ascii="Times New Roman" w:hAnsi="Times New Roman"/>
          <w:szCs w:val="24"/>
          <w:shd w:val="clear" w:color="auto" w:fill="FFFFFF"/>
        </w:rPr>
        <w:t xml:space="preserve"> Whilst the impression of the family is one of harmonious co habitation, family break-ups are becoming more frequent, children therefore face the instability of the breakdown of the family as a unit frequently living with one parent or possibly cohabiting is a family design made up of a stepmother or stepfather. Others are being brought up sharing time between parents. </w:t>
      </w:r>
    </w:p>
    <w:p w:rsidR="009F1FC7" w:rsidRPr="00B435CD" w:rsidRDefault="009F1FC7" w:rsidP="009F1FC7">
      <w:pPr>
        <w:spacing w:after="160" w:line="276" w:lineRule="auto"/>
        <w:ind w:left="851" w:right="1297"/>
        <w:jc w:val="both"/>
        <w:rPr>
          <w:rFonts w:ascii="Times New Roman" w:hAnsi="Times New Roman"/>
          <w:szCs w:val="24"/>
        </w:rPr>
      </w:pPr>
      <w:r w:rsidRPr="00B435CD">
        <w:rPr>
          <w:rFonts w:ascii="Times New Roman" w:eastAsia="Calibri" w:hAnsi="Times New Roman"/>
          <w:szCs w:val="24"/>
          <w:lang w:eastAsia="en-US"/>
        </w:rPr>
        <w:t>Whilst the idyll of the Oxo family is imprinted on people’s frontal lobes today’s 21</w:t>
      </w:r>
      <w:r w:rsidRPr="00B435CD">
        <w:rPr>
          <w:rFonts w:ascii="Times New Roman" w:eastAsia="Calibri" w:hAnsi="Times New Roman"/>
          <w:szCs w:val="24"/>
          <w:vertAlign w:val="superscript"/>
          <w:lang w:eastAsia="en-US"/>
        </w:rPr>
        <w:t>st</w:t>
      </w:r>
      <w:r w:rsidRPr="00B435CD">
        <w:rPr>
          <w:rFonts w:ascii="Times New Roman" w:eastAsia="Calibri" w:hAnsi="Times New Roman"/>
          <w:szCs w:val="24"/>
          <w:lang w:eastAsia="en-US"/>
        </w:rPr>
        <w:t xml:space="preserve"> century family design is less likely to be nuclear. In today’s society   the head of the household usually the father may not be in full employment. </w:t>
      </w:r>
      <w:r w:rsidRPr="00B435CD">
        <w:rPr>
          <w:rFonts w:ascii="Times New Roman" w:hAnsi="Times New Roman"/>
          <w:szCs w:val="24"/>
          <w:shd w:val="clear" w:color="auto" w:fill="FFFFFF"/>
        </w:rPr>
        <w:t xml:space="preserve">In other families they are being brought up by a working mother and a stay-at-home father </w:t>
      </w:r>
      <w:r w:rsidRPr="00B435CD">
        <w:rPr>
          <w:rFonts w:ascii="Times New Roman" w:hAnsi="Times New Roman"/>
          <w:noProof/>
          <w:szCs w:val="24"/>
          <w:shd w:val="clear" w:color="auto" w:fill="FFFFFF"/>
        </w:rPr>
        <w:t>(Haralambos &amp; Holborn, 2009)</w:t>
      </w:r>
      <w:r w:rsidRPr="00B435CD">
        <w:rPr>
          <w:rFonts w:ascii="Times New Roman" w:hAnsi="Times New Roman"/>
          <w:szCs w:val="24"/>
          <w:shd w:val="clear" w:color="auto" w:fill="FFFFFF"/>
        </w:rPr>
        <w:t xml:space="preserve">.  As discussed earlier breakups in families have resulted in an increase of </w:t>
      </w:r>
      <w:r w:rsidRPr="00B435CD">
        <w:rPr>
          <w:rFonts w:ascii="Times New Roman" w:eastAsia="Calibri" w:hAnsi="Times New Roman"/>
          <w:szCs w:val="24"/>
          <w:lang w:eastAsia="en-US"/>
        </w:rPr>
        <w:t>blended families and the prevalence of step children from other marriages or relationships which may have broken down creating a disjointed family design which is less traditional and stable than an historic British family.</w:t>
      </w:r>
    </w:p>
    <w:p w:rsidR="009F1FC7" w:rsidRPr="00B435CD" w:rsidRDefault="009F1FC7" w:rsidP="009F1FC7">
      <w:pPr>
        <w:spacing w:after="160" w:line="276" w:lineRule="auto"/>
        <w:ind w:left="851" w:right="1297"/>
        <w:jc w:val="both"/>
        <w:rPr>
          <w:rFonts w:ascii="Times New Roman" w:eastAsia="Calibri" w:hAnsi="Times New Roman"/>
          <w:szCs w:val="24"/>
          <w:lang w:eastAsia="en-US"/>
        </w:rPr>
      </w:pPr>
      <w:r w:rsidRPr="00B435CD">
        <w:rPr>
          <w:rFonts w:ascii="Times New Roman" w:eastAsia="Calibri" w:hAnsi="Times New Roman"/>
          <w:szCs w:val="24"/>
          <w:lang w:eastAsia="en-US"/>
        </w:rPr>
        <w:t xml:space="preserve"> In today’s society of more confident and independent women the traditional hunter gatherer role associated with males could be taken on by the female member of the household, the mother taking on the role of main breadwinner, as the more traditional male breadwinner role faces decline. The changing and evolving role of the family resulting in the expansion of single parent families adds to the existing challenges of governments in the development of appropriate and effective social policies </w:t>
      </w:r>
      <w:r w:rsidRPr="00B435CD">
        <w:rPr>
          <w:rFonts w:ascii="Times New Roman" w:eastAsia="Calibri" w:hAnsi="Times New Roman"/>
          <w:noProof/>
          <w:szCs w:val="24"/>
          <w:lang w:eastAsia="en-US"/>
        </w:rPr>
        <w:t>(Jenkins, Pareira, and Evans, 2008)</w:t>
      </w:r>
      <w:r w:rsidRPr="00B435CD">
        <w:rPr>
          <w:rFonts w:ascii="Times New Roman" w:eastAsia="Calibri" w:hAnsi="Times New Roman"/>
          <w:szCs w:val="24"/>
          <w:lang w:eastAsia="en-US"/>
        </w:rPr>
        <w:t>.</w:t>
      </w:r>
    </w:p>
    <w:p w:rsidR="009F1FC7" w:rsidRPr="00B435CD" w:rsidRDefault="009F1FC7" w:rsidP="009F1FC7">
      <w:pPr>
        <w:spacing w:line="276" w:lineRule="auto"/>
        <w:ind w:left="851" w:right="1297"/>
        <w:jc w:val="both"/>
        <w:rPr>
          <w:rFonts w:ascii="Times New Roman" w:hAnsi="Times New Roman"/>
          <w:szCs w:val="24"/>
        </w:rPr>
      </w:pPr>
      <w:bookmarkStart w:id="3" w:name="OLE_LINK5"/>
      <w:bookmarkStart w:id="4" w:name="OLE_LINK6"/>
      <w:r w:rsidRPr="00B435CD">
        <w:rPr>
          <w:rFonts w:ascii="Times New Roman" w:hAnsi="Times New Roman"/>
          <w:szCs w:val="24"/>
        </w:rPr>
        <w:t xml:space="preserve">There is evidence that these changing economical and family dynamics have an impact on the financial standing of families with many of them becoming poorer, also affecting the well-being of family members. </w:t>
      </w:r>
      <w:bookmarkEnd w:id="3"/>
      <w:bookmarkEnd w:id="4"/>
      <w:r w:rsidRPr="00B435CD">
        <w:rPr>
          <w:rFonts w:ascii="Times New Roman" w:hAnsi="Times New Roman"/>
          <w:szCs w:val="24"/>
        </w:rPr>
        <w:t xml:space="preserve"> It is therefore hard to separate the financial position of the family and the active role of parenting on family values </w:t>
      </w:r>
      <w:r w:rsidRPr="00B435CD">
        <w:rPr>
          <w:rFonts w:ascii="Times New Roman" w:hAnsi="Times New Roman"/>
          <w:noProof/>
          <w:szCs w:val="24"/>
        </w:rPr>
        <w:t>(Katz, et al., 2007)</w:t>
      </w:r>
      <w:r w:rsidRPr="00B435CD">
        <w:rPr>
          <w:rFonts w:ascii="Times New Roman" w:hAnsi="Times New Roman"/>
          <w:szCs w:val="24"/>
        </w:rPr>
        <w:t>.</w:t>
      </w:r>
    </w:p>
    <w:p w:rsidR="009F1FC7" w:rsidRPr="00B435CD" w:rsidRDefault="009F1FC7" w:rsidP="009F1FC7">
      <w:pPr>
        <w:spacing w:line="276" w:lineRule="auto"/>
        <w:ind w:left="851" w:right="1297"/>
        <w:jc w:val="both"/>
        <w:rPr>
          <w:rFonts w:ascii="Times New Roman" w:hAnsi="Times New Roman"/>
          <w:szCs w:val="24"/>
        </w:rPr>
      </w:pPr>
    </w:p>
    <w:p w:rsidR="009F1FC7" w:rsidRPr="00B435CD" w:rsidRDefault="009F1FC7" w:rsidP="009F1FC7">
      <w:pPr>
        <w:spacing w:line="276" w:lineRule="auto"/>
        <w:ind w:left="851" w:right="1297"/>
        <w:jc w:val="both"/>
        <w:rPr>
          <w:rFonts w:ascii="Times New Roman" w:hAnsi="Times New Roman"/>
          <w:szCs w:val="24"/>
        </w:rPr>
      </w:pPr>
      <w:r w:rsidRPr="00B435CD">
        <w:rPr>
          <w:rFonts w:ascii="Times New Roman" w:hAnsi="Times New Roman"/>
          <w:szCs w:val="24"/>
        </w:rPr>
        <w:t xml:space="preserve">Uncertainty about the long-term viability of the family unit and together with uncertainty about their own role within this unit increasingly affects the emotional wellbeing of children and in many cases leads to unsociable behaviour </w:t>
      </w:r>
      <w:r w:rsidRPr="00B435CD">
        <w:rPr>
          <w:rFonts w:ascii="Times New Roman" w:hAnsi="Times New Roman"/>
          <w:noProof/>
          <w:szCs w:val="24"/>
        </w:rPr>
        <w:t>(Jenkins, Pareira, and Evans, 2008)</w:t>
      </w:r>
      <w:r w:rsidRPr="00B435CD">
        <w:rPr>
          <w:rFonts w:ascii="Times New Roman" w:hAnsi="Times New Roman"/>
          <w:szCs w:val="24"/>
        </w:rPr>
        <w:t>.</w:t>
      </w:r>
    </w:p>
    <w:p w:rsidR="009F1FC7" w:rsidRPr="00B435CD" w:rsidRDefault="009F1FC7" w:rsidP="009F1FC7">
      <w:pPr>
        <w:spacing w:line="276" w:lineRule="auto"/>
        <w:ind w:left="851" w:right="1297"/>
        <w:rPr>
          <w:rFonts w:ascii="Times New Roman" w:hAnsi="Times New Roman"/>
          <w:szCs w:val="24"/>
        </w:rPr>
      </w:pPr>
    </w:p>
    <w:p w:rsidR="009F1FC7" w:rsidRPr="00B435CD" w:rsidRDefault="009F1FC7" w:rsidP="009F1FC7">
      <w:pPr>
        <w:spacing w:line="276" w:lineRule="auto"/>
        <w:ind w:left="851" w:right="2431"/>
        <w:rPr>
          <w:rFonts w:ascii="Times New Roman" w:hAnsi="Times New Roman"/>
          <w:szCs w:val="24"/>
        </w:rPr>
      </w:pPr>
      <w:r w:rsidRPr="00B435CD">
        <w:rPr>
          <w:rFonts w:ascii="Times New Roman" w:hAnsi="Times New Roman"/>
          <w:szCs w:val="24"/>
        </w:rPr>
        <w:t xml:space="preserve">The family is a building block of society: </w:t>
      </w:r>
    </w:p>
    <w:p w:rsidR="009F1FC7" w:rsidRPr="00B435CD" w:rsidRDefault="009F1FC7" w:rsidP="009F1FC7">
      <w:pPr>
        <w:ind w:left="1701" w:right="2856"/>
        <w:rPr>
          <w:rFonts w:ascii="Times New Roman" w:hAnsi="Times New Roman"/>
          <w:szCs w:val="24"/>
        </w:rPr>
      </w:pPr>
      <w:r w:rsidRPr="00B435CD">
        <w:rPr>
          <w:rFonts w:ascii="Times New Roman" w:hAnsi="Times New Roman"/>
          <w:szCs w:val="24"/>
        </w:rPr>
        <w:t>“</w:t>
      </w:r>
      <w:bookmarkStart w:id="5" w:name="OLE_LINK9"/>
      <w:bookmarkStart w:id="6" w:name="OLE_LINK10"/>
      <w:r w:rsidRPr="00B435CD">
        <w:rPr>
          <w:rFonts w:ascii="Times New Roman" w:hAnsi="Times New Roman"/>
          <w:szCs w:val="24"/>
        </w:rPr>
        <w:t>It’s a Nursery, a school, a hospital, a leisure place, a place of refuge and a place of rest …It’s the preparation for the rest of our life and women run it</w:t>
      </w:r>
      <w:bookmarkEnd w:id="5"/>
      <w:bookmarkEnd w:id="6"/>
      <w:r w:rsidRPr="00B435CD">
        <w:rPr>
          <w:rFonts w:ascii="Times New Roman" w:hAnsi="Times New Roman"/>
          <w:szCs w:val="24"/>
        </w:rPr>
        <w:t>”.</w:t>
      </w:r>
    </w:p>
    <w:p w:rsidR="009F1FC7" w:rsidRPr="00B435CD" w:rsidRDefault="009F1FC7" w:rsidP="009F1FC7">
      <w:pPr>
        <w:spacing w:line="276" w:lineRule="auto"/>
        <w:ind w:left="1701" w:right="2431" w:firstLine="720"/>
        <w:rPr>
          <w:rFonts w:ascii="Times New Roman" w:hAnsi="Times New Roman"/>
          <w:szCs w:val="24"/>
        </w:rPr>
      </w:pPr>
      <w:r w:rsidRPr="00B435CD">
        <w:rPr>
          <w:rFonts w:ascii="Times New Roman" w:hAnsi="Times New Roman"/>
          <w:szCs w:val="24"/>
        </w:rPr>
        <w:t xml:space="preserve"> (Margaret Thatcher 1992 cited in </w:t>
      </w:r>
      <w:bookmarkStart w:id="7" w:name="OLE_LINK7"/>
      <w:bookmarkStart w:id="8" w:name="OLE_LINK8"/>
      <w:r w:rsidRPr="00B435CD">
        <w:rPr>
          <w:rFonts w:ascii="Times New Roman" w:hAnsi="Times New Roman"/>
          <w:szCs w:val="24"/>
        </w:rPr>
        <w:t>Steel, Kidd and Brown 201</w:t>
      </w:r>
      <w:bookmarkEnd w:id="7"/>
      <w:bookmarkEnd w:id="8"/>
      <w:r w:rsidRPr="00B435CD">
        <w:rPr>
          <w:rFonts w:ascii="Times New Roman" w:hAnsi="Times New Roman"/>
          <w:szCs w:val="24"/>
        </w:rPr>
        <w:t>2)</w:t>
      </w:r>
    </w:p>
    <w:p w:rsidR="009F1FC7" w:rsidRPr="00B435CD" w:rsidRDefault="009F1FC7" w:rsidP="009F1FC7">
      <w:pPr>
        <w:spacing w:line="276" w:lineRule="auto"/>
        <w:ind w:left="851" w:right="1297" w:firstLine="720"/>
        <w:rPr>
          <w:rFonts w:ascii="Times New Roman" w:hAnsi="Times New Roman"/>
          <w:szCs w:val="24"/>
        </w:rPr>
      </w:pPr>
    </w:p>
    <w:p w:rsidR="009F1FC7" w:rsidRPr="00B435CD" w:rsidRDefault="009F1FC7" w:rsidP="009F1FC7">
      <w:pPr>
        <w:ind w:left="851" w:right="1297"/>
        <w:jc w:val="both"/>
        <w:rPr>
          <w:rFonts w:ascii="Times New Roman" w:eastAsia="Calibri" w:hAnsi="Times New Roman"/>
          <w:szCs w:val="24"/>
        </w:rPr>
      </w:pPr>
      <w:r w:rsidRPr="00B435CD">
        <w:rPr>
          <w:rFonts w:ascii="Times New Roman" w:eastAsia="Calibri" w:hAnsi="Times New Roman"/>
          <w:szCs w:val="24"/>
        </w:rPr>
        <w:t xml:space="preserve">While the Conservative Party was always seen as the party embracing the family, this focus was particularly strong during the Thatcher era. The term ‘family’ at that time however did mean a traditional family, being a nuclear family, which would teach values such as a sense of belonging, order and stability from one generation to the next and forming the cornerstones of society. This nuclear family was being challenged by an increasing number of single parent families, cohabitation rather than marriage and also the fact that gay couples increasingly where accepted as being a family. One of the most staggering statistics that illustrates that shifting shape of a family is the fact that during the years from 1980 to 2002 the number of children born out of wedlock increased from twelve percent to forty-one percent. This left the Conservative Party in a dilemma – to promote the traditional family and nurture traditional values or to embrace change and accept that there is not just one model of a family, a view that was particularly promoted by Conservative MP Michael Portillo </w:t>
      </w:r>
      <w:r w:rsidRPr="00B435CD">
        <w:rPr>
          <w:rFonts w:ascii="Times New Roman" w:eastAsia="Calibri" w:hAnsi="Times New Roman"/>
          <w:noProof/>
          <w:szCs w:val="24"/>
        </w:rPr>
        <w:t>(Hickson, 2005)</w:t>
      </w:r>
      <w:r w:rsidRPr="00B435CD">
        <w:rPr>
          <w:rFonts w:ascii="Times New Roman" w:eastAsia="Calibri" w:hAnsi="Times New Roman"/>
          <w:szCs w:val="24"/>
        </w:rPr>
        <w:t xml:space="preserve">.  </w:t>
      </w:r>
    </w:p>
    <w:p w:rsidR="009F1FC7" w:rsidRPr="00B435CD" w:rsidRDefault="009F1FC7" w:rsidP="009F1FC7">
      <w:pPr>
        <w:ind w:left="851" w:right="1297"/>
        <w:rPr>
          <w:rFonts w:ascii="Times New Roman" w:eastAsia="Calibri" w:hAnsi="Times New Roman"/>
          <w:szCs w:val="24"/>
        </w:rPr>
      </w:pPr>
    </w:p>
    <w:p w:rsidR="009F1FC7" w:rsidRPr="00B435CD" w:rsidRDefault="00B435CD" w:rsidP="009F1FC7">
      <w:pPr>
        <w:ind w:left="1701" w:right="2856"/>
        <w:rPr>
          <w:rFonts w:ascii="Times New Roman" w:eastAsia="Calibri" w:hAnsi="Times New Roman"/>
          <w:szCs w:val="24"/>
        </w:rPr>
      </w:pPr>
      <w:r>
        <w:rPr>
          <w:rFonts w:ascii="Times New Roman" w:eastAsia="Calibri" w:hAnsi="Times New Roman"/>
          <w:szCs w:val="24"/>
        </w:rPr>
        <w:t>“</w:t>
      </w:r>
      <w:r w:rsidR="009F1FC7" w:rsidRPr="00B435CD">
        <w:rPr>
          <w:rFonts w:ascii="Times New Roman" w:eastAsia="Calibri" w:hAnsi="Times New Roman"/>
          <w:szCs w:val="24"/>
        </w:rPr>
        <w:t>In times of change, learners inherit the earth, while the learned find themselves beautifully equipped to deal with a world that no longer exists.</w:t>
      </w:r>
      <w:r>
        <w:rPr>
          <w:rFonts w:ascii="Times New Roman" w:eastAsia="Calibri" w:hAnsi="Times New Roman"/>
          <w:szCs w:val="24"/>
        </w:rPr>
        <w:t>”</w:t>
      </w:r>
    </w:p>
    <w:p w:rsidR="009F1FC7" w:rsidRPr="00B435CD" w:rsidRDefault="009F1FC7" w:rsidP="009F1FC7">
      <w:pPr>
        <w:ind w:left="1701" w:right="2856"/>
        <w:jc w:val="right"/>
        <w:rPr>
          <w:rFonts w:ascii="Times New Roman" w:eastAsia="Calibri" w:hAnsi="Times New Roman"/>
          <w:szCs w:val="24"/>
        </w:rPr>
      </w:pPr>
      <w:r w:rsidRPr="00B435CD">
        <w:rPr>
          <w:rFonts w:ascii="Times New Roman" w:eastAsia="Calibri" w:hAnsi="Times New Roman"/>
          <w:noProof/>
          <w:szCs w:val="24"/>
        </w:rPr>
        <w:t>(Hoffer, 1973)</w:t>
      </w:r>
    </w:p>
    <w:p w:rsidR="009F1FC7" w:rsidRPr="00B435CD" w:rsidRDefault="009F1FC7" w:rsidP="009F1FC7">
      <w:pPr>
        <w:ind w:left="851" w:right="1297"/>
        <w:rPr>
          <w:rFonts w:ascii="Times New Roman" w:eastAsia="Calibri" w:hAnsi="Times New Roman"/>
          <w:szCs w:val="24"/>
        </w:rPr>
      </w:pPr>
    </w:p>
    <w:p w:rsidR="009F1FC7" w:rsidRPr="00B435CD" w:rsidRDefault="009F1FC7" w:rsidP="009F1FC7">
      <w:pPr>
        <w:spacing w:line="276" w:lineRule="auto"/>
        <w:ind w:left="851" w:right="1297"/>
        <w:jc w:val="both"/>
        <w:rPr>
          <w:rFonts w:ascii="Times New Roman" w:hAnsi="Times New Roman"/>
          <w:szCs w:val="24"/>
        </w:rPr>
      </w:pPr>
      <w:bookmarkStart w:id="9" w:name="OLE_LINK11"/>
      <w:bookmarkStart w:id="10" w:name="OLE_LINK12"/>
      <w:bookmarkStart w:id="11" w:name="OLE_LINK13"/>
      <w:bookmarkStart w:id="12" w:name="OLE_LINK14"/>
      <w:r w:rsidRPr="00B435CD">
        <w:rPr>
          <w:rFonts w:ascii="Times New Roman" w:hAnsi="Times New Roman"/>
          <w:szCs w:val="24"/>
        </w:rPr>
        <w:t xml:space="preserve">The feminist movements developed in the 60s and 70s have also played a role in challenging the perception of the family, seeing the nuclear family as a key component in the subjugation and subordination of females </w:t>
      </w:r>
      <w:r w:rsidRPr="00B435CD">
        <w:rPr>
          <w:rFonts w:ascii="Times New Roman" w:hAnsi="Times New Roman"/>
          <w:noProof/>
          <w:szCs w:val="24"/>
        </w:rPr>
        <w:t>(Gillies, 2003)</w:t>
      </w:r>
      <w:bookmarkEnd w:id="9"/>
      <w:bookmarkEnd w:id="10"/>
      <w:bookmarkEnd w:id="11"/>
      <w:bookmarkEnd w:id="12"/>
      <w:r w:rsidRPr="00B435CD">
        <w:rPr>
          <w:rFonts w:ascii="Times New Roman" w:hAnsi="Times New Roman"/>
          <w:szCs w:val="24"/>
        </w:rPr>
        <w:t>.</w:t>
      </w:r>
    </w:p>
    <w:p w:rsidR="009F1FC7" w:rsidRPr="00B435CD" w:rsidRDefault="009F1FC7" w:rsidP="009F1FC7">
      <w:pPr>
        <w:spacing w:line="276" w:lineRule="auto"/>
        <w:ind w:left="851" w:right="1297"/>
        <w:jc w:val="both"/>
        <w:rPr>
          <w:rFonts w:ascii="Times New Roman" w:hAnsi="Times New Roman"/>
          <w:szCs w:val="24"/>
        </w:rPr>
      </w:pPr>
    </w:p>
    <w:p w:rsidR="009F1FC7" w:rsidRPr="00B435CD" w:rsidRDefault="009F1FC7" w:rsidP="009F1FC7">
      <w:pPr>
        <w:spacing w:line="276" w:lineRule="auto"/>
        <w:ind w:left="851" w:right="1297"/>
        <w:jc w:val="both"/>
        <w:rPr>
          <w:rFonts w:ascii="Times New Roman" w:hAnsi="Times New Roman"/>
          <w:szCs w:val="24"/>
        </w:rPr>
      </w:pPr>
      <w:r w:rsidRPr="00B435CD">
        <w:rPr>
          <w:rFonts w:ascii="Times New Roman" w:hAnsi="Times New Roman"/>
          <w:szCs w:val="24"/>
        </w:rPr>
        <w:t xml:space="preserve">Nuclear families, historically the most common of family design, are traditionally understood to be comprised of a mother and father </w:t>
      </w:r>
      <w:r w:rsidRPr="00B435CD">
        <w:rPr>
          <w:rFonts w:ascii="Times New Roman" w:hAnsi="Times New Roman"/>
          <w:noProof/>
          <w:szCs w:val="24"/>
        </w:rPr>
        <w:t>(Widmer &amp; Jallinoja, 2008)</w:t>
      </w:r>
      <w:r w:rsidRPr="00B435CD">
        <w:rPr>
          <w:rFonts w:ascii="Times New Roman" w:hAnsi="Times New Roman"/>
          <w:szCs w:val="24"/>
        </w:rPr>
        <w:t xml:space="preserve">. They are based on traditional gender roles with the man being the hierarchy and the woman who looks after the family this is a functionalist view of society. Functionalists see society as something that is made up from different parts and rely on each other, the family is an important part it is the ‘basic building block’ and socialises the young and meets their needs </w:t>
      </w:r>
      <w:r w:rsidRPr="00B435CD">
        <w:rPr>
          <w:rFonts w:ascii="Times New Roman" w:hAnsi="Times New Roman"/>
          <w:noProof/>
          <w:szCs w:val="24"/>
        </w:rPr>
        <w:t>(Weeks, et al., 2001)</w:t>
      </w:r>
      <w:r w:rsidRPr="00B435CD">
        <w:rPr>
          <w:rFonts w:ascii="Times New Roman" w:hAnsi="Times New Roman"/>
          <w:szCs w:val="24"/>
        </w:rPr>
        <w:t>.  Subsequent government have attempted to rescue the family as a construct, casting its gaze on personal relationships in line with the role of policy making.  In 2008 the Cabinet office produced a paper, the finding of which confirmed the following:</w:t>
      </w:r>
    </w:p>
    <w:p w:rsidR="009F1FC7" w:rsidRPr="00B435CD" w:rsidRDefault="009F1FC7" w:rsidP="009F1FC7">
      <w:pPr>
        <w:spacing w:line="276" w:lineRule="auto"/>
        <w:ind w:left="851" w:right="1297"/>
        <w:jc w:val="both"/>
        <w:rPr>
          <w:rFonts w:ascii="Times New Roman" w:hAnsi="Times New Roman"/>
          <w:szCs w:val="24"/>
        </w:rPr>
      </w:pPr>
    </w:p>
    <w:p w:rsidR="009F1FC7" w:rsidRPr="00B435CD" w:rsidRDefault="009F1FC7" w:rsidP="009F1FC7">
      <w:pPr>
        <w:numPr>
          <w:ilvl w:val="0"/>
          <w:numId w:val="29"/>
        </w:numPr>
        <w:spacing w:after="160" w:line="276" w:lineRule="auto"/>
        <w:ind w:left="1418" w:right="1297"/>
        <w:contextualSpacing/>
        <w:rPr>
          <w:rFonts w:ascii="Times New Roman" w:hAnsi="Times New Roman"/>
          <w:szCs w:val="24"/>
        </w:rPr>
      </w:pPr>
      <w:r w:rsidRPr="00B435CD">
        <w:rPr>
          <w:rFonts w:ascii="Times New Roman" w:hAnsi="Times New Roman"/>
          <w:szCs w:val="24"/>
        </w:rPr>
        <w:t>The family in 21</w:t>
      </w:r>
      <w:r w:rsidRPr="00B435CD">
        <w:rPr>
          <w:rFonts w:ascii="Times New Roman" w:hAnsi="Times New Roman"/>
          <w:szCs w:val="24"/>
          <w:vertAlign w:val="superscript"/>
        </w:rPr>
        <w:t>st</w:t>
      </w:r>
      <w:r w:rsidRPr="00B435CD">
        <w:rPr>
          <w:rFonts w:ascii="Times New Roman" w:hAnsi="Times New Roman"/>
          <w:szCs w:val="24"/>
        </w:rPr>
        <w:t xml:space="preserve"> century Britain is non stereotypical </w:t>
      </w:r>
    </w:p>
    <w:p w:rsidR="009F1FC7" w:rsidRPr="00B435CD" w:rsidRDefault="009F1FC7" w:rsidP="009F1FC7">
      <w:pPr>
        <w:numPr>
          <w:ilvl w:val="0"/>
          <w:numId w:val="29"/>
        </w:numPr>
        <w:spacing w:after="160" w:line="276" w:lineRule="auto"/>
        <w:ind w:left="1418" w:right="1297"/>
        <w:contextualSpacing/>
        <w:rPr>
          <w:rFonts w:ascii="Times New Roman" w:hAnsi="Times New Roman"/>
          <w:szCs w:val="24"/>
        </w:rPr>
      </w:pPr>
      <w:r w:rsidRPr="00B435CD">
        <w:rPr>
          <w:rFonts w:ascii="Times New Roman" w:hAnsi="Times New Roman"/>
          <w:szCs w:val="24"/>
        </w:rPr>
        <w:t xml:space="preserve">Families remain the most important support in the life of an individual </w:t>
      </w:r>
    </w:p>
    <w:p w:rsidR="009F1FC7" w:rsidRPr="00B435CD" w:rsidRDefault="009F1FC7" w:rsidP="009F1FC7">
      <w:pPr>
        <w:numPr>
          <w:ilvl w:val="0"/>
          <w:numId w:val="29"/>
        </w:numPr>
        <w:spacing w:after="160" w:line="276" w:lineRule="auto"/>
        <w:ind w:left="1418" w:right="1297"/>
        <w:contextualSpacing/>
        <w:rPr>
          <w:rFonts w:ascii="Times New Roman" w:hAnsi="Times New Roman"/>
          <w:szCs w:val="24"/>
        </w:rPr>
      </w:pPr>
      <w:r w:rsidRPr="00B435CD">
        <w:rPr>
          <w:rFonts w:ascii="Times New Roman" w:hAnsi="Times New Roman"/>
          <w:szCs w:val="24"/>
        </w:rPr>
        <w:t xml:space="preserve">A strong family network can have a positive and influential outcome for each individual </w:t>
      </w:r>
    </w:p>
    <w:p w:rsidR="009F1FC7" w:rsidRPr="00B435CD" w:rsidRDefault="009F1FC7" w:rsidP="009F1FC7">
      <w:pPr>
        <w:numPr>
          <w:ilvl w:val="0"/>
          <w:numId w:val="29"/>
        </w:numPr>
        <w:spacing w:after="160" w:line="276" w:lineRule="auto"/>
        <w:ind w:left="1418" w:right="1297"/>
        <w:contextualSpacing/>
        <w:rPr>
          <w:rFonts w:ascii="Times New Roman" w:hAnsi="Times New Roman"/>
          <w:szCs w:val="24"/>
        </w:rPr>
      </w:pPr>
      <w:r w:rsidRPr="00B435CD">
        <w:rPr>
          <w:rFonts w:ascii="Times New Roman" w:hAnsi="Times New Roman"/>
          <w:szCs w:val="24"/>
        </w:rPr>
        <w:t xml:space="preserve">Blended and more complex family units have less favourable outcomes </w:t>
      </w:r>
    </w:p>
    <w:p w:rsidR="009F1FC7" w:rsidRPr="00B435CD" w:rsidRDefault="009F1FC7" w:rsidP="009F1FC7">
      <w:pPr>
        <w:numPr>
          <w:ilvl w:val="0"/>
          <w:numId w:val="29"/>
        </w:numPr>
        <w:spacing w:after="160" w:line="276" w:lineRule="auto"/>
        <w:ind w:left="1418" w:right="1297"/>
        <w:contextualSpacing/>
        <w:rPr>
          <w:rFonts w:ascii="Times New Roman" w:hAnsi="Times New Roman"/>
          <w:szCs w:val="24"/>
        </w:rPr>
      </w:pPr>
      <w:r w:rsidRPr="00B435CD">
        <w:rPr>
          <w:rFonts w:ascii="Times New Roman" w:hAnsi="Times New Roman"/>
          <w:szCs w:val="24"/>
        </w:rPr>
        <w:t>Blended and more complex family units are more predisposed to poverty</w:t>
      </w:r>
    </w:p>
    <w:p w:rsidR="009F1FC7" w:rsidRPr="00B435CD" w:rsidRDefault="009F1FC7" w:rsidP="009F1FC7">
      <w:pPr>
        <w:spacing w:line="276" w:lineRule="auto"/>
        <w:ind w:left="851" w:right="1297" w:firstLine="666"/>
        <w:contextualSpacing/>
        <w:jc w:val="right"/>
        <w:rPr>
          <w:rFonts w:ascii="Times New Roman" w:hAnsi="Times New Roman"/>
          <w:szCs w:val="24"/>
        </w:rPr>
      </w:pPr>
      <w:r w:rsidRPr="00B435CD">
        <w:rPr>
          <w:rFonts w:ascii="Times New Roman" w:hAnsi="Times New Roman"/>
          <w:noProof/>
          <w:szCs w:val="24"/>
        </w:rPr>
        <w:t>(Cabinet Office - The Strategy Unit, 2008)</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t xml:space="preserve">Today families have changed and are not nuclear in design, the popular design of the family is now being replicated in a different way </w:t>
      </w:r>
      <w:r w:rsidRPr="00B435CD">
        <w:rPr>
          <w:rFonts w:ascii="Times New Roman" w:hAnsi="Times New Roman"/>
          <w:noProof/>
          <w:szCs w:val="24"/>
        </w:rPr>
        <w:t>(Fields &amp; Casper, 2001)</w:t>
      </w:r>
      <w:r w:rsidRPr="00B435CD">
        <w:rPr>
          <w:rFonts w:ascii="Times New Roman" w:hAnsi="Times New Roman"/>
          <w:szCs w:val="24"/>
        </w:rPr>
        <w:t xml:space="preserve">. Instead, in modern society families now consist of single parents, childless couples, step parents, adopted children, same sex partnerships.  Some people only see family as blood relatives but others would include non-blood relatives or close friends. </w:t>
      </w:r>
      <w:r w:rsidRPr="00B435CD">
        <w:rPr>
          <w:rFonts w:ascii="Times New Roman" w:hAnsi="Times New Roman"/>
          <w:noProof/>
          <w:szCs w:val="24"/>
        </w:rPr>
        <w:t>Weeks, et al., (2001)</w:t>
      </w:r>
      <w:r w:rsidRPr="00B435CD">
        <w:rPr>
          <w:rFonts w:ascii="Times New Roman" w:hAnsi="Times New Roman"/>
          <w:szCs w:val="24"/>
        </w:rPr>
        <w:t xml:space="preserve"> say this is often the case amongst lesbian and gay communities.   It is therefore the role of the family which has been repeated and performed by others which may not necessarily be family members</w:t>
      </w:r>
      <w:r w:rsidRPr="00B435CD">
        <w:rPr>
          <w:rFonts w:ascii="Times New Roman" w:hAnsi="Times New Roman"/>
          <w:noProof/>
          <w:szCs w:val="24"/>
        </w:rPr>
        <w:t xml:space="preserve"> (Weeks, et al., 2001)</w:t>
      </w:r>
      <w:r w:rsidRPr="00B435CD">
        <w:rPr>
          <w:rFonts w:ascii="Times New Roman" w:hAnsi="Times New Roman"/>
          <w:szCs w:val="24"/>
        </w:rPr>
        <w:t>.</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t xml:space="preserve"> The expectation of people on the quality of their own lives has resulted in lifestyle changes which are not always a matter of choice, they are often a result of a changing society. In many countries decreasing fertility rates lead to smaller families and lower marriage rates, this together with increasing divorce rates leads to an increase in single parent families – and it is those who are most at risk of poverty. One reason for decreasing birth rates lies in the fact that education and employment opportunities for women are increasing. Many women establish a career before considering childbirth and an increasing number of women choose to remain childless. Women who have children after establishing a career often return to work. This, and the increase of single parent families does in many cases shift the childcare from the parents to the grandparents, creating households where the extended family provides essential support. Better employment opportunities also lead to more relationships where the partners live in different places and only see each other at weekends and they maintain two homes. Across the member countries of the Organisation for Economic Co-operation and Development (OECD) there is also an increase in single person households, where this is expected to be an increase of 22% in the time period from the year 2000 to 2025 for the United Kingdom </w:t>
      </w:r>
      <w:r w:rsidRPr="00B435CD">
        <w:rPr>
          <w:rFonts w:ascii="Times New Roman" w:hAnsi="Times New Roman"/>
          <w:noProof/>
          <w:szCs w:val="24"/>
        </w:rPr>
        <w:t>(OECD, 2011)</w:t>
      </w:r>
      <w:r w:rsidRPr="00B435CD">
        <w:rPr>
          <w:rFonts w:ascii="Times New Roman" w:hAnsi="Times New Roman"/>
          <w:szCs w:val="24"/>
        </w:rPr>
        <w:t>.</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t xml:space="preserve">Modern laws such as the Adoption and Children Act 2002 </w:t>
      </w:r>
      <w:r w:rsidRPr="00B435CD">
        <w:rPr>
          <w:rFonts w:ascii="Times New Roman" w:hAnsi="Times New Roman"/>
          <w:noProof/>
          <w:szCs w:val="24"/>
        </w:rPr>
        <w:t>(UK Government, 2002)</w:t>
      </w:r>
      <w:r w:rsidRPr="00B435CD">
        <w:rPr>
          <w:rFonts w:ascii="Times New Roman" w:hAnsi="Times New Roman"/>
          <w:szCs w:val="24"/>
        </w:rPr>
        <w:t xml:space="preserve">, the Marriage and Same Sex Couples Act 2013 </w:t>
      </w:r>
      <w:r w:rsidRPr="00B435CD">
        <w:rPr>
          <w:rFonts w:ascii="Times New Roman" w:hAnsi="Times New Roman"/>
          <w:noProof/>
          <w:szCs w:val="24"/>
        </w:rPr>
        <w:t>(UK Government, 2013)</w:t>
      </w:r>
      <w:r w:rsidRPr="00B435CD">
        <w:rPr>
          <w:rFonts w:ascii="Times New Roman" w:hAnsi="Times New Roman"/>
          <w:szCs w:val="24"/>
        </w:rPr>
        <w:t xml:space="preserve"> and the Human Fertilisation and Embryology Act (2008) </w:t>
      </w:r>
      <w:r w:rsidRPr="00B435CD">
        <w:rPr>
          <w:rFonts w:ascii="Times New Roman" w:hAnsi="Times New Roman"/>
          <w:noProof/>
          <w:szCs w:val="24"/>
        </w:rPr>
        <w:t>(UK Government, 2008)</w:t>
      </w:r>
      <w:r w:rsidRPr="00B435CD">
        <w:rPr>
          <w:rFonts w:ascii="Times New Roman" w:hAnsi="Times New Roman"/>
          <w:szCs w:val="24"/>
        </w:rPr>
        <w:t xml:space="preserve"> also support the idea of same sex families and have allowed people who would have ordinarily not have been able to have children to commence family life. </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lastRenderedPageBreak/>
        <w:t xml:space="preserve">Being part of a family establishes a feeling of belonging, protecting one another, offering security, stability, food, water, clothes and shelter </w:t>
      </w:r>
      <w:r w:rsidRPr="00B435CD">
        <w:rPr>
          <w:rFonts w:ascii="Times New Roman" w:hAnsi="Times New Roman"/>
          <w:noProof/>
          <w:szCs w:val="24"/>
        </w:rPr>
        <w:t>(Maslow, 1943)</w:t>
      </w:r>
      <w:r w:rsidRPr="00B435CD">
        <w:rPr>
          <w:rFonts w:ascii="Times New Roman" w:hAnsi="Times New Roman"/>
          <w:szCs w:val="24"/>
        </w:rPr>
        <w:t>. Maslow says that a person cannot progress in life without these basics being met.</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t xml:space="preserve">Family traditions help to keep the family together and family stories help to bind them together, and aids in building a communal belonging </w:t>
      </w:r>
      <w:r w:rsidRPr="00B435CD">
        <w:rPr>
          <w:rFonts w:ascii="Times New Roman" w:hAnsi="Times New Roman"/>
          <w:noProof/>
          <w:szCs w:val="24"/>
        </w:rPr>
        <w:t>(Burman, 1996)</w:t>
      </w:r>
      <w:r w:rsidRPr="00B435CD">
        <w:rPr>
          <w:rFonts w:ascii="Times New Roman" w:hAnsi="Times New Roman"/>
          <w:szCs w:val="24"/>
        </w:rPr>
        <w:t xml:space="preserve">.   Family traditions and routines help bind families together and family memories that are discussed and remembered over time help this too </w:t>
      </w:r>
      <w:r w:rsidRPr="00B435CD">
        <w:rPr>
          <w:rFonts w:ascii="Times New Roman" w:hAnsi="Times New Roman"/>
          <w:noProof/>
          <w:szCs w:val="24"/>
        </w:rPr>
        <w:t>(McKie &amp; Callan, 2012)</w:t>
      </w:r>
      <w:r w:rsidRPr="00B435CD">
        <w:rPr>
          <w:rFonts w:ascii="Times New Roman" w:hAnsi="Times New Roman"/>
          <w:szCs w:val="24"/>
        </w:rPr>
        <w:t>.</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t xml:space="preserve">The way we see family depends on many different things internal and external factors such as religion, friendship and sexuality </w:t>
      </w:r>
      <w:r w:rsidRPr="00B435CD">
        <w:rPr>
          <w:rFonts w:ascii="Times New Roman" w:hAnsi="Times New Roman"/>
          <w:noProof/>
          <w:szCs w:val="24"/>
        </w:rPr>
        <w:t>(Stacey, 2004)</w:t>
      </w:r>
      <w:r w:rsidRPr="00B435CD">
        <w:rPr>
          <w:rFonts w:ascii="Times New Roman" w:hAnsi="Times New Roman"/>
          <w:szCs w:val="24"/>
        </w:rPr>
        <w:t xml:space="preserve">. </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t xml:space="preserve">In today’s society there are lots of definitions of what a family is but being part of a family is important because ‘families, in all the diverse patterns, sizes, creeds, and colours they come in, are indeed the heart and soul of human society’ </w:t>
      </w:r>
      <w:r w:rsidRPr="00B435CD">
        <w:rPr>
          <w:rFonts w:ascii="Times New Roman" w:hAnsi="Times New Roman"/>
          <w:noProof/>
          <w:szCs w:val="24"/>
        </w:rPr>
        <w:t>(DeFrain, et al., 2008)</w:t>
      </w:r>
      <w:r w:rsidRPr="00B435CD">
        <w:rPr>
          <w:rFonts w:ascii="Times New Roman" w:hAnsi="Times New Roman"/>
          <w:szCs w:val="24"/>
        </w:rPr>
        <w:t xml:space="preserve"> (university of Nebraska article). Families are society’s oldest institution, people have always grouped together for support. Families are therefore the basic social unit in all groups of people around the world (DeFrain </w:t>
      </w:r>
      <w:r w:rsidRPr="00B435CD">
        <w:rPr>
          <w:rFonts w:ascii="Times New Roman" w:hAnsi="Times New Roman"/>
          <w:i/>
          <w:szCs w:val="24"/>
        </w:rPr>
        <w:t>et al</w:t>
      </w:r>
      <w:r w:rsidRPr="00B435CD">
        <w:rPr>
          <w:rFonts w:ascii="Times New Roman" w:hAnsi="Times New Roman"/>
          <w:szCs w:val="24"/>
        </w:rPr>
        <w:t>, 2008).</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t>Although society has changed the family is still as important as it ever was, even if the definition has changed.</w:t>
      </w:r>
    </w:p>
    <w:p w:rsidR="009F1FC7" w:rsidRPr="00B435CD" w:rsidRDefault="009F1FC7" w:rsidP="009F1FC7">
      <w:pPr>
        <w:tabs>
          <w:tab w:val="left" w:pos="3402"/>
        </w:tabs>
        <w:spacing w:before="240" w:line="276" w:lineRule="auto"/>
        <w:ind w:left="851" w:right="1297"/>
        <w:jc w:val="both"/>
        <w:rPr>
          <w:rFonts w:ascii="Times New Roman" w:hAnsi="Times New Roman"/>
          <w:szCs w:val="24"/>
        </w:rPr>
      </w:pPr>
      <w:r w:rsidRPr="00B435CD">
        <w:rPr>
          <w:rFonts w:ascii="Times New Roman" w:hAnsi="Times New Roman"/>
          <w:szCs w:val="24"/>
        </w:rPr>
        <w:t xml:space="preserve"> The family therefore has a role of socialising children and providing financial support and cooperation as a primary function. The care and emotional attachment, therefore according to </w:t>
      </w:r>
      <w:r w:rsidRPr="00B435CD">
        <w:rPr>
          <w:rFonts w:ascii="Times New Roman" w:hAnsi="Times New Roman"/>
          <w:noProof/>
          <w:szCs w:val="24"/>
        </w:rPr>
        <w:t>(Murdock, 1949)</w:t>
      </w:r>
      <w:r w:rsidRPr="00B435CD">
        <w:rPr>
          <w:rFonts w:ascii="Times New Roman" w:hAnsi="Times New Roman"/>
          <w:szCs w:val="24"/>
        </w:rPr>
        <w:t xml:space="preserve">, is secondary to the role of the family unit. Arguably, the roles identified a key function of the family could be replaced by individuals assuming a supporting role in terms of financial and emotional support for children. According to </w:t>
      </w:r>
      <w:r w:rsidRPr="00B435CD">
        <w:rPr>
          <w:rFonts w:ascii="Times New Roman" w:hAnsi="Times New Roman"/>
          <w:noProof/>
          <w:szCs w:val="24"/>
        </w:rPr>
        <w:t>(Bowlby, 1982)</w:t>
      </w:r>
      <w:r w:rsidRPr="00B435CD">
        <w:rPr>
          <w:rFonts w:ascii="Times New Roman" w:hAnsi="Times New Roman"/>
          <w:szCs w:val="24"/>
        </w:rPr>
        <w:t xml:space="preserve"> however the attachment of a child to a mother due to her being the provider of food and nourishment is the foundation for a long and enduring psychological attachment. Therefore, if the security and the provision of the things required to have a healthy and happy life are provided by a non -blood relative according to </w:t>
      </w:r>
      <w:r w:rsidRPr="00B435CD">
        <w:rPr>
          <w:rFonts w:ascii="Times New Roman" w:hAnsi="Times New Roman"/>
          <w:noProof/>
          <w:szCs w:val="24"/>
        </w:rPr>
        <w:t>(Bowlby, 1982)</w:t>
      </w:r>
      <w:r w:rsidRPr="00B435CD">
        <w:rPr>
          <w:rFonts w:ascii="Times New Roman" w:hAnsi="Times New Roman"/>
          <w:szCs w:val="24"/>
        </w:rPr>
        <w:t xml:space="preserve"> there will still be a psychological attachment.</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t xml:space="preserve">Whilst there is considerable belief that the family is the seat of happiness and contentment there are many hidden aspects of family life which remain concealed under the heading of the family. Far from being safe and nurturing family life can be neglectful and abusive, most violence occurs within family settings, siblings abusing siblings and often parents abusing children n and husbands abusing their wives </w:t>
      </w:r>
      <w:r w:rsidRPr="00B435CD">
        <w:rPr>
          <w:rFonts w:ascii="Times New Roman" w:hAnsi="Times New Roman"/>
          <w:noProof/>
          <w:szCs w:val="24"/>
        </w:rPr>
        <w:t>(Forward, 2009)</w:t>
      </w:r>
      <w:r w:rsidRPr="00B435CD">
        <w:rPr>
          <w:rFonts w:ascii="Times New Roman" w:hAnsi="Times New Roman"/>
          <w:szCs w:val="24"/>
        </w:rPr>
        <w:t xml:space="preserve">. </w:t>
      </w:r>
    </w:p>
    <w:p w:rsidR="009F1FC7" w:rsidRPr="00B435CD" w:rsidRDefault="009F1FC7" w:rsidP="009F1FC7">
      <w:pPr>
        <w:spacing w:before="240" w:line="276" w:lineRule="auto"/>
        <w:ind w:left="851" w:right="1297"/>
        <w:jc w:val="both"/>
        <w:rPr>
          <w:rFonts w:ascii="Times New Roman" w:hAnsi="Times New Roman"/>
          <w:szCs w:val="24"/>
        </w:rPr>
      </w:pPr>
      <w:r w:rsidRPr="00B435CD">
        <w:rPr>
          <w:rFonts w:ascii="Times New Roman" w:hAnsi="Times New Roman"/>
          <w:szCs w:val="24"/>
        </w:rPr>
        <w:t xml:space="preserve"> Whilst the family according to Murdoch (1956) is universal, the way in which the family performs its functions is not universal. A core dependency of the family providing the support and nurture required is affluence.  People who have less access to funds have a higher propensity to abandon or leave their children with a significantly higher number of single mothers than in wealthier groups </w:t>
      </w:r>
      <w:r w:rsidRPr="00B435CD">
        <w:rPr>
          <w:rFonts w:ascii="Times New Roman" w:hAnsi="Times New Roman"/>
          <w:noProof/>
          <w:szCs w:val="24"/>
        </w:rPr>
        <w:t>(Haralambos &amp; Holborn, 2009)</w:t>
      </w:r>
      <w:r w:rsidRPr="00B435CD">
        <w:rPr>
          <w:rFonts w:ascii="Times New Roman" w:hAnsi="Times New Roman"/>
          <w:szCs w:val="24"/>
        </w:rPr>
        <w:t xml:space="preserve">. The stratification of the family according to </w:t>
      </w:r>
      <w:r w:rsidRPr="00B435CD">
        <w:rPr>
          <w:rFonts w:ascii="Times New Roman" w:hAnsi="Times New Roman"/>
          <w:noProof/>
          <w:szCs w:val="24"/>
        </w:rPr>
        <w:t>(Goldthorpe, 1983)</w:t>
      </w:r>
      <w:r w:rsidRPr="00B435CD">
        <w:rPr>
          <w:rFonts w:ascii="Times New Roman" w:hAnsi="Times New Roman"/>
          <w:szCs w:val="24"/>
        </w:rPr>
        <w:t xml:space="preserve"> is purely dependent on the class position of the family, typically derived from the role of the main provider of the household normally the father. It could therefore be argued that the position of the family is set out by the heterosexuality and the role of patriarchy within the family as is made specifically within the main family unit were viewed as having the biggest role in the positioning of the family in terms of class and culture </w:t>
      </w:r>
      <w:r w:rsidRPr="00B435CD">
        <w:rPr>
          <w:rFonts w:ascii="Times New Roman" w:hAnsi="Times New Roman"/>
          <w:noProof/>
          <w:szCs w:val="24"/>
        </w:rPr>
        <w:t>(Goldthorpe, 1983)</w:t>
      </w:r>
      <w:r w:rsidRPr="00B435CD">
        <w:rPr>
          <w:rFonts w:ascii="Times New Roman" w:hAnsi="Times New Roman"/>
          <w:szCs w:val="24"/>
        </w:rPr>
        <w:t>.</w:t>
      </w:r>
    </w:p>
    <w:p w:rsidR="009F1FC7" w:rsidRPr="00B435CD" w:rsidRDefault="009F1FC7" w:rsidP="009F1FC7">
      <w:pPr>
        <w:spacing w:line="276" w:lineRule="auto"/>
        <w:ind w:left="851" w:right="1297"/>
        <w:jc w:val="both"/>
        <w:rPr>
          <w:rFonts w:ascii="Times New Roman" w:hAnsi="Times New Roman"/>
          <w:szCs w:val="24"/>
        </w:rPr>
      </w:pPr>
      <w:r w:rsidRPr="00B435CD">
        <w:rPr>
          <w:rFonts w:ascii="Times New Roman" w:hAnsi="Times New Roman"/>
          <w:szCs w:val="24"/>
        </w:rPr>
        <w:t xml:space="preserve">Whilst there is evidence to support the fact that the family’s role is to provide social and economic support for the benefit if the next generation </w:t>
      </w:r>
      <w:r w:rsidRPr="00B435CD">
        <w:rPr>
          <w:rFonts w:ascii="Times New Roman" w:hAnsi="Times New Roman"/>
          <w:noProof/>
          <w:szCs w:val="24"/>
        </w:rPr>
        <w:t>(Murdock, 1949)</w:t>
      </w:r>
      <w:r w:rsidRPr="00B435CD">
        <w:rPr>
          <w:rFonts w:ascii="Times New Roman" w:hAnsi="Times New Roman"/>
          <w:szCs w:val="24"/>
        </w:rPr>
        <w:t xml:space="preserve">, there are other beneficiaries of the family unit. Radical feminists such as Delphy and Leonard (1992) </w:t>
      </w:r>
      <w:r w:rsidRPr="00B435CD">
        <w:rPr>
          <w:rFonts w:ascii="Times New Roman" w:hAnsi="Times New Roman"/>
          <w:noProof/>
          <w:szCs w:val="24"/>
        </w:rPr>
        <w:t>(Haralambos &amp; Holborn, 2009)</w:t>
      </w:r>
      <w:r w:rsidRPr="00B435CD">
        <w:rPr>
          <w:rFonts w:ascii="Times New Roman" w:hAnsi="Times New Roman"/>
          <w:szCs w:val="24"/>
        </w:rPr>
        <w:t xml:space="preserve"> believe that that men are the sole beneficiaries of the family </w:t>
      </w:r>
      <w:r w:rsidRPr="00B435CD">
        <w:rPr>
          <w:rFonts w:ascii="Times New Roman" w:hAnsi="Times New Roman"/>
          <w:szCs w:val="24"/>
        </w:rPr>
        <w:lastRenderedPageBreak/>
        <w:t xml:space="preserve">unit, exploiting women who undertake all or most of the household chores, as it is the males who are the head of the household. Even in the family groups where the female is the sole or main breadwinner men remain head of the household (Delphy and Leonard, 1992, </w:t>
      </w:r>
      <w:r w:rsidRPr="00B435CD">
        <w:rPr>
          <w:rFonts w:ascii="Times New Roman" w:hAnsi="Times New Roman"/>
          <w:i/>
          <w:szCs w:val="24"/>
        </w:rPr>
        <w:t>cited in</w:t>
      </w:r>
      <w:r w:rsidRPr="00B435CD">
        <w:rPr>
          <w:rFonts w:ascii="Times New Roman" w:hAnsi="Times New Roman"/>
          <w:szCs w:val="24"/>
        </w:rPr>
        <w:t xml:space="preserve"> Haralambos and Holborn, 2009) The patriarchal control used by males ensure that spouses and other family members who have been socialised to be passive to males have to assess the mood and temperament of male heads of households and keep themselves in favour </w:t>
      </w:r>
      <w:r w:rsidRPr="00B435CD">
        <w:rPr>
          <w:rFonts w:ascii="Times New Roman" w:hAnsi="Times New Roman"/>
          <w:noProof/>
          <w:szCs w:val="24"/>
        </w:rPr>
        <w:t>(Bryson, 1992)</w:t>
      </w:r>
      <w:r w:rsidRPr="00B435CD">
        <w:rPr>
          <w:rFonts w:ascii="Times New Roman" w:hAnsi="Times New Roman"/>
          <w:szCs w:val="24"/>
        </w:rPr>
        <w:t xml:space="preserve">. Therefore, it could be argued that the family can be the seat of toxicity which can have a long lasting and detrimental effect on the lives of many, introducing and ingraining behaviours which perpetuate throughout generations creating a cycle of abuse </w:t>
      </w:r>
      <w:r w:rsidRPr="00B435CD">
        <w:rPr>
          <w:rFonts w:ascii="Times New Roman" w:hAnsi="Times New Roman"/>
          <w:noProof/>
          <w:szCs w:val="24"/>
        </w:rPr>
        <w:t>(Forward, 2009)</w:t>
      </w:r>
      <w:r w:rsidRPr="00B435CD">
        <w:rPr>
          <w:rFonts w:ascii="Times New Roman" w:hAnsi="Times New Roman"/>
          <w:szCs w:val="24"/>
        </w:rPr>
        <w:t>.</w:t>
      </w:r>
    </w:p>
    <w:p w:rsidR="009F1FC7" w:rsidRPr="00B435CD" w:rsidRDefault="009F1FC7" w:rsidP="009F1FC7">
      <w:pPr>
        <w:spacing w:before="240" w:line="276" w:lineRule="auto"/>
        <w:ind w:left="851" w:right="1297"/>
        <w:jc w:val="both"/>
        <w:rPr>
          <w:rFonts w:ascii="Times New Roman" w:hAnsi="Times New Roman"/>
          <w:szCs w:val="24"/>
        </w:rPr>
      </w:pPr>
    </w:p>
    <w:p w:rsidR="009F1FC7" w:rsidRPr="009F1FC7" w:rsidRDefault="009F1FC7" w:rsidP="009F1FC7">
      <w:pPr>
        <w:tabs>
          <w:tab w:val="left" w:pos="1485"/>
        </w:tabs>
        <w:spacing w:after="160" w:line="259" w:lineRule="auto"/>
        <w:ind w:left="851" w:right="1297"/>
        <w:jc w:val="both"/>
        <w:rPr>
          <w:rFonts w:ascii="Calibri" w:eastAsia="Calibri" w:hAnsi="Calibri"/>
          <w:noProof/>
          <w:sz w:val="22"/>
          <w:szCs w:val="22"/>
          <w:lang w:val="en-US" w:eastAsia="en-US"/>
        </w:rPr>
      </w:pPr>
      <w:r w:rsidRPr="00B435CD">
        <w:rPr>
          <w:rFonts w:ascii="Times New Roman" w:eastAsia="Calibri" w:hAnsi="Times New Roman"/>
          <w:szCs w:val="24"/>
          <w:lang w:eastAsia="en-US"/>
        </w:rPr>
        <w:t>This essay has critically reflected on the role of families in the 21</w:t>
      </w:r>
      <w:r w:rsidRPr="00B435CD">
        <w:rPr>
          <w:rFonts w:ascii="Times New Roman" w:eastAsia="Calibri" w:hAnsi="Times New Roman"/>
          <w:szCs w:val="24"/>
          <w:vertAlign w:val="superscript"/>
          <w:lang w:eastAsia="en-US"/>
        </w:rPr>
        <w:t>st</w:t>
      </w:r>
      <w:r w:rsidRPr="00B435CD">
        <w:rPr>
          <w:rFonts w:ascii="Times New Roman" w:eastAsia="Calibri" w:hAnsi="Times New Roman"/>
          <w:szCs w:val="24"/>
          <w:lang w:eastAsia="en-US"/>
        </w:rPr>
        <w:t xml:space="preserve"> century and discussed whether they are still relevant in today’s society. There are many conflicting views in relation to the overarching role of the family and much debate on the performing of the functions required by the construct. Whereas the family in terms of design is changing within contemporary society and the makeup of the role within each unit and who performs the role is fluid, it is clear that the functions of the family remain a crucial part of today’s society ensuring that the continuity of this structure remains in the ongoing provision of a support network throughout the life of an individual. It is however the function of the family that is the most important undertaking the nurturing roles and the financial support within the context of co-production co contribution and general cooperation </w:t>
      </w:r>
      <w:r w:rsidRPr="00B435CD">
        <w:rPr>
          <w:rFonts w:ascii="Times New Roman" w:eastAsia="Calibri" w:hAnsi="Times New Roman"/>
          <w:noProof/>
          <w:szCs w:val="24"/>
          <w:lang w:eastAsia="en-US"/>
        </w:rPr>
        <w:t>(Murdock, 1949)</w:t>
      </w:r>
      <w:r w:rsidRPr="00B435CD">
        <w:rPr>
          <w:rFonts w:ascii="Times New Roman" w:eastAsia="Calibri" w:hAnsi="Times New Roman"/>
          <w:szCs w:val="24"/>
          <w:lang w:eastAsia="en-US"/>
        </w:rPr>
        <w:t>. Definitions between the sexes have been explored, alongside how the nuclear family has changed and evolved over time, policies, theories and practice have been discussed where applicable.</w:t>
      </w:r>
      <w:r w:rsidRPr="009F1FC7">
        <w:rPr>
          <w:rFonts w:ascii="Calibri" w:eastAsia="Calibri" w:hAnsi="Calibri"/>
          <w:sz w:val="22"/>
          <w:szCs w:val="22"/>
          <w:lang w:eastAsia="en-US"/>
        </w:rPr>
        <w:t xml:space="preserve"> </w:t>
      </w:r>
      <w:r w:rsidRPr="009F1FC7">
        <w:rPr>
          <w:rFonts w:ascii="Calibri" w:eastAsia="Calibri" w:hAnsi="Calibri"/>
          <w:sz w:val="22"/>
          <w:szCs w:val="22"/>
          <w:lang w:eastAsia="en-US"/>
        </w:rPr>
        <w:br w:type="page"/>
      </w:r>
    </w:p>
    <w:p w:rsidR="009F1FC7" w:rsidRPr="009F1FC7" w:rsidRDefault="009F1FC7" w:rsidP="009F1FC7">
      <w:pPr>
        <w:keepNext/>
        <w:keepLines/>
        <w:spacing w:before="240" w:line="259" w:lineRule="auto"/>
        <w:ind w:left="851" w:right="1297"/>
        <w:outlineLvl w:val="0"/>
        <w:rPr>
          <w:rFonts w:ascii="Calibri Light" w:hAnsi="Calibri Light"/>
          <w:color w:val="2E74B5"/>
          <w:sz w:val="32"/>
          <w:szCs w:val="32"/>
          <w:lang w:val="en-US" w:eastAsia="en-US"/>
        </w:rPr>
      </w:pPr>
      <w:r w:rsidRPr="009F1FC7">
        <w:rPr>
          <w:rFonts w:ascii="Calibri Light" w:hAnsi="Calibri Light"/>
          <w:color w:val="2E74B5"/>
          <w:sz w:val="32"/>
          <w:szCs w:val="32"/>
          <w:lang w:val="en-US" w:eastAsia="en-US"/>
        </w:rPr>
        <w:lastRenderedPageBreak/>
        <w:t>References</w:t>
      </w:r>
    </w:p>
    <w:p w:rsidR="009F1FC7" w:rsidRPr="009F1FC7" w:rsidRDefault="009F1FC7" w:rsidP="009F1FC7">
      <w:pPr>
        <w:spacing w:after="160" w:line="259" w:lineRule="auto"/>
        <w:ind w:left="851" w:right="1297"/>
        <w:rPr>
          <w:rFonts w:ascii="Calibri" w:eastAsia="Calibri" w:hAnsi="Calibri"/>
          <w:noProof/>
          <w:szCs w:val="24"/>
          <w:lang w:val="en-US" w:eastAsia="en-US"/>
        </w:rPr>
      </w:pPr>
      <w:r w:rsidRPr="009F1FC7">
        <w:rPr>
          <w:rFonts w:ascii="Calibri" w:eastAsia="Calibri" w:hAnsi="Calibri"/>
          <w:noProof/>
          <w:sz w:val="22"/>
          <w:szCs w:val="22"/>
          <w:lang w:val="en-US" w:eastAsia="en-US"/>
        </w:rPr>
        <w:t xml:space="preserve">Bowlby, J., 1982. Forms of behaviour mediating attachment and their organisation. In: </w:t>
      </w:r>
      <w:r w:rsidRPr="009F1FC7">
        <w:rPr>
          <w:rFonts w:ascii="Calibri" w:eastAsia="Calibri" w:hAnsi="Calibri"/>
          <w:i/>
          <w:iCs/>
          <w:noProof/>
          <w:sz w:val="22"/>
          <w:szCs w:val="22"/>
          <w:lang w:val="en-US" w:eastAsia="en-US"/>
        </w:rPr>
        <w:t xml:space="preserve">Attachment and Loss Volume 1: Attachment. </w:t>
      </w:r>
      <w:r w:rsidRPr="009F1FC7">
        <w:rPr>
          <w:rFonts w:ascii="Calibri" w:eastAsia="Calibri" w:hAnsi="Calibri"/>
          <w:noProof/>
          <w:sz w:val="22"/>
          <w:szCs w:val="22"/>
          <w:lang w:val="en-US" w:eastAsia="en-US"/>
        </w:rPr>
        <w:t>2nd ed. New York: Basic Books, pp. 203 - 207.</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Bryson, V., 1992. </w:t>
      </w:r>
      <w:r w:rsidRPr="009F1FC7">
        <w:rPr>
          <w:rFonts w:ascii="Calibri" w:eastAsia="Calibri" w:hAnsi="Calibri"/>
          <w:i/>
          <w:iCs/>
          <w:noProof/>
          <w:sz w:val="22"/>
          <w:szCs w:val="22"/>
          <w:lang w:val="en-US" w:eastAsia="en-US"/>
        </w:rPr>
        <w:t xml:space="preserve">Feminist Political Theory: An Introduction. </w:t>
      </w:r>
      <w:r w:rsidRPr="009F1FC7">
        <w:rPr>
          <w:rFonts w:ascii="Calibri" w:eastAsia="Calibri" w:hAnsi="Calibri"/>
          <w:noProof/>
          <w:sz w:val="22"/>
          <w:szCs w:val="22"/>
          <w:lang w:val="en-US" w:eastAsia="en-US"/>
        </w:rPr>
        <w:t>Basingstoke: Macmillan.</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Burman, E., 1996. Local, Global or Globalized? Child Development and International Child Rights Legislation. </w:t>
      </w:r>
      <w:r w:rsidRPr="009F1FC7">
        <w:rPr>
          <w:rFonts w:ascii="Calibri" w:eastAsia="Calibri" w:hAnsi="Calibri"/>
          <w:i/>
          <w:iCs/>
          <w:noProof/>
          <w:sz w:val="22"/>
          <w:szCs w:val="22"/>
          <w:lang w:val="en-US" w:eastAsia="en-US"/>
        </w:rPr>
        <w:t xml:space="preserve">Childhood: A Global Journal of Child Research, </w:t>
      </w:r>
      <w:r w:rsidRPr="009F1FC7">
        <w:rPr>
          <w:rFonts w:ascii="Calibri" w:eastAsia="Calibri" w:hAnsi="Calibri"/>
          <w:noProof/>
          <w:sz w:val="22"/>
          <w:szCs w:val="22"/>
          <w:lang w:val="en-US" w:eastAsia="en-US"/>
        </w:rPr>
        <w:t>3(1), pp. 45 - 66.</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Cabinet Office - The Strategy Unit, 2008. </w:t>
      </w:r>
      <w:r w:rsidRPr="009F1FC7">
        <w:rPr>
          <w:rFonts w:ascii="Calibri" w:eastAsia="Calibri" w:hAnsi="Calibri"/>
          <w:i/>
          <w:iCs/>
          <w:noProof/>
          <w:sz w:val="22"/>
          <w:szCs w:val="22"/>
          <w:lang w:val="en-US" w:eastAsia="en-US"/>
        </w:rPr>
        <w:t xml:space="preserve">Families in Britain: an evidence paper. </w:t>
      </w:r>
      <w:r w:rsidRPr="009F1FC7">
        <w:rPr>
          <w:rFonts w:ascii="Calibri" w:eastAsia="Calibri" w:hAnsi="Calibri"/>
          <w:noProof/>
          <w:sz w:val="22"/>
          <w:szCs w:val="22"/>
          <w:lang w:val="en-US" w:eastAsia="en-US"/>
        </w:rPr>
        <w:t xml:space="preserve">[Online] </w:t>
      </w:r>
      <w:r w:rsidRPr="009F1FC7">
        <w:rPr>
          <w:rFonts w:ascii="Calibri" w:eastAsia="Calibri" w:hAnsi="Calibri"/>
          <w:noProof/>
          <w:sz w:val="22"/>
          <w:szCs w:val="22"/>
          <w:lang w:val="en-US" w:eastAsia="en-US"/>
        </w:rPr>
        <w:br/>
        <w:t xml:space="preserve">Available at: </w:t>
      </w:r>
      <w:r w:rsidRPr="009F1FC7">
        <w:rPr>
          <w:rFonts w:ascii="Calibri" w:eastAsia="Calibri" w:hAnsi="Calibri"/>
          <w:noProof/>
          <w:sz w:val="22"/>
          <w:szCs w:val="22"/>
          <w:u w:val="single"/>
          <w:lang w:val="en-US" w:eastAsia="en-US"/>
        </w:rPr>
        <w:t>http://dera.ioe.ac.uk/9502/1/Families%20Evidence%20Paper%20v0%2032%20181202.pdf</w:t>
      </w:r>
      <w:r w:rsidRPr="009F1FC7">
        <w:rPr>
          <w:rFonts w:ascii="Calibri" w:eastAsia="Calibri" w:hAnsi="Calibri"/>
          <w:noProof/>
          <w:sz w:val="22"/>
          <w:szCs w:val="22"/>
          <w:lang w:val="en-US" w:eastAsia="en-US"/>
        </w:rPr>
        <w:br/>
        <w:t>[Accessed 28 April 2018].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DeFrain, J., Brand, G., Friesen, J. &amp; Swanson, D., 2008. </w:t>
      </w:r>
      <w:r w:rsidRPr="009F1FC7">
        <w:rPr>
          <w:rFonts w:ascii="Calibri" w:eastAsia="Calibri" w:hAnsi="Calibri"/>
          <w:i/>
          <w:iCs/>
          <w:noProof/>
          <w:sz w:val="22"/>
          <w:szCs w:val="22"/>
          <w:lang w:val="en-US" w:eastAsia="en-US"/>
        </w:rPr>
        <w:t xml:space="preserve">Why Are Families So Important. </w:t>
      </w:r>
      <w:r w:rsidRPr="009F1FC7">
        <w:rPr>
          <w:rFonts w:ascii="Calibri" w:eastAsia="Calibri" w:hAnsi="Calibri"/>
          <w:noProof/>
          <w:sz w:val="22"/>
          <w:szCs w:val="22"/>
          <w:lang w:val="en-US" w:eastAsia="en-US"/>
        </w:rPr>
        <w:t xml:space="preserve">[Online] </w:t>
      </w:r>
      <w:r w:rsidRPr="009F1FC7">
        <w:rPr>
          <w:rFonts w:ascii="Calibri" w:eastAsia="Calibri" w:hAnsi="Calibri"/>
          <w:noProof/>
          <w:sz w:val="22"/>
          <w:szCs w:val="22"/>
          <w:lang w:val="en-US" w:eastAsia="en-US"/>
        </w:rPr>
        <w:br/>
        <w:t xml:space="preserve">Available at: </w:t>
      </w:r>
      <w:r w:rsidRPr="009F1FC7">
        <w:rPr>
          <w:rFonts w:ascii="Calibri" w:eastAsia="Calibri" w:hAnsi="Calibri"/>
          <w:noProof/>
          <w:sz w:val="22"/>
          <w:szCs w:val="22"/>
          <w:u w:val="single"/>
          <w:lang w:val="en-US" w:eastAsia="en-US"/>
        </w:rPr>
        <w:t>http://extensionpublications.unl.edu/assets/pdf/g1890.pdf</w:t>
      </w:r>
      <w:r w:rsidRPr="009F1FC7">
        <w:rPr>
          <w:rFonts w:ascii="Calibri" w:eastAsia="Calibri" w:hAnsi="Calibri"/>
          <w:noProof/>
          <w:sz w:val="22"/>
          <w:szCs w:val="22"/>
          <w:lang w:val="en-US" w:eastAsia="en-US"/>
        </w:rPr>
        <w:br/>
        <w:t>[Accessed 14 April 2018].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Forward, S., 2009. </w:t>
      </w:r>
      <w:r w:rsidRPr="009F1FC7">
        <w:rPr>
          <w:rFonts w:ascii="Calibri" w:eastAsia="Calibri" w:hAnsi="Calibri"/>
          <w:i/>
          <w:iCs/>
          <w:noProof/>
          <w:sz w:val="22"/>
          <w:szCs w:val="22"/>
          <w:lang w:val="en-US" w:eastAsia="en-US"/>
        </w:rPr>
        <w:t xml:space="preserve">Toxic Parents: Overcoming Their Hurtful Legacy and Reclaiming Your Life. </w:t>
      </w:r>
      <w:r w:rsidRPr="009F1FC7">
        <w:rPr>
          <w:rFonts w:ascii="Calibri" w:eastAsia="Calibri" w:hAnsi="Calibri"/>
          <w:noProof/>
          <w:sz w:val="22"/>
          <w:szCs w:val="22"/>
          <w:lang w:val="en-US" w:eastAsia="en-US"/>
        </w:rPr>
        <w:t>New York: Bantam.</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Gillies, V., 2003. </w:t>
      </w:r>
      <w:r w:rsidRPr="009F1FC7">
        <w:rPr>
          <w:rFonts w:ascii="Calibri" w:eastAsia="Calibri" w:hAnsi="Calibri"/>
          <w:i/>
          <w:iCs/>
          <w:noProof/>
          <w:sz w:val="22"/>
          <w:szCs w:val="22"/>
          <w:lang w:val="en-US" w:eastAsia="en-US"/>
        </w:rPr>
        <w:t xml:space="preserve">Family and intimate relationships: a review of the sociological. </w:t>
      </w:r>
      <w:r w:rsidRPr="009F1FC7">
        <w:rPr>
          <w:rFonts w:ascii="Calibri" w:eastAsia="Calibri" w:hAnsi="Calibri"/>
          <w:noProof/>
          <w:sz w:val="22"/>
          <w:szCs w:val="22"/>
          <w:lang w:val="en-US" w:eastAsia="en-US"/>
        </w:rPr>
        <w:t xml:space="preserve">[Online] </w:t>
      </w:r>
      <w:r w:rsidRPr="009F1FC7">
        <w:rPr>
          <w:rFonts w:ascii="Calibri" w:eastAsia="Calibri" w:hAnsi="Calibri"/>
          <w:noProof/>
          <w:sz w:val="22"/>
          <w:szCs w:val="22"/>
          <w:lang w:val="en-US" w:eastAsia="en-US"/>
        </w:rPr>
        <w:br/>
        <w:t xml:space="preserve">Available at: </w:t>
      </w:r>
      <w:r w:rsidRPr="009F1FC7">
        <w:rPr>
          <w:rFonts w:ascii="Calibri" w:eastAsia="Calibri" w:hAnsi="Calibri"/>
          <w:noProof/>
          <w:sz w:val="22"/>
          <w:szCs w:val="22"/>
          <w:u w:val="single"/>
          <w:lang w:val="en-US" w:eastAsia="en-US"/>
        </w:rPr>
        <w:t>http://www1.lsbu.ac.uk/ahs/downloads/families/familieswp2.pdf</w:t>
      </w:r>
      <w:r w:rsidRPr="009F1FC7">
        <w:rPr>
          <w:rFonts w:ascii="Calibri" w:eastAsia="Calibri" w:hAnsi="Calibri"/>
          <w:noProof/>
          <w:sz w:val="22"/>
          <w:szCs w:val="22"/>
          <w:lang w:val="en-US" w:eastAsia="en-US"/>
        </w:rPr>
        <w:br/>
        <w:t>[Accessed 2 May 2018].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Goldthorpe, J. H., 1983. Women and Class Analysis: In Defence of the Conventional View. </w:t>
      </w:r>
      <w:r w:rsidRPr="009F1FC7">
        <w:rPr>
          <w:rFonts w:ascii="Calibri" w:eastAsia="Calibri" w:hAnsi="Calibri"/>
          <w:i/>
          <w:iCs/>
          <w:noProof/>
          <w:sz w:val="22"/>
          <w:szCs w:val="22"/>
          <w:lang w:val="en-US" w:eastAsia="en-US"/>
        </w:rPr>
        <w:t xml:space="preserve">Sociology, </w:t>
      </w:r>
      <w:r w:rsidRPr="009F1FC7">
        <w:rPr>
          <w:rFonts w:ascii="Calibri" w:eastAsia="Calibri" w:hAnsi="Calibri"/>
          <w:noProof/>
          <w:sz w:val="22"/>
          <w:szCs w:val="22"/>
          <w:lang w:val="en-US" w:eastAsia="en-US"/>
        </w:rPr>
        <w:t>17(4), pp. 465-488.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Haralambos, M. &amp; Holborn, M., 2009. </w:t>
      </w:r>
      <w:r w:rsidRPr="009F1FC7">
        <w:rPr>
          <w:rFonts w:ascii="Calibri" w:eastAsia="Calibri" w:hAnsi="Calibri"/>
          <w:i/>
          <w:iCs/>
          <w:noProof/>
          <w:sz w:val="22"/>
          <w:szCs w:val="22"/>
          <w:lang w:val="en-US" w:eastAsia="en-US"/>
        </w:rPr>
        <w:t xml:space="preserve">Sociology Themes and Perspectives. </w:t>
      </w:r>
      <w:r w:rsidRPr="009F1FC7">
        <w:rPr>
          <w:rFonts w:ascii="Calibri" w:eastAsia="Calibri" w:hAnsi="Calibri"/>
          <w:noProof/>
          <w:sz w:val="22"/>
          <w:szCs w:val="22"/>
          <w:lang w:val="en-US" w:eastAsia="en-US"/>
        </w:rPr>
        <w:t>7th ed. London: Collins Educational.</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Hickson, K., 2005. In: </w:t>
      </w:r>
      <w:r w:rsidRPr="009F1FC7">
        <w:rPr>
          <w:rFonts w:ascii="Calibri" w:eastAsia="Calibri" w:hAnsi="Calibri"/>
          <w:i/>
          <w:iCs/>
          <w:noProof/>
          <w:sz w:val="22"/>
          <w:szCs w:val="22"/>
          <w:lang w:val="en-US" w:eastAsia="en-US"/>
        </w:rPr>
        <w:t xml:space="preserve">The Political Thought of the Conservative Party since 1945. </w:t>
      </w:r>
      <w:r w:rsidRPr="009F1FC7">
        <w:rPr>
          <w:rFonts w:ascii="Calibri" w:eastAsia="Calibri" w:hAnsi="Calibri"/>
          <w:noProof/>
          <w:sz w:val="22"/>
          <w:szCs w:val="22"/>
          <w:lang w:val="en-US" w:eastAsia="en-US"/>
        </w:rPr>
        <w:t>London: Palgrave Macmillan, pp. 170 - 174.</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Hoffer, E., 1973. </w:t>
      </w:r>
      <w:r w:rsidRPr="009F1FC7">
        <w:rPr>
          <w:rFonts w:ascii="Calibri" w:eastAsia="Calibri" w:hAnsi="Calibri"/>
          <w:i/>
          <w:iCs/>
          <w:noProof/>
          <w:sz w:val="22"/>
          <w:szCs w:val="22"/>
          <w:lang w:val="en-US" w:eastAsia="en-US"/>
        </w:rPr>
        <w:t xml:space="preserve">Reflections on the human condition. </w:t>
      </w:r>
      <w:r w:rsidRPr="009F1FC7">
        <w:rPr>
          <w:rFonts w:ascii="Calibri" w:eastAsia="Calibri" w:hAnsi="Calibri"/>
          <w:noProof/>
          <w:sz w:val="22"/>
          <w:szCs w:val="22"/>
          <w:lang w:val="en-US" w:eastAsia="en-US"/>
        </w:rPr>
        <w:t>Titusville: Hopewell Publications LLC.</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Jenkins, Pareira, and Evans, 2008. </w:t>
      </w:r>
      <w:r w:rsidRPr="009F1FC7">
        <w:rPr>
          <w:rFonts w:ascii="Calibri" w:eastAsia="Calibri" w:hAnsi="Calibri"/>
          <w:i/>
          <w:iCs/>
          <w:noProof/>
          <w:sz w:val="22"/>
          <w:szCs w:val="22"/>
          <w:lang w:val="en-US" w:eastAsia="en-US"/>
        </w:rPr>
        <w:t xml:space="preserve">Families in Britain, </w:t>
      </w:r>
      <w:r w:rsidRPr="009F1FC7">
        <w:rPr>
          <w:rFonts w:ascii="Calibri" w:eastAsia="Calibri" w:hAnsi="Calibri"/>
          <w:noProof/>
          <w:sz w:val="22"/>
          <w:szCs w:val="22"/>
          <w:lang w:val="en-US" w:eastAsia="en-US"/>
        </w:rPr>
        <w:t>London: Ipsos MORI.</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Katz, I., Corlyon, J., La Placa, V. &amp; Hunter, S., 2007. </w:t>
      </w:r>
      <w:r w:rsidRPr="009F1FC7">
        <w:rPr>
          <w:rFonts w:ascii="Calibri" w:eastAsia="Calibri" w:hAnsi="Calibri"/>
          <w:i/>
          <w:iCs/>
          <w:noProof/>
          <w:sz w:val="22"/>
          <w:szCs w:val="22"/>
          <w:lang w:val="en-US" w:eastAsia="en-US"/>
        </w:rPr>
        <w:t xml:space="preserve">Joseph Rowntree Fountation. </w:t>
      </w:r>
      <w:r w:rsidRPr="009F1FC7">
        <w:rPr>
          <w:rFonts w:ascii="Calibri" w:eastAsia="Calibri" w:hAnsi="Calibri"/>
          <w:noProof/>
          <w:sz w:val="22"/>
          <w:szCs w:val="22"/>
          <w:lang w:val="en-US" w:eastAsia="en-US"/>
        </w:rPr>
        <w:t xml:space="preserve">[Online] </w:t>
      </w:r>
      <w:r w:rsidRPr="009F1FC7">
        <w:rPr>
          <w:rFonts w:ascii="Calibri" w:eastAsia="Calibri" w:hAnsi="Calibri"/>
          <w:noProof/>
          <w:sz w:val="22"/>
          <w:szCs w:val="22"/>
          <w:lang w:val="en-US" w:eastAsia="en-US"/>
        </w:rPr>
        <w:br/>
        <w:t xml:space="preserve">Available at: </w:t>
      </w:r>
      <w:r w:rsidRPr="009F1FC7">
        <w:rPr>
          <w:rFonts w:ascii="Calibri" w:eastAsia="Calibri" w:hAnsi="Calibri"/>
          <w:noProof/>
          <w:sz w:val="22"/>
          <w:szCs w:val="22"/>
          <w:u w:val="single"/>
          <w:lang w:val="en-US" w:eastAsia="en-US"/>
        </w:rPr>
        <w:t>https://www.jrf.org.uk/sites/default/files/jrf/migrated/files/parenting-poverty.pdf</w:t>
      </w:r>
      <w:r w:rsidRPr="009F1FC7">
        <w:rPr>
          <w:rFonts w:ascii="Calibri" w:eastAsia="Calibri" w:hAnsi="Calibri"/>
          <w:noProof/>
          <w:sz w:val="22"/>
          <w:szCs w:val="22"/>
          <w:lang w:val="en-US" w:eastAsia="en-US"/>
        </w:rPr>
        <w:br/>
        <w:t>[Accessed 23 March 2018].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Maslow, A. H., 1943. A Theory of Human Motivation. </w:t>
      </w:r>
      <w:r w:rsidRPr="009F1FC7">
        <w:rPr>
          <w:rFonts w:ascii="Calibri" w:eastAsia="Calibri" w:hAnsi="Calibri"/>
          <w:i/>
          <w:iCs/>
          <w:noProof/>
          <w:sz w:val="22"/>
          <w:szCs w:val="22"/>
          <w:lang w:val="en-US" w:eastAsia="en-US"/>
        </w:rPr>
        <w:t xml:space="preserve">Psychological Review, </w:t>
      </w:r>
      <w:r w:rsidRPr="009F1FC7">
        <w:rPr>
          <w:rFonts w:ascii="Calibri" w:eastAsia="Calibri" w:hAnsi="Calibri"/>
          <w:noProof/>
          <w:sz w:val="22"/>
          <w:szCs w:val="22"/>
          <w:lang w:val="en-US" w:eastAsia="en-US"/>
        </w:rPr>
        <w:t>4(50), pp. 370-396.</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McKie, L. &amp; Callan, S., 2012. </w:t>
      </w:r>
      <w:r w:rsidRPr="009F1FC7">
        <w:rPr>
          <w:rFonts w:ascii="Calibri" w:eastAsia="Calibri" w:hAnsi="Calibri"/>
          <w:i/>
          <w:iCs/>
          <w:noProof/>
          <w:sz w:val="22"/>
          <w:szCs w:val="22"/>
          <w:lang w:val="en-US" w:eastAsia="en-US"/>
        </w:rPr>
        <w:t xml:space="preserve">Understanding Families: A Global Introduction. </w:t>
      </w:r>
      <w:r w:rsidRPr="009F1FC7">
        <w:rPr>
          <w:rFonts w:ascii="Calibri" w:eastAsia="Calibri" w:hAnsi="Calibri"/>
          <w:noProof/>
          <w:sz w:val="22"/>
          <w:szCs w:val="22"/>
          <w:lang w:val="en-US" w:eastAsia="en-US"/>
        </w:rPr>
        <w:t>London: Sage.</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Murdock, G. P., 1949. </w:t>
      </w:r>
      <w:r w:rsidRPr="009F1FC7">
        <w:rPr>
          <w:rFonts w:ascii="Calibri" w:eastAsia="Calibri" w:hAnsi="Calibri"/>
          <w:i/>
          <w:iCs/>
          <w:noProof/>
          <w:sz w:val="22"/>
          <w:szCs w:val="22"/>
          <w:lang w:val="en-US" w:eastAsia="en-US"/>
        </w:rPr>
        <w:t xml:space="preserve">Social Structure. </w:t>
      </w:r>
      <w:r w:rsidRPr="009F1FC7">
        <w:rPr>
          <w:rFonts w:ascii="Calibri" w:eastAsia="Calibri" w:hAnsi="Calibri"/>
          <w:noProof/>
          <w:sz w:val="22"/>
          <w:szCs w:val="22"/>
          <w:lang w:val="en-US" w:eastAsia="en-US"/>
        </w:rPr>
        <w:t>New York: Collier-Macmillan Ltd.</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OECD, 2011. </w:t>
      </w:r>
      <w:r w:rsidRPr="009F1FC7">
        <w:rPr>
          <w:rFonts w:ascii="Calibri" w:eastAsia="Calibri" w:hAnsi="Calibri"/>
          <w:i/>
          <w:iCs/>
          <w:noProof/>
          <w:sz w:val="22"/>
          <w:szCs w:val="22"/>
          <w:lang w:val="en-US" w:eastAsia="en-US"/>
        </w:rPr>
        <w:t xml:space="preserve">Doing Better for Families. </w:t>
      </w:r>
      <w:r w:rsidRPr="009F1FC7">
        <w:rPr>
          <w:rFonts w:ascii="Calibri" w:eastAsia="Calibri" w:hAnsi="Calibri"/>
          <w:noProof/>
          <w:sz w:val="22"/>
          <w:szCs w:val="22"/>
          <w:lang w:val="en-US" w:eastAsia="en-US"/>
        </w:rPr>
        <w:t xml:space="preserve">[Online] </w:t>
      </w:r>
      <w:r w:rsidRPr="009F1FC7">
        <w:rPr>
          <w:rFonts w:ascii="Calibri" w:eastAsia="Calibri" w:hAnsi="Calibri"/>
          <w:noProof/>
          <w:sz w:val="22"/>
          <w:szCs w:val="22"/>
          <w:lang w:val="en-US" w:eastAsia="en-US"/>
        </w:rPr>
        <w:br/>
        <w:t xml:space="preserve">Available at: </w:t>
      </w:r>
      <w:r w:rsidRPr="009F1FC7">
        <w:rPr>
          <w:rFonts w:ascii="Calibri" w:eastAsia="Calibri" w:hAnsi="Calibri"/>
          <w:noProof/>
          <w:sz w:val="22"/>
          <w:szCs w:val="22"/>
          <w:u w:val="single"/>
          <w:lang w:val="en-US" w:eastAsia="en-US"/>
        </w:rPr>
        <w:t>https://www.oecd.org/els/soc/47701118.pdf</w:t>
      </w:r>
      <w:r w:rsidRPr="009F1FC7">
        <w:rPr>
          <w:rFonts w:ascii="Calibri" w:eastAsia="Calibri" w:hAnsi="Calibri"/>
          <w:noProof/>
          <w:sz w:val="22"/>
          <w:szCs w:val="22"/>
          <w:lang w:val="en-US" w:eastAsia="en-US"/>
        </w:rPr>
        <w:br/>
        <w:t>[Accessed 15 April 2018].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Revise Sociololgy, 2016. </w:t>
      </w:r>
      <w:r w:rsidRPr="009F1FC7">
        <w:rPr>
          <w:rFonts w:ascii="Calibri" w:eastAsia="Calibri" w:hAnsi="Calibri"/>
          <w:i/>
          <w:iCs/>
          <w:noProof/>
          <w:sz w:val="22"/>
          <w:szCs w:val="22"/>
          <w:lang w:val="en-US" w:eastAsia="en-US"/>
        </w:rPr>
        <w:t xml:space="preserve">Defining the Family. </w:t>
      </w:r>
      <w:r w:rsidRPr="009F1FC7">
        <w:rPr>
          <w:rFonts w:ascii="Calibri" w:eastAsia="Calibri" w:hAnsi="Calibri"/>
          <w:noProof/>
          <w:sz w:val="22"/>
          <w:szCs w:val="22"/>
          <w:lang w:val="en-US" w:eastAsia="en-US"/>
        </w:rPr>
        <w:t xml:space="preserve">[Online] </w:t>
      </w:r>
      <w:r w:rsidRPr="009F1FC7">
        <w:rPr>
          <w:rFonts w:ascii="Calibri" w:eastAsia="Calibri" w:hAnsi="Calibri"/>
          <w:noProof/>
          <w:sz w:val="22"/>
          <w:szCs w:val="22"/>
          <w:lang w:val="en-US" w:eastAsia="en-US"/>
        </w:rPr>
        <w:br/>
        <w:t xml:space="preserve">Available at: </w:t>
      </w:r>
      <w:r w:rsidRPr="009F1FC7">
        <w:rPr>
          <w:rFonts w:ascii="Calibri" w:eastAsia="Calibri" w:hAnsi="Calibri"/>
          <w:noProof/>
          <w:sz w:val="22"/>
          <w:szCs w:val="22"/>
          <w:u w:val="single"/>
          <w:lang w:val="en-US" w:eastAsia="en-US"/>
        </w:rPr>
        <w:t>https://revisesociology.com/2016/08/08/defining-the-family/</w:t>
      </w:r>
      <w:r w:rsidRPr="009F1FC7">
        <w:rPr>
          <w:rFonts w:ascii="Calibri" w:eastAsia="Calibri" w:hAnsi="Calibri"/>
          <w:noProof/>
          <w:sz w:val="22"/>
          <w:szCs w:val="22"/>
          <w:lang w:val="en-US" w:eastAsia="en-US"/>
        </w:rPr>
        <w:br/>
        <w:t>[Accessed 27 April 2018].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Stacey, J., 2004. Cruising to Familyland: Gay Hypergamy and Rainbow Kinship. </w:t>
      </w:r>
      <w:r w:rsidRPr="009F1FC7">
        <w:rPr>
          <w:rFonts w:ascii="Calibri" w:eastAsia="Calibri" w:hAnsi="Calibri"/>
          <w:i/>
          <w:iCs/>
          <w:noProof/>
          <w:sz w:val="22"/>
          <w:szCs w:val="22"/>
          <w:lang w:val="en-US" w:eastAsia="en-US"/>
        </w:rPr>
        <w:t xml:space="preserve">Current Sociology, </w:t>
      </w:r>
      <w:r w:rsidRPr="009F1FC7">
        <w:rPr>
          <w:rFonts w:ascii="Calibri" w:eastAsia="Calibri" w:hAnsi="Calibri"/>
          <w:noProof/>
          <w:sz w:val="22"/>
          <w:szCs w:val="22"/>
          <w:lang w:val="en-US" w:eastAsia="en-US"/>
        </w:rPr>
        <w:t>52(2), pp. 181 - 197.</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Steel, L., Kidd, W. &amp; Brown, A., 2012. In: </w:t>
      </w:r>
      <w:r w:rsidRPr="009F1FC7">
        <w:rPr>
          <w:rFonts w:ascii="Calibri" w:eastAsia="Calibri" w:hAnsi="Calibri"/>
          <w:i/>
          <w:iCs/>
          <w:noProof/>
          <w:sz w:val="22"/>
          <w:szCs w:val="22"/>
          <w:lang w:val="en-US" w:eastAsia="en-US"/>
        </w:rPr>
        <w:t xml:space="preserve">The Family. </w:t>
      </w:r>
      <w:r w:rsidRPr="009F1FC7">
        <w:rPr>
          <w:rFonts w:ascii="Calibri" w:eastAsia="Calibri" w:hAnsi="Calibri"/>
          <w:noProof/>
          <w:sz w:val="22"/>
          <w:szCs w:val="22"/>
          <w:lang w:val="en-US" w:eastAsia="en-US"/>
        </w:rPr>
        <w:t>London: Palgrave Macmillion, p. 3.</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UK Government, 2002. </w:t>
      </w:r>
      <w:r w:rsidRPr="009F1FC7">
        <w:rPr>
          <w:rFonts w:ascii="Calibri" w:eastAsia="Calibri" w:hAnsi="Calibri"/>
          <w:i/>
          <w:iCs/>
          <w:noProof/>
          <w:sz w:val="22"/>
          <w:szCs w:val="22"/>
          <w:lang w:val="en-US" w:eastAsia="en-US"/>
        </w:rPr>
        <w:t xml:space="preserve">Adoption of Children Act 2002. </w:t>
      </w:r>
      <w:r w:rsidRPr="009F1FC7">
        <w:rPr>
          <w:rFonts w:ascii="Calibri" w:eastAsia="Calibri" w:hAnsi="Calibri"/>
          <w:noProof/>
          <w:sz w:val="22"/>
          <w:szCs w:val="22"/>
          <w:lang w:val="en-US" w:eastAsia="en-US"/>
        </w:rPr>
        <w:t xml:space="preserve">[Online] </w:t>
      </w:r>
      <w:r w:rsidRPr="009F1FC7">
        <w:rPr>
          <w:rFonts w:ascii="Calibri" w:eastAsia="Calibri" w:hAnsi="Calibri"/>
          <w:noProof/>
          <w:sz w:val="22"/>
          <w:szCs w:val="22"/>
          <w:lang w:val="en-US" w:eastAsia="en-US"/>
        </w:rPr>
        <w:br/>
        <w:t xml:space="preserve">Available at: </w:t>
      </w:r>
      <w:r w:rsidRPr="009F1FC7">
        <w:rPr>
          <w:rFonts w:ascii="Calibri" w:eastAsia="Calibri" w:hAnsi="Calibri"/>
          <w:noProof/>
          <w:sz w:val="22"/>
          <w:szCs w:val="22"/>
          <w:u w:val="single"/>
          <w:lang w:val="en-US" w:eastAsia="en-US"/>
        </w:rPr>
        <w:t>http://www.legislation.gov.uk/ukpga/2002/38/pdfs/ukpga_20020038_en.pdf</w:t>
      </w:r>
      <w:r w:rsidRPr="009F1FC7">
        <w:rPr>
          <w:rFonts w:ascii="Calibri" w:eastAsia="Calibri" w:hAnsi="Calibri"/>
          <w:noProof/>
          <w:sz w:val="22"/>
          <w:szCs w:val="22"/>
          <w:lang w:val="en-US" w:eastAsia="en-US"/>
        </w:rPr>
        <w:br/>
        <w:t>[Accessed 16 April 2018].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lastRenderedPageBreak/>
        <w:t xml:space="preserve">UK Government, 2008. </w:t>
      </w:r>
      <w:r w:rsidRPr="009F1FC7">
        <w:rPr>
          <w:rFonts w:ascii="Calibri" w:eastAsia="Calibri" w:hAnsi="Calibri"/>
          <w:i/>
          <w:iCs/>
          <w:noProof/>
          <w:sz w:val="22"/>
          <w:szCs w:val="22"/>
          <w:lang w:val="en-US" w:eastAsia="en-US"/>
        </w:rPr>
        <w:t xml:space="preserve">Human Fertilisation and Embryology Act 2008. </w:t>
      </w:r>
      <w:r w:rsidRPr="009F1FC7">
        <w:rPr>
          <w:rFonts w:ascii="Calibri" w:eastAsia="Calibri" w:hAnsi="Calibri"/>
          <w:noProof/>
          <w:sz w:val="22"/>
          <w:szCs w:val="22"/>
          <w:lang w:val="en-US" w:eastAsia="en-US"/>
        </w:rPr>
        <w:t xml:space="preserve">[Online] </w:t>
      </w:r>
      <w:r w:rsidRPr="009F1FC7">
        <w:rPr>
          <w:rFonts w:ascii="Calibri" w:eastAsia="Calibri" w:hAnsi="Calibri"/>
          <w:noProof/>
          <w:sz w:val="22"/>
          <w:szCs w:val="22"/>
          <w:lang w:val="en-US" w:eastAsia="en-US"/>
        </w:rPr>
        <w:br/>
        <w:t xml:space="preserve">Available at: </w:t>
      </w:r>
      <w:r w:rsidRPr="009F1FC7">
        <w:rPr>
          <w:rFonts w:ascii="Calibri" w:eastAsia="Calibri" w:hAnsi="Calibri"/>
          <w:noProof/>
          <w:sz w:val="22"/>
          <w:szCs w:val="22"/>
          <w:u w:val="single"/>
          <w:lang w:val="en-US" w:eastAsia="en-US"/>
        </w:rPr>
        <w:t>https://www.legislation.gov.uk/ukpga/2008/22/pdfs/ukpga_20080022_en.pdf</w:t>
      </w:r>
      <w:r w:rsidRPr="009F1FC7">
        <w:rPr>
          <w:rFonts w:ascii="Calibri" w:eastAsia="Calibri" w:hAnsi="Calibri"/>
          <w:noProof/>
          <w:sz w:val="22"/>
          <w:szCs w:val="22"/>
          <w:lang w:val="en-US" w:eastAsia="en-US"/>
        </w:rPr>
        <w:br/>
        <w:t>[Accessed 16 April 2018].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UK Government, 2013. </w:t>
      </w:r>
      <w:r w:rsidRPr="009F1FC7">
        <w:rPr>
          <w:rFonts w:ascii="Calibri" w:eastAsia="Calibri" w:hAnsi="Calibri"/>
          <w:i/>
          <w:iCs/>
          <w:noProof/>
          <w:sz w:val="22"/>
          <w:szCs w:val="22"/>
          <w:lang w:val="en-US" w:eastAsia="en-US"/>
        </w:rPr>
        <w:t xml:space="preserve">Marriage (Same Sex Couples) Act 2013. </w:t>
      </w:r>
      <w:r w:rsidRPr="009F1FC7">
        <w:rPr>
          <w:rFonts w:ascii="Calibri" w:eastAsia="Calibri" w:hAnsi="Calibri"/>
          <w:noProof/>
          <w:sz w:val="22"/>
          <w:szCs w:val="22"/>
          <w:lang w:val="en-US" w:eastAsia="en-US"/>
        </w:rPr>
        <w:t xml:space="preserve">[Online] </w:t>
      </w:r>
      <w:r w:rsidRPr="009F1FC7">
        <w:rPr>
          <w:rFonts w:ascii="Calibri" w:eastAsia="Calibri" w:hAnsi="Calibri"/>
          <w:noProof/>
          <w:sz w:val="22"/>
          <w:szCs w:val="22"/>
          <w:lang w:val="en-US" w:eastAsia="en-US"/>
        </w:rPr>
        <w:br/>
        <w:t xml:space="preserve">Available at: </w:t>
      </w:r>
      <w:r w:rsidRPr="009F1FC7">
        <w:rPr>
          <w:rFonts w:ascii="Calibri" w:eastAsia="Calibri" w:hAnsi="Calibri"/>
          <w:noProof/>
          <w:sz w:val="22"/>
          <w:szCs w:val="22"/>
          <w:u w:val="single"/>
          <w:lang w:val="en-US" w:eastAsia="en-US"/>
        </w:rPr>
        <w:t>http://www.legislation.gov.uk/ukpga/2013/30/pdfs/ukpga_20130030_en.pdf</w:t>
      </w:r>
      <w:r w:rsidRPr="009F1FC7">
        <w:rPr>
          <w:rFonts w:ascii="Calibri" w:eastAsia="Calibri" w:hAnsi="Calibri"/>
          <w:noProof/>
          <w:sz w:val="22"/>
          <w:szCs w:val="22"/>
          <w:lang w:val="en-US" w:eastAsia="en-US"/>
        </w:rPr>
        <w:br/>
        <w:t>[Accessed 14 April 2018].</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Weeks, J., Heaphy, B. &amp; Donovan, C., 2001. </w:t>
      </w:r>
      <w:r w:rsidRPr="009F1FC7">
        <w:rPr>
          <w:rFonts w:ascii="Calibri" w:eastAsia="Calibri" w:hAnsi="Calibri"/>
          <w:i/>
          <w:iCs/>
          <w:noProof/>
          <w:sz w:val="22"/>
          <w:szCs w:val="22"/>
          <w:lang w:val="en-US" w:eastAsia="en-US"/>
        </w:rPr>
        <w:t xml:space="preserve">Same Sex Intimacies: Families of Choice and Other Life Experiments. </w:t>
      </w:r>
      <w:r w:rsidRPr="009F1FC7">
        <w:rPr>
          <w:rFonts w:ascii="Calibri" w:eastAsia="Calibri" w:hAnsi="Calibri"/>
          <w:noProof/>
          <w:sz w:val="22"/>
          <w:szCs w:val="22"/>
          <w:lang w:val="en-US" w:eastAsia="en-US"/>
        </w:rPr>
        <w:t>London: Routledge.</w:t>
      </w:r>
    </w:p>
    <w:p w:rsidR="009F1FC7" w:rsidRPr="009F1FC7" w:rsidRDefault="009F1FC7" w:rsidP="009F1FC7">
      <w:pPr>
        <w:spacing w:after="160" w:line="259" w:lineRule="auto"/>
        <w:ind w:left="851" w:right="1297"/>
        <w:rPr>
          <w:rFonts w:ascii="Calibri" w:eastAsia="Calibri" w:hAnsi="Calibri"/>
          <w:noProof/>
          <w:sz w:val="22"/>
          <w:szCs w:val="22"/>
          <w:lang w:val="en-US" w:eastAsia="en-US"/>
        </w:rPr>
      </w:pPr>
      <w:r w:rsidRPr="009F1FC7">
        <w:rPr>
          <w:rFonts w:ascii="Calibri" w:eastAsia="Calibri" w:hAnsi="Calibri"/>
          <w:noProof/>
          <w:sz w:val="22"/>
          <w:szCs w:val="22"/>
          <w:lang w:val="en-US" w:eastAsia="en-US"/>
        </w:rPr>
        <w:t xml:space="preserve">Widmer, E. D. &amp; Jallinoja, R., 2008. </w:t>
      </w:r>
      <w:r w:rsidRPr="009F1FC7">
        <w:rPr>
          <w:rFonts w:ascii="Calibri" w:eastAsia="Calibri" w:hAnsi="Calibri"/>
          <w:i/>
          <w:iCs/>
          <w:noProof/>
          <w:sz w:val="22"/>
          <w:szCs w:val="22"/>
          <w:lang w:val="en-US" w:eastAsia="en-US"/>
        </w:rPr>
        <w:t xml:space="preserve">Beyond the Nuclear Family: Families in a Configurational Perspective. </w:t>
      </w:r>
      <w:r w:rsidRPr="009F1FC7">
        <w:rPr>
          <w:rFonts w:ascii="Calibri" w:eastAsia="Calibri" w:hAnsi="Calibri"/>
          <w:noProof/>
          <w:sz w:val="22"/>
          <w:szCs w:val="22"/>
          <w:lang w:val="en-US" w:eastAsia="en-US"/>
        </w:rPr>
        <w:t>Bern: Peter Lang.</w:t>
      </w:r>
    </w:p>
    <w:p w:rsidR="009F1FC7" w:rsidRPr="009F1FC7" w:rsidRDefault="009F1FC7" w:rsidP="009F1FC7">
      <w:pPr>
        <w:spacing w:after="160" w:line="259" w:lineRule="auto"/>
        <w:rPr>
          <w:rFonts w:ascii="Calibri" w:eastAsia="Calibri" w:hAnsi="Calibri"/>
          <w:sz w:val="22"/>
          <w:szCs w:val="22"/>
          <w:lang w:eastAsia="en-US"/>
        </w:rPr>
      </w:pPr>
    </w:p>
    <w:p w:rsidR="00402740" w:rsidRDefault="00402740" w:rsidP="00C01D44">
      <w:pPr>
        <w:ind w:left="280"/>
        <w:rPr>
          <w:rFonts w:ascii="Calibri" w:hAnsi="Calibri"/>
        </w:rPr>
      </w:pPr>
    </w:p>
    <w:sectPr w:rsidR="00402740" w:rsidSect="00F873BA">
      <w:pgSz w:w="11906" w:h="16838"/>
      <w:pgMar w:top="306" w:right="346" w:bottom="306" w:left="3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42D" w:rsidRDefault="009A742D" w:rsidP="00532AC4">
      <w:r>
        <w:separator/>
      </w:r>
    </w:p>
  </w:endnote>
  <w:endnote w:type="continuationSeparator" w:id="0">
    <w:p w:rsidR="009A742D" w:rsidRDefault="009A742D" w:rsidP="0053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42D" w:rsidRDefault="009A742D" w:rsidP="00532AC4">
      <w:r>
        <w:separator/>
      </w:r>
    </w:p>
  </w:footnote>
  <w:footnote w:type="continuationSeparator" w:id="0">
    <w:p w:rsidR="009A742D" w:rsidRDefault="009A742D" w:rsidP="00532A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32C4E"/>
    <w:multiLevelType w:val="hybridMultilevel"/>
    <w:tmpl w:val="D09CA2BE"/>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524639"/>
    <w:multiLevelType w:val="hybridMultilevel"/>
    <w:tmpl w:val="7A163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C28F0"/>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0EC3116E"/>
    <w:multiLevelType w:val="hybridMultilevel"/>
    <w:tmpl w:val="B0C045C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10A823F9"/>
    <w:multiLevelType w:val="hybridMultilevel"/>
    <w:tmpl w:val="83E0BA72"/>
    <w:lvl w:ilvl="0" w:tplc="FFFFFFFF">
      <w:start w:val="1"/>
      <w:numFmt w:val="bullet"/>
      <w:lvlText w:val=""/>
      <w:legacy w:legacy="1" w:legacySpace="0" w:legacyIndent="283"/>
      <w:lvlJc w:val="left"/>
      <w:pPr>
        <w:ind w:left="1003" w:hanging="283"/>
      </w:pPr>
      <w:rPr>
        <w:rFonts w:ascii="Symbol" w:hAnsi="Symbol" w:hint="default"/>
        <w:sz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A07D00"/>
    <w:multiLevelType w:val="hybridMultilevel"/>
    <w:tmpl w:val="89FC1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EE484F"/>
    <w:multiLevelType w:val="hybridMultilevel"/>
    <w:tmpl w:val="D09CA2BE"/>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630391F"/>
    <w:multiLevelType w:val="hybridMultilevel"/>
    <w:tmpl w:val="161203D0"/>
    <w:lvl w:ilvl="0" w:tplc="FFFFFFFF">
      <w:start w:val="1"/>
      <w:numFmt w:val="bullet"/>
      <w:lvlText w:val=""/>
      <w:legacy w:legacy="1" w:legacySpace="0" w:legacyIndent="283"/>
      <w:lvlJc w:val="left"/>
      <w:pPr>
        <w:ind w:left="1003" w:hanging="283"/>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7F22EB"/>
    <w:multiLevelType w:val="hybridMultilevel"/>
    <w:tmpl w:val="8738022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CE335B7"/>
    <w:multiLevelType w:val="hybridMultilevel"/>
    <w:tmpl w:val="C3B8FD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0C5194"/>
    <w:multiLevelType w:val="hybridMultilevel"/>
    <w:tmpl w:val="B14E8CB0"/>
    <w:lvl w:ilvl="0" w:tplc="FFFFFFFF">
      <w:start w:val="1"/>
      <w:numFmt w:val="bullet"/>
      <w:lvlText w:val=""/>
      <w:legacy w:legacy="1" w:legacySpace="0" w:legacyIndent="283"/>
      <w:lvlJc w:val="left"/>
      <w:pPr>
        <w:ind w:left="1003" w:hanging="283"/>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6E7167"/>
    <w:multiLevelType w:val="hybridMultilevel"/>
    <w:tmpl w:val="771879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C746E2"/>
    <w:multiLevelType w:val="hybridMultilevel"/>
    <w:tmpl w:val="FF76FC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8D14FE"/>
    <w:multiLevelType w:val="hybridMultilevel"/>
    <w:tmpl w:val="1B20E3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2C3713"/>
    <w:multiLevelType w:val="hybridMultilevel"/>
    <w:tmpl w:val="B6403B5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88B33A9"/>
    <w:multiLevelType w:val="hybridMultilevel"/>
    <w:tmpl w:val="D09CA2BE"/>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B0747"/>
    <w:multiLevelType w:val="hybridMultilevel"/>
    <w:tmpl w:val="C7189A0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4EF6682F"/>
    <w:multiLevelType w:val="hybridMultilevel"/>
    <w:tmpl w:val="3A4A953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56F25020"/>
    <w:multiLevelType w:val="hybridMultilevel"/>
    <w:tmpl w:val="1F0A46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E669F8"/>
    <w:multiLevelType w:val="hybridMultilevel"/>
    <w:tmpl w:val="1FA6A740"/>
    <w:lvl w:ilvl="0" w:tplc="08090001">
      <w:start w:val="1"/>
      <w:numFmt w:val="bullet"/>
      <w:lvlText w:val=""/>
      <w:lvlJc w:val="left"/>
      <w:pPr>
        <w:tabs>
          <w:tab w:val="num" w:pos="1260"/>
        </w:tabs>
        <w:ind w:left="126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63B5535B"/>
    <w:multiLevelType w:val="hybridMultilevel"/>
    <w:tmpl w:val="3210E8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537A69"/>
    <w:multiLevelType w:val="hybridMultilevel"/>
    <w:tmpl w:val="CD220D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360" w:hanging="360"/>
      </w:pPr>
      <w:rPr>
        <w:rFonts w:ascii="Symbol" w:hAnsi="Symbol" w:hint="default"/>
      </w:rPr>
    </w:lvl>
    <w:lvl w:ilvl="4" w:tplc="04090003" w:tentative="1">
      <w:start w:val="1"/>
      <w:numFmt w:val="bullet"/>
      <w:lvlText w:val="o"/>
      <w:lvlJc w:val="left"/>
      <w:pPr>
        <w:ind w:left="1080" w:hanging="360"/>
      </w:pPr>
      <w:rPr>
        <w:rFonts w:ascii="Courier New" w:hAnsi="Courier New" w:cs="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cs="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23" w15:restartNumberingAfterBreak="0">
    <w:nsid w:val="69C16E69"/>
    <w:multiLevelType w:val="hybridMultilevel"/>
    <w:tmpl w:val="1E1A4D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3A31BD"/>
    <w:multiLevelType w:val="hybridMultilevel"/>
    <w:tmpl w:val="C922B054"/>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15:restartNumberingAfterBreak="0">
    <w:nsid w:val="7CEE0991"/>
    <w:multiLevelType w:val="hybridMultilevel"/>
    <w:tmpl w:val="68888A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1"/>
  </w:num>
  <w:num w:numId="3">
    <w:abstractNumId w:val="10"/>
  </w:num>
  <w:num w:numId="4">
    <w:abstractNumId w:val="23"/>
  </w:num>
  <w:num w:numId="5">
    <w:abstractNumId w:val="14"/>
  </w:num>
  <w:num w:numId="6">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7">
    <w:abstractNumId w:val="9"/>
  </w:num>
  <w:num w:numId="8">
    <w:abstractNumId w:val="15"/>
  </w:num>
  <w:num w:numId="9">
    <w:abstractNumId w:val="24"/>
  </w:num>
  <w:num w:numId="10">
    <w:abstractNumId w:val="19"/>
  </w:num>
  <w:num w:numId="11">
    <w:abstractNumId w:val="13"/>
  </w:num>
  <w:num w:numId="12">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13">
    <w:abstractNumId w:val="20"/>
  </w:num>
  <w:num w:numId="14">
    <w:abstractNumId w:val="5"/>
  </w:num>
  <w:num w:numId="15">
    <w:abstractNumId w:val="8"/>
  </w:num>
  <w:num w:numId="16">
    <w:abstractNumId w:val="17"/>
  </w:num>
  <w:num w:numId="17">
    <w:abstractNumId w:val="11"/>
  </w:num>
  <w:num w:numId="18">
    <w:abstractNumId w:val="0"/>
    <w:lvlOverride w:ilvl="0">
      <w:lvl w:ilvl="0">
        <w:start w:val="1"/>
        <w:numFmt w:val="bullet"/>
        <w:lvlText w:val=""/>
        <w:legacy w:legacy="1" w:legacySpace="0" w:legacyIndent="283"/>
        <w:lvlJc w:val="left"/>
        <w:pPr>
          <w:ind w:left="1003" w:hanging="283"/>
        </w:pPr>
        <w:rPr>
          <w:rFonts w:ascii="Courier New" w:hAnsi="Courier New" w:cs="Courier New" w:hint="default"/>
          <w:sz w:val="20"/>
        </w:rPr>
      </w:lvl>
    </w:lvlOverride>
  </w:num>
  <w:num w:numId="19">
    <w:abstractNumId w:val="22"/>
  </w:num>
  <w:num w:numId="20">
    <w:abstractNumId w:val="4"/>
  </w:num>
  <w:num w:numId="21">
    <w:abstractNumId w:val="6"/>
  </w:num>
  <w:num w:numId="22">
    <w:abstractNumId w:val="12"/>
  </w:num>
  <w:num w:numId="23">
    <w:abstractNumId w:val="1"/>
  </w:num>
  <w:num w:numId="24">
    <w:abstractNumId w:val="16"/>
  </w:num>
  <w:num w:numId="25">
    <w:abstractNumId w:val="2"/>
  </w:num>
  <w:num w:numId="26">
    <w:abstractNumId w:val="3"/>
  </w:num>
  <w:num w:numId="27">
    <w:abstractNumId w:val="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9B4"/>
    <w:rsid w:val="00003428"/>
    <w:rsid w:val="00006B35"/>
    <w:rsid w:val="00010435"/>
    <w:rsid w:val="00014E2E"/>
    <w:rsid w:val="0001592B"/>
    <w:rsid w:val="00031FD7"/>
    <w:rsid w:val="00034293"/>
    <w:rsid w:val="000353E8"/>
    <w:rsid w:val="00043F6D"/>
    <w:rsid w:val="00046E06"/>
    <w:rsid w:val="00050BA7"/>
    <w:rsid w:val="000529B1"/>
    <w:rsid w:val="00057F80"/>
    <w:rsid w:val="000607F3"/>
    <w:rsid w:val="00064B3A"/>
    <w:rsid w:val="00092827"/>
    <w:rsid w:val="00094024"/>
    <w:rsid w:val="000969CC"/>
    <w:rsid w:val="000A262F"/>
    <w:rsid w:val="000A2BBE"/>
    <w:rsid w:val="000A598D"/>
    <w:rsid w:val="000A6026"/>
    <w:rsid w:val="000B7062"/>
    <w:rsid w:val="000B75FB"/>
    <w:rsid w:val="000C3F62"/>
    <w:rsid w:val="000C5EAE"/>
    <w:rsid w:val="000E121D"/>
    <w:rsid w:val="000E1A02"/>
    <w:rsid w:val="000E282A"/>
    <w:rsid w:val="000E2F72"/>
    <w:rsid w:val="000E4043"/>
    <w:rsid w:val="000E418E"/>
    <w:rsid w:val="000E623C"/>
    <w:rsid w:val="000F17FC"/>
    <w:rsid w:val="00101D51"/>
    <w:rsid w:val="001022BC"/>
    <w:rsid w:val="00102B68"/>
    <w:rsid w:val="001052AF"/>
    <w:rsid w:val="001059F5"/>
    <w:rsid w:val="00110313"/>
    <w:rsid w:val="00111E8E"/>
    <w:rsid w:val="00114DD2"/>
    <w:rsid w:val="001178D3"/>
    <w:rsid w:val="00121437"/>
    <w:rsid w:val="00121C16"/>
    <w:rsid w:val="0012240F"/>
    <w:rsid w:val="0012271A"/>
    <w:rsid w:val="00124550"/>
    <w:rsid w:val="0013002B"/>
    <w:rsid w:val="001402B8"/>
    <w:rsid w:val="00142E56"/>
    <w:rsid w:val="00145BB1"/>
    <w:rsid w:val="00164436"/>
    <w:rsid w:val="0016447B"/>
    <w:rsid w:val="00164897"/>
    <w:rsid w:val="00166BE3"/>
    <w:rsid w:val="0017127E"/>
    <w:rsid w:val="001744B0"/>
    <w:rsid w:val="00175B0D"/>
    <w:rsid w:val="00177753"/>
    <w:rsid w:val="00192528"/>
    <w:rsid w:val="00195245"/>
    <w:rsid w:val="001A0C31"/>
    <w:rsid w:val="001A3789"/>
    <w:rsid w:val="001A62FB"/>
    <w:rsid w:val="001B0B87"/>
    <w:rsid w:val="001B2229"/>
    <w:rsid w:val="001B2D99"/>
    <w:rsid w:val="001B3DC6"/>
    <w:rsid w:val="001C086B"/>
    <w:rsid w:val="001C0F9C"/>
    <w:rsid w:val="001C1447"/>
    <w:rsid w:val="001C2440"/>
    <w:rsid w:val="001C2DC9"/>
    <w:rsid w:val="001C72F8"/>
    <w:rsid w:val="001C7EE8"/>
    <w:rsid w:val="001D501E"/>
    <w:rsid w:val="001D51B2"/>
    <w:rsid w:val="001D7D40"/>
    <w:rsid w:val="001E1853"/>
    <w:rsid w:val="001E72BC"/>
    <w:rsid w:val="001F00B5"/>
    <w:rsid w:val="001F3F76"/>
    <w:rsid w:val="001F4FFC"/>
    <w:rsid w:val="00206318"/>
    <w:rsid w:val="002119D5"/>
    <w:rsid w:val="0021232F"/>
    <w:rsid w:val="002129E8"/>
    <w:rsid w:val="00213D09"/>
    <w:rsid w:val="0021656B"/>
    <w:rsid w:val="0022010B"/>
    <w:rsid w:val="00222976"/>
    <w:rsid w:val="00224DB7"/>
    <w:rsid w:val="00232BB8"/>
    <w:rsid w:val="00233ECC"/>
    <w:rsid w:val="002348FB"/>
    <w:rsid w:val="00234E73"/>
    <w:rsid w:val="00240835"/>
    <w:rsid w:val="002415E9"/>
    <w:rsid w:val="00244AAD"/>
    <w:rsid w:val="00247997"/>
    <w:rsid w:val="0025190C"/>
    <w:rsid w:val="0025283D"/>
    <w:rsid w:val="0025307B"/>
    <w:rsid w:val="002641E0"/>
    <w:rsid w:val="00266F29"/>
    <w:rsid w:val="0027448E"/>
    <w:rsid w:val="00282A1B"/>
    <w:rsid w:val="0028569C"/>
    <w:rsid w:val="00286AD0"/>
    <w:rsid w:val="0029280E"/>
    <w:rsid w:val="00294504"/>
    <w:rsid w:val="002A38EF"/>
    <w:rsid w:val="002A4261"/>
    <w:rsid w:val="002B1885"/>
    <w:rsid w:val="002B1AA4"/>
    <w:rsid w:val="002B4785"/>
    <w:rsid w:val="002B4E74"/>
    <w:rsid w:val="002B6021"/>
    <w:rsid w:val="002C07F4"/>
    <w:rsid w:val="002D2256"/>
    <w:rsid w:val="002E1909"/>
    <w:rsid w:val="002E2B98"/>
    <w:rsid w:val="002E560D"/>
    <w:rsid w:val="002E71F7"/>
    <w:rsid w:val="002F0337"/>
    <w:rsid w:val="002F6293"/>
    <w:rsid w:val="002F7DE4"/>
    <w:rsid w:val="00300C85"/>
    <w:rsid w:val="00301EB9"/>
    <w:rsid w:val="00302E30"/>
    <w:rsid w:val="00304FB1"/>
    <w:rsid w:val="0031305F"/>
    <w:rsid w:val="00314739"/>
    <w:rsid w:val="00314BDD"/>
    <w:rsid w:val="00316F8C"/>
    <w:rsid w:val="003213EE"/>
    <w:rsid w:val="0032664D"/>
    <w:rsid w:val="00330221"/>
    <w:rsid w:val="00330F85"/>
    <w:rsid w:val="00334D95"/>
    <w:rsid w:val="00335298"/>
    <w:rsid w:val="003504D1"/>
    <w:rsid w:val="00353B60"/>
    <w:rsid w:val="00362F2C"/>
    <w:rsid w:val="003631F3"/>
    <w:rsid w:val="00370371"/>
    <w:rsid w:val="0037363C"/>
    <w:rsid w:val="0037608A"/>
    <w:rsid w:val="003825DB"/>
    <w:rsid w:val="00384760"/>
    <w:rsid w:val="00387BC4"/>
    <w:rsid w:val="00392386"/>
    <w:rsid w:val="00396865"/>
    <w:rsid w:val="00397751"/>
    <w:rsid w:val="003A0793"/>
    <w:rsid w:val="003A1250"/>
    <w:rsid w:val="003A3F5B"/>
    <w:rsid w:val="003A5144"/>
    <w:rsid w:val="003A5F42"/>
    <w:rsid w:val="003B234E"/>
    <w:rsid w:val="003B2407"/>
    <w:rsid w:val="003B6007"/>
    <w:rsid w:val="003B6AC7"/>
    <w:rsid w:val="003C1951"/>
    <w:rsid w:val="003C1D97"/>
    <w:rsid w:val="003C7D25"/>
    <w:rsid w:val="003D4C99"/>
    <w:rsid w:val="003E31EC"/>
    <w:rsid w:val="003F7C3B"/>
    <w:rsid w:val="004013C0"/>
    <w:rsid w:val="00401512"/>
    <w:rsid w:val="00402740"/>
    <w:rsid w:val="004054BB"/>
    <w:rsid w:val="00414459"/>
    <w:rsid w:val="004217C4"/>
    <w:rsid w:val="00422B70"/>
    <w:rsid w:val="00424DEE"/>
    <w:rsid w:val="0043050F"/>
    <w:rsid w:val="00430854"/>
    <w:rsid w:val="00431391"/>
    <w:rsid w:val="00434EBC"/>
    <w:rsid w:val="00446D46"/>
    <w:rsid w:val="0045449B"/>
    <w:rsid w:val="00463408"/>
    <w:rsid w:val="00464F41"/>
    <w:rsid w:val="00465811"/>
    <w:rsid w:val="00467050"/>
    <w:rsid w:val="00471420"/>
    <w:rsid w:val="004747D3"/>
    <w:rsid w:val="00480985"/>
    <w:rsid w:val="00491425"/>
    <w:rsid w:val="0049787B"/>
    <w:rsid w:val="00497FC2"/>
    <w:rsid w:val="004A145B"/>
    <w:rsid w:val="004B77A2"/>
    <w:rsid w:val="004C4373"/>
    <w:rsid w:val="004D1C0C"/>
    <w:rsid w:val="004D3DF0"/>
    <w:rsid w:val="004D434A"/>
    <w:rsid w:val="004D4B03"/>
    <w:rsid w:val="004F0161"/>
    <w:rsid w:val="004F01AA"/>
    <w:rsid w:val="004F05A9"/>
    <w:rsid w:val="004F195B"/>
    <w:rsid w:val="004F1A82"/>
    <w:rsid w:val="004F2E45"/>
    <w:rsid w:val="004F3C25"/>
    <w:rsid w:val="004F546E"/>
    <w:rsid w:val="004F5B14"/>
    <w:rsid w:val="004F762E"/>
    <w:rsid w:val="00501BB3"/>
    <w:rsid w:val="00503200"/>
    <w:rsid w:val="005049B0"/>
    <w:rsid w:val="00505B6C"/>
    <w:rsid w:val="005118C4"/>
    <w:rsid w:val="00511B6D"/>
    <w:rsid w:val="00522381"/>
    <w:rsid w:val="00525BFE"/>
    <w:rsid w:val="005269B6"/>
    <w:rsid w:val="00531BC5"/>
    <w:rsid w:val="00532AC4"/>
    <w:rsid w:val="005363C0"/>
    <w:rsid w:val="005406F4"/>
    <w:rsid w:val="005539EC"/>
    <w:rsid w:val="00561542"/>
    <w:rsid w:val="00561982"/>
    <w:rsid w:val="005738B3"/>
    <w:rsid w:val="00583F84"/>
    <w:rsid w:val="00584B3F"/>
    <w:rsid w:val="00585EA0"/>
    <w:rsid w:val="00590619"/>
    <w:rsid w:val="005906D8"/>
    <w:rsid w:val="00595684"/>
    <w:rsid w:val="00596813"/>
    <w:rsid w:val="005A3CF6"/>
    <w:rsid w:val="005A3DA8"/>
    <w:rsid w:val="005B1E32"/>
    <w:rsid w:val="005D2196"/>
    <w:rsid w:val="005D2E35"/>
    <w:rsid w:val="005D5B74"/>
    <w:rsid w:val="005E0D76"/>
    <w:rsid w:val="005E4353"/>
    <w:rsid w:val="005E6547"/>
    <w:rsid w:val="005F00EA"/>
    <w:rsid w:val="005F086E"/>
    <w:rsid w:val="005F3D99"/>
    <w:rsid w:val="005F48CD"/>
    <w:rsid w:val="00603ABD"/>
    <w:rsid w:val="00605979"/>
    <w:rsid w:val="00610D60"/>
    <w:rsid w:val="006147B9"/>
    <w:rsid w:val="0061621F"/>
    <w:rsid w:val="00620EC6"/>
    <w:rsid w:val="006265E6"/>
    <w:rsid w:val="00630177"/>
    <w:rsid w:val="00631F06"/>
    <w:rsid w:val="0063424C"/>
    <w:rsid w:val="00635BD4"/>
    <w:rsid w:val="00642DF2"/>
    <w:rsid w:val="00643891"/>
    <w:rsid w:val="00643A5F"/>
    <w:rsid w:val="00645589"/>
    <w:rsid w:val="00651D75"/>
    <w:rsid w:val="00654198"/>
    <w:rsid w:val="00661166"/>
    <w:rsid w:val="006632DA"/>
    <w:rsid w:val="00670C4F"/>
    <w:rsid w:val="006760BC"/>
    <w:rsid w:val="00681856"/>
    <w:rsid w:val="00682F95"/>
    <w:rsid w:val="006838F5"/>
    <w:rsid w:val="0069161C"/>
    <w:rsid w:val="00691B13"/>
    <w:rsid w:val="0069574A"/>
    <w:rsid w:val="006A0258"/>
    <w:rsid w:val="006A3117"/>
    <w:rsid w:val="006A77E7"/>
    <w:rsid w:val="006A7BEE"/>
    <w:rsid w:val="006B120E"/>
    <w:rsid w:val="006B1F21"/>
    <w:rsid w:val="006B74AB"/>
    <w:rsid w:val="006C3D25"/>
    <w:rsid w:val="006C7FAB"/>
    <w:rsid w:val="006D2FF5"/>
    <w:rsid w:val="006D428F"/>
    <w:rsid w:val="006E08DA"/>
    <w:rsid w:val="006E7D75"/>
    <w:rsid w:val="00703832"/>
    <w:rsid w:val="00704723"/>
    <w:rsid w:val="0071625D"/>
    <w:rsid w:val="00720AE6"/>
    <w:rsid w:val="00720DCB"/>
    <w:rsid w:val="00721126"/>
    <w:rsid w:val="007263CA"/>
    <w:rsid w:val="00726FEF"/>
    <w:rsid w:val="00727830"/>
    <w:rsid w:val="0073328B"/>
    <w:rsid w:val="007339CD"/>
    <w:rsid w:val="00737D7A"/>
    <w:rsid w:val="00740E66"/>
    <w:rsid w:val="007454F6"/>
    <w:rsid w:val="007478DF"/>
    <w:rsid w:val="0075168F"/>
    <w:rsid w:val="00752405"/>
    <w:rsid w:val="00752F9D"/>
    <w:rsid w:val="00755A7B"/>
    <w:rsid w:val="0075633D"/>
    <w:rsid w:val="00756E62"/>
    <w:rsid w:val="00760C21"/>
    <w:rsid w:val="00761C6C"/>
    <w:rsid w:val="007727EE"/>
    <w:rsid w:val="00772AD3"/>
    <w:rsid w:val="00774D25"/>
    <w:rsid w:val="007763CA"/>
    <w:rsid w:val="007807D1"/>
    <w:rsid w:val="007851B4"/>
    <w:rsid w:val="00786157"/>
    <w:rsid w:val="007877CD"/>
    <w:rsid w:val="007878C9"/>
    <w:rsid w:val="00795962"/>
    <w:rsid w:val="007963C9"/>
    <w:rsid w:val="007A0125"/>
    <w:rsid w:val="007A0B03"/>
    <w:rsid w:val="007A23CB"/>
    <w:rsid w:val="007A479D"/>
    <w:rsid w:val="007A49C6"/>
    <w:rsid w:val="007B0570"/>
    <w:rsid w:val="007B29BF"/>
    <w:rsid w:val="007C1DDC"/>
    <w:rsid w:val="007C4288"/>
    <w:rsid w:val="007C6C4B"/>
    <w:rsid w:val="007D4741"/>
    <w:rsid w:val="007D6CDB"/>
    <w:rsid w:val="007E03FF"/>
    <w:rsid w:val="007E2E54"/>
    <w:rsid w:val="007F3DA7"/>
    <w:rsid w:val="007F4561"/>
    <w:rsid w:val="007F79EB"/>
    <w:rsid w:val="007F7E1A"/>
    <w:rsid w:val="008012B3"/>
    <w:rsid w:val="00802534"/>
    <w:rsid w:val="00802E0E"/>
    <w:rsid w:val="00802F44"/>
    <w:rsid w:val="00803024"/>
    <w:rsid w:val="0080517B"/>
    <w:rsid w:val="00806CF0"/>
    <w:rsid w:val="008073A5"/>
    <w:rsid w:val="008135D4"/>
    <w:rsid w:val="008156D4"/>
    <w:rsid w:val="008177E2"/>
    <w:rsid w:val="00822031"/>
    <w:rsid w:val="0082311F"/>
    <w:rsid w:val="00825342"/>
    <w:rsid w:val="00842047"/>
    <w:rsid w:val="00842CBE"/>
    <w:rsid w:val="00842DAF"/>
    <w:rsid w:val="00843B5F"/>
    <w:rsid w:val="00844B62"/>
    <w:rsid w:val="00845380"/>
    <w:rsid w:val="00850428"/>
    <w:rsid w:val="00852E23"/>
    <w:rsid w:val="00857201"/>
    <w:rsid w:val="008611BA"/>
    <w:rsid w:val="0087393C"/>
    <w:rsid w:val="0087674A"/>
    <w:rsid w:val="00880C85"/>
    <w:rsid w:val="00883FF8"/>
    <w:rsid w:val="008859C0"/>
    <w:rsid w:val="00886F45"/>
    <w:rsid w:val="008876CB"/>
    <w:rsid w:val="00890952"/>
    <w:rsid w:val="00890FB2"/>
    <w:rsid w:val="0089371A"/>
    <w:rsid w:val="00894DAA"/>
    <w:rsid w:val="008977F3"/>
    <w:rsid w:val="008A07CE"/>
    <w:rsid w:val="008A2422"/>
    <w:rsid w:val="008A3C8F"/>
    <w:rsid w:val="008B02A7"/>
    <w:rsid w:val="008B7EAA"/>
    <w:rsid w:val="008E0774"/>
    <w:rsid w:val="008E107D"/>
    <w:rsid w:val="008E5068"/>
    <w:rsid w:val="008E7059"/>
    <w:rsid w:val="008F2C2A"/>
    <w:rsid w:val="008F4881"/>
    <w:rsid w:val="008F6256"/>
    <w:rsid w:val="00904D36"/>
    <w:rsid w:val="009069B6"/>
    <w:rsid w:val="00910935"/>
    <w:rsid w:val="00912DBA"/>
    <w:rsid w:val="00914463"/>
    <w:rsid w:val="009160BB"/>
    <w:rsid w:val="009217AE"/>
    <w:rsid w:val="00924CB9"/>
    <w:rsid w:val="009365E8"/>
    <w:rsid w:val="0095501D"/>
    <w:rsid w:val="00960B45"/>
    <w:rsid w:val="009632AB"/>
    <w:rsid w:val="00965743"/>
    <w:rsid w:val="00971E00"/>
    <w:rsid w:val="00973071"/>
    <w:rsid w:val="00984E7E"/>
    <w:rsid w:val="009870D6"/>
    <w:rsid w:val="0098788D"/>
    <w:rsid w:val="009902B5"/>
    <w:rsid w:val="00991C3A"/>
    <w:rsid w:val="00992CA1"/>
    <w:rsid w:val="00993073"/>
    <w:rsid w:val="0099727D"/>
    <w:rsid w:val="009A2AB0"/>
    <w:rsid w:val="009A742D"/>
    <w:rsid w:val="009B33C6"/>
    <w:rsid w:val="009B3544"/>
    <w:rsid w:val="009B3C46"/>
    <w:rsid w:val="009C0FB2"/>
    <w:rsid w:val="009C3C6E"/>
    <w:rsid w:val="009D2998"/>
    <w:rsid w:val="009D684C"/>
    <w:rsid w:val="009E20A6"/>
    <w:rsid w:val="009E24A8"/>
    <w:rsid w:val="009E29A8"/>
    <w:rsid w:val="009F1FC7"/>
    <w:rsid w:val="009F3A6F"/>
    <w:rsid w:val="009F4C66"/>
    <w:rsid w:val="009F4EF0"/>
    <w:rsid w:val="009F78DE"/>
    <w:rsid w:val="00A00EFA"/>
    <w:rsid w:val="00A01766"/>
    <w:rsid w:val="00A032AB"/>
    <w:rsid w:val="00A12E6E"/>
    <w:rsid w:val="00A2108D"/>
    <w:rsid w:val="00A21C80"/>
    <w:rsid w:val="00A21D66"/>
    <w:rsid w:val="00A236A0"/>
    <w:rsid w:val="00A32A88"/>
    <w:rsid w:val="00A352B5"/>
    <w:rsid w:val="00A36230"/>
    <w:rsid w:val="00A4133E"/>
    <w:rsid w:val="00A46ACA"/>
    <w:rsid w:val="00A568C8"/>
    <w:rsid w:val="00A635F7"/>
    <w:rsid w:val="00A70425"/>
    <w:rsid w:val="00A723D0"/>
    <w:rsid w:val="00A731A5"/>
    <w:rsid w:val="00A831A7"/>
    <w:rsid w:val="00AA6F2E"/>
    <w:rsid w:val="00AA7810"/>
    <w:rsid w:val="00AA7C6E"/>
    <w:rsid w:val="00AB061E"/>
    <w:rsid w:val="00AB0B24"/>
    <w:rsid w:val="00AB129B"/>
    <w:rsid w:val="00AB2468"/>
    <w:rsid w:val="00AB5BD8"/>
    <w:rsid w:val="00AB65AD"/>
    <w:rsid w:val="00AB76EA"/>
    <w:rsid w:val="00AC06E7"/>
    <w:rsid w:val="00AC111C"/>
    <w:rsid w:val="00AC1BF4"/>
    <w:rsid w:val="00AC689A"/>
    <w:rsid w:val="00AD0A50"/>
    <w:rsid w:val="00AD3739"/>
    <w:rsid w:val="00AD6969"/>
    <w:rsid w:val="00AE4118"/>
    <w:rsid w:val="00AF761E"/>
    <w:rsid w:val="00B01E81"/>
    <w:rsid w:val="00B02FFA"/>
    <w:rsid w:val="00B05983"/>
    <w:rsid w:val="00B05E0F"/>
    <w:rsid w:val="00B0696C"/>
    <w:rsid w:val="00B11CF2"/>
    <w:rsid w:val="00B1200E"/>
    <w:rsid w:val="00B1213E"/>
    <w:rsid w:val="00B131CB"/>
    <w:rsid w:val="00B14002"/>
    <w:rsid w:val="00B1475A"/>
    <w:rsid w:val="00B15779"/>
    <w:rsid w:val="00B24B44"/>
    <w:rsid w:val="00B2537A"/>
    <w:rsid w:val="00B3431D"/>
    <w:rsid w:val="00B411F9"/>
    <w:rsid w:val="00B41970"/>
    <w:rsid w:val="00B435CD"/>
    <w:rsid w:val="00B44407"/>
    <w:rsid w:val="00B45F86"/>
    <w:rsid w:val="00B46D4C"/>
    <w:rsid w:val="00B519D3"/>
    <w:rsid w:val="00B63DC5"/>
    <w:rsid w:val="00B6428F"/>
    <w:rsid w:val="00B65144"/>
    <w:rsid w:val="00B65A10"/>
    <w:rsid w:val="00B66C6E"/>
    <w:rsid w:val="00B75AA4"/>
    <w:rsid w:val="00B86508"/>
    <w:rsid w:val="00B94836"/>
    <w:rsid w:val="00B94D8C"/>
    <w:rsid w:val="00B963E1"/>
    <w:rsid w:val="00B9688C"/>
    <w:rsid w:val="00BA0C67"/>
    <w:rsid w:val="00BA7D8B"/>
    <w:rsid w:val="00BB26D3"/>
    <w:rsid w:val="00BB28C3"/>
    <w:rsid w:val="00BB6F57"/>
    <w:rsid w:val="00BC332A"/>
    <w:rsid w:val="00BC7B91"/>
    <w:rsid w:val="00BD2023"/>
    <w:rsid w:val="00BE0F27"/>
    <w:rsid w:val="00BE39C0"/>
    <w:rsid w:val="00BE4EF9"/>
    <w:rsid w:val="00BE5B86"/>
    <w:rsid w:val="00BF2B44"/>
    <w:rsid w:val="00BF705D"/>
    <w:rsid w:val="00BF78B0"/>
    <w:rsid w:val="00C01D44"/>
    <w:rsid w:val="00C01F05"/>
    <w:rsid w:val="00C0255E"/>
    <w:rsid w:val="00C044FE"/>
    <w:rsid w:val="00C12512"/>
    <w:rsid w:val="00C262CD"/>
    <w:rsid w:val="00C475A6"/>
    <w:rsid w:val="00C506FE"/>
    <w:rsid w:val="00C52C1D"/>
    <w:rsid w:val="00C536C8"/>
    <w:rsid w:val="00C53B37"/>
    <w:rsid w:val="00C54628"/>
    <w:rsid w:val="00C552B0"/>
    <w:rsid w:val="00C557BF"/>
    <w:rsid w:val="00C56923"/>
    <w:rsid w:val="00C64E48"/>
    <w:rsid w:val="00C67A33"/>
    <w:rsid w:val="00C72630"/>
    <w:rsid w:val="00C74115"/>
    <w:rsid w:val="00C77BCA"/>
    <w:rsid w:val="00C940B7"/>
    <w:rsid w:val="00C9410D"/>
    <w:rsid w:val="00CB39BC"/>
    <w:rsid w:val="00CB41AC"/>
    <w:rsid w:val="00CB48FB"/>
    <w:rsid w:val="00CC15BC"/>
    <w:rsid w:val="00CC5503"/>
    <w:rsid w:val="00CC5545"/>
    <w:rsid w:val="00CC7A1E"/>
    <w:rsid w:val="00CD55A2"/>
    <w:rsid w:val="00CE35D4"/>
    <w:rsid w:val="00CE5645"/>
    <w:rsid w:val="00CF2E98"/>
    <w:rsid w:val="00CF7FF3"/>
    <w:rsid w:val="00D02D83"/>
    <w:rsid w:val="00D079E5"/>
    <w:rsid w:val="00D14FCC"/>
    <w:rsid w:val="00D151AD"/>
    <w:rsid w:val="00D158C8"/>
    <w:rsid w:val="00D17560"/>
    <w:rsid w:val="00D20038"/>
    <w:rsid w:val="00D21380"/>
    <w:rsid w:val="00D21E75"/>
    <w:rsid w:val="00D25717"/>
    <w:rsid w:val="00D351DF"/>
    <w:rsid w:val="00D374F3"/>
    <w:rsid w:val="00D41CC2"/>
    <w:rsid w:val="00D42295"/>
    <w:rsid w:val="00D42CEA"/>
    <w:rsid w:val="00D441FB"/>
    <w:rsid w:val="00D44C37"/>
    <w:rsid w:val="00D47A71"/>
    <w:rsid w:val="00D51DB2"/>
    <w:rsid w:val="00D52327"/>
    <w:rsid w:val="00D5612C"/>
    <w:rsid w:val="00D61E10"/>
    <w:rsid w:val="00D625FA"/>
    <w:rsid w:val="00D6295D"/>
    <w:rsid w:val="00D67661"/>
    <w:rsid w:val="00D7275B"/>
    <w:rsid w:val="00D75115"/>
    <w:rsid w:val="00D766E0"/>
    <w:rsid w:val="00D8203C"/>
    <w:rsid w:val="00D82AC0"/>
    <w:rsid w:val="00D82EDF"/>
    <w:rsid w:val="00D846FB"/>
    <w:rsid w:val="00D85048"/>
    <w:rsid w:val="00D87F0E"/>
    <w:rsid w:val="00D960B0"/>
    <w:rsid w:val="00D97742"/>
    <w:rsid w:val="00DA0B00"/>
    <w:rsid w:val="00DA1D81"/>
    <w:rsid w:val="00DA4BA0"/>
    <w:rsid w:val="00DB0562"/>
    <w:rsid w:val="00DB26B5"/>
    <w:rsid w:val="00DB2DFE"/>
    <w:rsid w:val="00DB3D3D"/>
    <w:rsid w:val="00DB6818"/>
    <w:rsid w:val="00DB7D8D"/>
    <w:rsid w:val="00DC47FB"/>
    <w:rsid w:val="00DC4B68"/>
    <w:rsid w:val="00DD0218"/>
    <w:rsid w:val="00DD34F7"/>
    <w:rsid w:val="00DD76DD"/>
    <w:rsid w:val="00DE26F5"/>
    <w:rsid w:val="00DE28E1"/>
    <w:rsid w:val="00DF5737"/>
    <w:rsid w:val="00DF671B"/>
    <w:rsid w:val="00E03932"/>
    <w:rsid w:val="00E05211"/>
    <w:rsid w:val="00E0564A"/>
    <w:rsid w:val="00E05916"/>
    <w:rsid w:val="00E05E73"/>
    <w:rsid w:val="00E16F40"/>
    <w:rsid w:val="00E231DC"/>
    <w:rsid w:val="00E234F7"/>
    <w:rsid w:val="00E23A19"/>
    <w:rsid w:val="00E31DDA"/>
    <w:rsid w:val="00E327C9"/>
    <w:rsid w:val="00E33113"/>
    <w:rsid w:val="00E35D7A"/>
    <w:rsid w:val="00E374AC"/>
    <w:rsid w:val="00E41510"/>
    <w:rsid w:val="00E415FD"/>
    <w:rsid w:val="00E4308D"/>
    <w:rsid w:val="00E434D0"/>
    <w:rsid w:val="00E4597C"/>
    <w:rsid w:val="00E54DD2"/>
    <w:rsid w:val="00E55149"/>
    <w:rsid w:val="00E62F10"/>
    <w:rsid w:val="00E644D2"/>
    <w:rsid w:val="00E66881"/>
    <w:rsid w:val="00E80696"/>
    <w:rsid w:val="00E853C6"/>
    <w:rsid w:val="00E94A79"/>
    <w:rsid w:val="00EA22E3"/>
    <w:rsid w:val="00EA39EA"/>
    <w:rsid w:val="00EA4F36"/>
    <w:rsid w:val="00EA64F9"/>
    <w:rsid w:val="00EA6672"/>
    <w:rsid w:val="00EB1D96"/>
    <w:rsid w:val="00EB23B4"/>
    <w:rsid w:val="00EB3D7C"/>
    <w:rsid w:val="00EC1EA2"/>
    <w:rsid w:val="00EC4F90"/>
    <w:rsid w:val="00ED0F68"/>
    <w:rsid w:val="00ED46E7"/>
    <w:rsid w:val="00ED7481"/>
    <w:rsid w:val="00EE3CBF"/>
    <w:rsid w:val="00EE66CD"/>
    <w:rsid w:val="00EF295F"/>
    <w:rsid w:val="00EF55B2"/>
    <w:rsid w:val="00F06B78"/>
    <w:rsid w:val="00F2337A"/>
    <w:rsid w:val="00F2543D"/>
    <w:rsid w:val="00F359B4"/>
    <w:rsid w:val="00F373E1"/>
    <w:rsid w:val="00F40ED7"/>
    <w:rsid w:val="00F51E27"/>
    <w:rsid w:val="00F53613"/>
    <w:rsid w:val="00F6052C"/>
    <w:rsid w:val="00F6137C"/>
    <w:rsid w:val="00F63113"/>
    <w:rsid w:val="00F633B0"/>
    <w:rsid w:val="00F665B0"/>
    <w:rsid w:val="00F75473"/>
    <w:rsid w:val="00F75F2F"/>
    <w:rsid w:val="00F77A3D"/>
    <w:rsid w:val="00F80787"/>
    <w:rsid w:val="00F80A23"/>
    <w:rsid w:val="00F82575"/>
    <w:rsid w:val="00F83011"/>
    <w:rsid w:val="00F84EE0"/>
    <w:rsid w:val="00F873BA"/>
    <w:rsid w:val="00F91FBF"/>
    <w:rsid w:val="00F92920"/>
    <w:rsid w:val="00FA2EC0"/>
    <w:rsid w:val="00FB2186"/>
    <w:rsid w:val="00FB3A5A"/>
    <w:rsid w:val="00FB420D"/>
    <w:rsid w:val="00FB51B6"/>
    <w:rsid w:val="00FB5B4F"/>
    <w:rsid w:val="00FB6B76"/>
    <w:rsid w:val="00FC6FD7"/>
    <w:rsid w:val="00FE4403"/>
    <w:rsid w:val="00FE5B2D"/>
    <w:rsid w:val="00FE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B22A39"/>
  <w15:chartTrackingRefBased/>
  <w15:docId w15:val="{006CD691-2FD2-485C-A5A2-D129C926B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C3B"/>
    <w:rPr>
      <w:rFonts w:ascii="Tahoma" w:hAnsi="Tahoma"/>
      <w:sz w:val="24"/>
    </w:rPr>
  </w:style>
  <w:style w:type="paragraph" w:styleId="Heading1">
    <w:name w:val="heading 1"/>
    <w:basedOn w:val="Normal"/>
    <w:next w:val="Normal"/>
    <w:link w:val="Heading1Char"/>
    <w:uiPriority w:val="9"/>
    <w:qFormat/>
    <w:rsid w:val="00C01D44"/>
    <w:pPr>
      <w:keepNext/>
      <w:keepLines/>
      <w:spacing w:before="240" w:line="259" w:lineRule="auto"/>
      <w:outlineLvl w:val="0"/>
    </w:pPr>
    <w:rPr>
      <w:rFonts w:ascii="Calibri Light" w:hAnsi="Calibri Light"/>
      <w:color w:val="2E74B5"/>
      <w:sz w:val="32"/>
      <w:szCs w:val="32"/>
      <w:lang w:val="en-US" w:eastAsia="en-US"/>
    </w:rPr>
  </w:style>
  <w:style w:type="paragraph" w:styleId="Heading4">
    <w:name w:val="heading 4"/>
    <w:basedOn w:val="Normal"/>
    <w:next w:val="Normal"/>
    <w:qFormat/>
    <w:rsid w:val="003F7C3B"/>
    <w:pPr>
      <w:keepNext/>
      <w:jc w:val="center"/>
      <w:outlineLvl w:val="3"/>
    </w:pPr>
    <w:rPr>
      <w:rFonts w:ascii="Times New Roman" w:hAnsi="Times New Roman"/>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fnt0">
    <w:name w:val="fnt0"/>
    <w:rsid w:val="00177753"/>
    <w:rPr>
      <w:color w:val="000000"/>
      <w:bdr w:val="none" w:sz="0" w:space="0" w:color="auto" w:frame="1"/>
      <w:shd w:val="clear" w:color="auto" w:fill="EEEEEE"/>
    </w:rPr>
  </w:style>
  <w:style w:type="table" w:styleId="TableElegant">
    <w:name w:val="Table Elegant"/>
    <w:basedOn w:val="TableNormal"/>
    <w:rsid w:val="00EB23B4"/>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7861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D25717"/>
    <w:pPr>
      <w:spacing w:before="120"/>
      <w:ind w:left="1004" w:hanging="284"/>
      <w:jc w:val="both"/>
    </w:pPr>
    <w:rPr>
      <w:rFonts w:ascii="Tahoma" w:hAnsi="Tahoma"/>
      <w:sz w:val="24"/>
      <w:szCs w:val="24"/>
    </w:rPr>
  </w:style>
  <w:style w:type="character" w:customStyle="1" w:styleId="bulletChar">
    <w:name w:val="bullet Char"/>
    <w:link w:val="bullet"/>
    <w:rsid w:val="00D25717"/>
    <w:rPr>
      <w:rFonts w:ascii="Tahoma" w:hAnsi="Tahoma"/>
      <w:sz w:val="24"/>
      <w:szCs w:val="24"/>
      <w:lang w:val="en-GB" w:eastAsia="en-GB" w:bidi="ar-SA"/>
    </w:rPr>
  </w:style>
  <w:style w:type="paragraph" w:styleId="BalloonText">
    <w:name w:val="Balloon Text"/>
    <w:basedOn w:val="Normal"/>
    <w:semiHidden/>
    <w:rsid w:val="00D158C8"/>
    <w:rPr>
      <w:rFonts w:cs="Tahoma"/>
      <w:sz w:val="16"/>
      <w:szCs w:val="16"/>
    </w:rPr>
  </w:style>
  <w:style w:type="character" w:styleId="CommentReference">
    <w:name w:val="annotation reference"/>
    <w:semiHidden/>
    <w:rsid w:val="00585EA0"/>
    <w:rPr>
      <w:sz w:val="16"/>
      <w:szCs w:val="16"/>
    </w:rPr>
  </w:style>
  <w:style w:type="paragraph" w:styleId="CommentText">
    <w:name w:val="annotation text"/>
    <w:basedOn w:val="Normal"/>
    <w:link w:val="CommentTextChar"/>
    <w:semiHidden/>
    <w:rsid w:val="00585EA0"/>
    <w:rPr>
      <w:sz w:val="20"/>
    </w:rPr>
  </w:style>
  <w:style w:type="paragraph" w:styleId="CommentSubject">
    <w:name w:val="annotation subject"/>
    <w:basedOn w:val="CommentText"/>
    <w:next w:val="CommentText"/>
    <w:semiHidden/>
    <w:rsid w:val="00585EA0"/>
    <w:rPr>
      <w:b/>
      <w:bCs/>
    </w:rPr>
  </w:style>
  <w:style w:type="character" w:styleId="FootnoteReference">
    <w:name w:val="footnote reference"/>
    <w:semiHidden/>
    <w:rsid w:val="0082311F"/>
    <w:rPr>
      <w:vertAlign w:val="superscript"/>
    </w:rPr>
  </w:style>
  <w:style w:type="paragraph" w:styleId="FootnoteText">
    <w:name w:val="footnote text"/>
    <w:basedOn w:val="Normal"/>
    <w:semiHidden/>
    <w:rsid w:val="00304FB1"/>
    <w:rPr>
      <w:sz w:val="20"/>
    </w:rPr>
  </w:style>
  <w:style w:type="character" w:customStyle="1" w:styleId="CommentTextChar">
    <w:name w:val="Comment Text Char"/>
    <w:link w:val="CommentText"/>
    <w:semiHidden/>
    <w:rsid w:val="00402740"/>
    <w:rPr>
      <w:rFonts w:ascii="Tahoma" w:hAnsi="Tahoma"/>
    </w:rPr>
  </w:style>
  <w:style w:type="character" w:customStyle="1" w:styleId="Heading1Char">
    <w:name w:val="Heading 1 Char"/>
    <w:basedOn w:val="DefaultParagraphFont"/>
    <w:link w:val="Heading1"/>
    <w:uiPriority w:val="9"/>
    <w:rsid w:val="00C01D44"/>
    <w:rPr>
      <w:rFonts w:ascii="Calibri Light" w:hAnsi="Calibri Light"/>
      <w:color w:val="2E74B5"/>
      <w:sz w:val="32"/>
      <w:szCs w:val="32"/>
      <w:lang w:val="en-US" w:eastAsia="en-US"/>
    </w:rPr>
  </w:style>
  <w:style w:type="paragraph" w:styleId="ListParagraph">
    <w:name w:val="List Paragraph"/>
    <w:basedOn w:val="Normal"/>
    <w:uiPriority w:val="34"/>
    <w:qFormat/>
    <w:rsid w:val="00C01D44"/>
    <w:pPr>
      <w:spacing w:after="160" w:line="259" w:lineRule="auto"/>
      <w:ind w:left="720"/>
      <w:contextualSpacing/>
    </w:pPr>
    <w:rPr>
      <w:rFonts w:ascii="Calibri" w:eastAsia="Calibri" w:hAnsi="Calibri"/>
      <w:sz w:val="22"/>
      <w:szCs w:val="22"/>
      <w:lang w:eastAsia="en-US"/>
    </w:rPr>
  </w:style>
  <w:style w:type="paragraph" w:styleId="Bibliography">
    <w:name w:val="Bibliography"/>
    <w:basedOn w:val="Normal"/>
    <w:next w:val="Normal"/>
    <w:uiPriority w:val="37"/>
    <w:unhideWhenUsed/>
    <w:rsid w:val="00C01D44"/>
    <w:pPr>
      <w:spacing w:after="160" w:line="259" w:lineRule="auto"/>
    </w:pPr>
    <w:rPr>
      <w:rFonts w:ascii="Calibri" w:eastAsia="Calibri" w:hAnsi="Calibri"/>
      <w:sz w:val="22"/>
      <w:szCs w:val="22"/>
      <w:lang w:eastAsia="en-US"/>
    </w:rPr>
  </w:style>
  <w:style w:type="paragraph" w:styleId="NoSpacing">
    <w:name w:val="No Spacing"/>
    <w:uiPriority w:val="1"/>
    <w:qFormat/>
    <w:rsid w:val="00C01D4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574677">
      <w:bodyDiv w:val="1"/>
      <w:marLeft w:val="0"/>
      <w:marRight w:val="0"/>
      <w:marTop w:val="0"/>
      <w:marBottom w:val="0"/>
      <w:divBdr>
        <w:top w:val="none" w:sz="0" w:space="0" w:color="auto"/>
        <w:left w:val="none" w:sz="0" w:space="0" w:color="auto"/>
        <w:bottom w:val="none" w:sz="0" w:space="0" w:color="auto"/>
        <w:right w:val="none" w:sz="0" w:space="0" w:color="auto"/>
      </w:divBdr>
    </w:div>
    <w:div w:id="1084957694">
      <w:bodyDiv w:val="1"/>
      <w:marLeft w:val="0"/>
      <w:marRight w:val="0"/>
      <w:marTop w:val="0"/>
      <w:marBottom w:val="0"/>
      <w:divBdr>
        <w:top w:val="none" w:sz="0" w:space="0" w:color="auto"/>
        <w:left w:val="none" w:sz="0" w:space="0" w:color="auto"/>
        <w:bottom w:val="none" w:sz="0" w:space="0" w:color="auto"/>
        <w:right w:val="none" w:sz="0" w:space="0" w:color="auto"/>
      </w:divBdr>
    </w:div>
    <w:div w:id="1441949580">
      <w:bodyDiv w:val="1"/>
      <w:marLeft w:val="51"/>
      <w:marRight w:val="51"/>
      <w:marTop w:val="51"/>
      <w:marBottom w:val="13"/>
      <w:divBdr>
        <w:top w:val="none" w:sz="0" w:space="0" w:color="auto"/>
        <w:left w:val="none" w:sz="0" w:space="0" w:color="auto"/>
        <w:bottom w:val="none" w:sz="0" w:space="0" w:color="auto"/>
        <w:right w:val="none" w:sz="0" w:space="0" w:color="auto"/>
      </w:divBdr>
      <w:divsChild>
        <w:div w:id="190999723">
          <w:marLeft w:val="0"/>
          <w:marRight w:val="0"/>
          <w:marTop w:val="0"/>
          <w:marBottom w:val="0"/>
          <w:divBdr>
            <w:top w:val="none" w:sz="0" w:space="0" w:color="auto"/>
            <w:left w:val="none" w:sz="0" w:space="0" w:color="auto"/>
            <w:bottom w:val="none" w:sz="0" w:space="0" w:color="auto"/>
            <w:right w:val="none" w:sz="0" w:space="0" w:color="auto"/>
          </w:divBdr>
        </w:div>
        <w:div w:id="703407836">
          <w:marLeft w:val="0"/>
          <w:marRight w:val="0"/>
          <w:marTop w:val="0"/>
          <w:marBottom w:val="0"/>
          <w:divBdr>
            <w:top w:val="none" w:sz="0" w:space="0" w:color="auto"/>
            <w:left w:val="none" w:sz="0" w:space="0" w:color="auto"/>
            <w:bottom w:val="none" w:sz="0" w:space="0" w:color="auto"/>
            <w:right w:val="none" w:sz="0" w:space="0" w:color="auto"/>
          </w:divBdr>
        </w:div>
        <w:div w:id="1548106089">
          <w:marLeft w:val="0"/>
          <w:marRight w:val="0"/>
          <w:marTop w:val="0"/>
          <w:marBottom w:val="0"/>
          <w:divBdr>
            <w:top w:val="none" w:sz="0" w:space="0" w:color="auto"/>
            <w:left w:val="none" w:sz="0" w:space="0" w:color="auto"/>
            <w:bottom w:val="none" w:sz="0" w:space="0" w:color="auto"/>
            <w:right w:val="none" w:sz="0" w:space="0" w:color="auto"/>
          </w:divBdr>
        </w:div>
        <w:div w:id="2108385086">
          <w:marLeft w:val="0"/>
          <w:marRight w:val="0"/>
          <w:marTop w:val="0"/>
          <w:marBottom w:val="0"/>
          <w:divBdr>
            <w:top w:val="none" w:sz="0" w:space="0" w:color="auto"/>
            <w:left w:val="none" w:sz="0" w:space="0" w:color="auto"/>
            <w:bottom w:val="none" w:sz="0" w:space="0" w:color="auto"/>
            <w:right w:val="none" w:sz="0" w:space="0" w:color="auto"/>
          </w:divBdr>
        </w:div>
        <w:div w:id="2128311388">
          <w:marLeft w:val="0"/>
          <w:marRight w:val="0"/>
          <w:marTop w:val="0"/>
          <w:marBottom w:val="0"/>
          <w:divBdr>
            <w:top w:val="none" w:sz="0" w:space="0" w:color="auto"/>
            <w:left w:val="none" w:sz="0" w:space="0" w:color="auto"/>
            <w:bottom w:val="none" w:sz="0" w:space="0" w:color="auto"/>
            <w:right w:val="none" w:sz="0" w:space="0" w:color="auto"/>
          </w:divBdr>
        </w:div>
      </w:divsChild>
    </w:div>
    <w:div w:id="1566180348">
      <w:bodyDiv w:val="1"/>
      <w:marLeft w:val="0"/>
      <w:marRight w:val="0"/>
      <w:marTop w:val="0"/>
      <w:marBottom w:val="0"/>
      <w:divBdr>
        <w:top w:val="none" w:sz="0" w:space="0" w:color="auto"/>
        <w:left w:val="none" w:sz="0" w:space="0" w:color="auto"/>
        <w:bottom w:val="none" w:sz="0" w:space="0" w:color="auto"/>
        <w:right w:val="none" w:sz="0" w:space="0" w:color="auto"/>
      </w:divBdr>
    </w:div>
    <w:div w:id="1702169673">
      <w:bodyDiv w:val="1"/>
      <w:marLeft w:val="0"/>
      <w:marRight w:val="0"/>
      <w:marTop w:val="0"/>
      <w:marBottom w:val="0"/>
      <w:divBdr>
        <w:top w:val="none" w:sz="0" w:space="0" w:color="auto"/>
        <w:left w:val="none" w:sz="0" w:space="0" w:color="auto"/>
        <w:bottom w:val="none" w:sz="0" w:space="0" w:color="auto"/>
        <w:right w:val="none" w:sz="0" w:space="0" w:color="auto"/>
      </w:divBdr>
    </w:div>
    <w:div w:id="2006779680">
      <w:bodyDiv w:val="1"/>
      <w:marLeft w:val="0"/>
      <w:marRight w:val="0"/>
      <w:marTop w:val="0"/>
      <w:marBottom w:val="0"/>
      <w:divBdr>
        <w:top w:val="none" w:sz="0" w:space="0" w:color="auto"/>
        <w:left w:val="none" w:sz="0" w:space="0" w:color="auto"/>
        <w:bottom w:val="none" w:sz="0" w:space="0" w:color="auto"/>
        <w:right w:val="none" w:sz="0" w:space="0" w:color="auto"/>
      </w:divBdr>
    </w:div>
    <w:div w:id="202435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Jen08</b:Tag>
    <b:SourceType>Report</b:SourceType>
    <b:Guid>{E43A7230-B61B-49AD-8A5B-385C16FE30FA}</b:Guid>
    <b:Title>Families in Britain</b:Title>
    <b:Year>2008</b:Year>
    <b:City>London</b:City>
    <b:Publisher>Ipsos MORI</b:Publisher>
    <b:Author>
      <b:Author>
        <b:Corporate>Jenkins, Pareira, and Evans</b:Corporate>
      </b:Author>
    </b:Author>
    <b:RefOrder>1</b:RefOrder>
  </b:Source>
  <b:Source>
    <b:Tag>Geo49</b:Tag>
    <b:SourceType>Book</b:SourceType>
    <b:Guid>{7778277A-9174-4253-A174-8B5FC1C14FC3}</b:Guid>
    <b:Title>Social Structure</b:Title>
    <b:Year>1949</b:Year>
    <b:City>New York</b:City>
    <b:Publisher>Collier-Macmillan Ltd</b:Publisher>
    <b:Author>
      <b:Author>
        <b:NameList>
          <b:Person>
            <b:Last>Murdock</b:Last>
            <b:First>George</b:First>
            <b:Middle>Peter</b:Middle>
          </b:Person>
        </b:NameList>
      </b:Author>
    </b:Author>
    <b:RefOrder>2</b:RefOrder>
  </b:Source>
  <b:Source>
    <b:Tag>Har09</b:Tag>
    <b:SourceType>Book</b:SourceType>
    <b:Guid>{D63AD30B-73EC-4B9C-9504-DC0B5CC96328}</b:Guid>
    <b:Title>Sociology Themes and Perspectives</b:Title>
    <b:Year>2009</b:Year>
    <b:City>London</b:City>
    <b:Publisher>Collins Educational</b:Publisher>
    <b:Edition>7th </b:Edition>
    <b:Author>
      <b:Author>
        <b:NameList>
          <b:Person>
            <b:Last>Haralambos</b:Last>
            <b:First>Michael</b:First>
          </b:Person>
          <b:Person>
            <b:Last>Holborn</b:Last>
            <b:First>Martin</b:First>
          </b:Person>
        </b:NameList>
      </b:Author>
    </b:Author>
    <b:RefOrder>3</b:RefOrder>
  </b:Source>
  <b:Source>
    <b:Tag>Aut16</b:Tag>
    <b:SourceType>InternetSite</b:SourceType>
    <b:Guid>{6D1C0FE5-DC5B-42DA-8C44-BA13BA7C52B3}</b:Guid>
    <b:Title>Defining the Family</b:Title>
    <b:Year>2016</b:Year>
    <b:Author>
      <b:Author>
        <b:Corporate>Revise Sociololgy</b:Corporate>
      </b:Author>
    </b:Author>
    <b:YearAccessed>2018</b:YearAccessed>
    <b:MonthAccessed>April</b:MonthAccessed>
    <b:DayAccessed>27</b:DayAccessed>
    <b:URL>https://revisesociology.com/2016/08/08/defining-the-family/</b:URL>
    <b:RefOrder>4</b:RefOrder>
  </b:Source>
  <b:Source>
    <b:Tag>Kat07</b:Tag>
    <b:SourceType>DocumentFromInternetSite</b:SourceType>
    <b:Guid>{2D0F57AE-BAAB-47ED-ADD6-34D43223911B}</b:Guid>
    <b:Title>Joseph Rowntree Fountation</b:Title>
    <b:Year>2007</b:Year>
    <b:YearAccessed>2018</b:YearAccessed>
    <b:MonthAccessed>March</b:MonthAccessed>
    <b:DayAccessed>23</b:DayAccessed>
    <b:URL>https://www.jrf.org.uk/sites/default/files/jrf/migrated/files/parenting-poverty.pdf</b:URL>
    <b:Author>
      <b:Author>
        <b:NameList>
          <b:Person>
            <b:Last>Katz</b:Last>
            <b:First>Ilan</b:First>
          </b:Person>
          <b:Person>
            <b:Last>Corlyon</b:Last>
            <b:First>Judy</b:First>
          </b:Person>
          <b:Person>
            <b:Last>La Placa</b:Last>
            <b:First>Vincent</b:First>
          </b:Person>
          <b:Person>
            <b:Last>Hunter</b:Last>
            <b:First>Sarah</b:First>
          </b:Person>
        </b:NameList>
      </b:Author>
    </b:Author>
    <b:RefOrder>5</b:RefOrder>
  </b:Source>
  <b:Source>
    <b:Tag>Hic05</b:Tag>
    <b:SourceType>BookSection</b:SourceType>
    <b:Guid>{C52283F8-D875-4CA1-BF31-79B3DAC58E4A}</b:Guid>
    <b:BookTitle>The Political Thought of the Conservative Party since 1945</b:BookTitle>
    <b:Year>2005</b:Year>
    <b:Pages>170 - 174</b:Pages>
    <b:City>London</b:City>
    <b:Publisher>Palgrave Macmillan</b:Publisher>
    <b:Author>
      <b:Author>
        <b:NameList>
          <b:Person>
            <b:Last>Hickson</b:Last>
            <b:First>Kevin</b:First>
          </b:Person>
        </b:NameList>
      </b:Author>
    </b:Author>
    <b:RefOrder>6</b:RefOrder>
  </b:Source>
  <b:Source>
    <b:Tag>Hof73</b:Tag>
    <b:SourceType>Book</b:SourceType>
    <b:Guid>{C96FBBC2-1F29-4D4C-B9DC-7354AF59978D}</b:Guid>
    <b:Title>Reflections on the human condition</b:Title>
    <b:Year>1973</b:Year>
    <b:City>Titusville</b:City>
    <b:Publisher>Hopewell Publications LLC</b:Publisher>
    <b:Author>
      <b:Author>
        <b:NameList>
          <b:Person>
            <b:Last>Hoffer</b:Last>
            <b:First>Eric</b:First>
          </b:Person>
        </b:NameList>
      </b:Author>
    </b:Author>
    <b:RefOrder>7</b:RefOrder>
  </b:Source>
  <b:Source>
    <b:Tag>Gil03</b:Tag>
    <b:SourceType>DocumentFromInternetSite</b:SourceType>
    <b:Guid>{040D9F4B-C38E-4DA1-BFFF-30271FCB985B}</b:Guid>
    <b:Title>Family and intimate relationships: a review of the sociological</b:Title>
    <b:Year>2003</b:Year>
    <b:Month>June</b:Month>
    <b:YearAccessed>2018</b:YearAccessed>
    <b:MonthAccessed>May</b:MonthAccessed>
    <b:DayAccessed>2</b:DayAccessed>
    <b:URL>http://www1.lsbu.ac.uk/ahs/downloads/families/familieswp2.pdf</b:URL>
    <b:Author>
      <b:Author>
        <b:NameList>
          <b:Person>
            <b:Last>Gillies</b:Last>
            <b:First>Val</b:First>
          </b:Person>
        </b:NameList>
      </b:Author>
    </b:Author>
    <b:RefOrder>8</b:RefOrder>
  </b:Source>
  <b:Source>
    <b:Tag>Wid08</b:Tag>
    <b:SourceType>Book</b:SourceType>
    <b:Guid>{C26C150B-0E2F-4A88-BEF7-A0886BE2A0D8}</b:Guid>
    <b:Title>Beyond the Nuclear Family: Families in a Configurational Perspective</b:Title>
    <b:Year>2008</b:Year>
    <b:City>Bern</b:City>
    <b:Publisher>Peter Lang</b:Publisher>
    <b:Author>
      <b:Author>
        <b:NameList>
          <b:Person>
            <b:Last>Widmer</b:Last>
            <b:Middle>D.</b:Middle>
            <b:First>Eric</b:First>
          </b:Person>
          <b:Person>
            <b:Last>Jallinoja</b:Last>
            <b:First>Ritta</b:First>
          </b:Person>
        </b:NameList>
      </b:Author>
    </b:Author>
    <b:RefOrder>9</b:RefOrder>
  </b:Source>
  <b:Source>
    <b:Tag>Wee01</b:Tag>
    <b:SourceType>Book</b:SourceType>
    <b:Guid>{BA49F403-D002-4E27-B532-F7E9BC6FD44D}</b:Guid>
    <b:Title>Same Sex Intimacies: Families of Choice and Other Life Experiments</b:Title>
    <b:Year>2001</b:Year>
    <b:City>London</b:City>
    <b:Publisher>Routledge</b:Publisher>
    <b:Author>
      <b:Author>
        <b:NameList>
          <b:Person>
            <b:Last>Weeks</b:Last>
            <b:First>Jeffrey</b:First>
          </b:Person>
          <b:Person>
            <b:Last>Heaphy</b:Last>
            <b:First>Brian</b:First>
          </b:Person>
          <b:Person>
            <b:Last>Donovan</b:Last>
            <b:First>Catherine</b:First>
          </b:Person>
        </b:NameList>
      </b:Author>
    </b:Author>
    <b:RefOrder>10</b:RefOrder>
  </b:Source>
  <b:Source>
    <b:Tag>Cab08</b:Tag>
    <b:SourceType>DocumentFromInternetSite</b:SourceType>
    <b:Guid>{35E5A271-3B09-4868-BEA6-0F401BD3B230}</b:Guid>
    <b:Title>Families in Britain: an evidence paper</b:Title>
    <b:Year>2008</b:Year>
    <b:Author>
      <b:Author>
        <b:Corporate>Cabinet Office - The Strategy Unit</b:Corporate>
      </b:Author>
    </b:Author>
    <b:Month>December</b:Month>
    <b:YearAccessed>2018</b:YearAccessed>
    <b:MonthAccessed>April</b:MonthAccessed>
    <b:DayAccessed>28</b:DayAccessed>
    <b:URL>http://dera.ioe.ac.uk/9502/1/Families%20Evidence%20Paper%20v0%2032%20181202.pdf</b:URL>
    <b:RefOrder>11</b:RefOrder>
  </b:Source>
  <b:Source>
    <b:Tag>Fie01</b:Tag>
    <b:SourceType>DocumentFromInternetSite</b:SourceType>
    <b:Guid>{B02FEB59-0F31-49D8-9603-D02A00B30D54}</b:Guid>
    <b:Title>America’s Families and Living Arrangements</b:Title>
    <b:Year>2001</b:Year>
    <b:Month>June</b:Month>
    <b:YearAccessed>2018</b:YearAccessed>
    <b:MonthAccessed>May</b:MonthAccessed>
    <b:DayAccessed>19</b:DayAccessed>
    <b:URL>https://www.census.gov/prod/2001pubs/p20-537.pdf</b:URL>
    <b:Author>
      <b:Author>
        <b:NameList>
          <b:Person>
            <b:Last>Fields</b:Last>
            <b:First>Jason</b:First>
          </b:Person>
          <b:Person>
            <b:Last>Casper</b:Last>
            <b:Middle>M.</b:Middle>
            <b:First>Lynne</b:First>
          </b:Person>
        </b:NameList>
      </b:Author>
    </b:Author>
    <b:RefOrder>12</b:RefOrder>
  </b:Source>
  <b:Source>
    <b:Tag>OEC11</b:Tag>
    <b:SourceType>DocumentFromInternetSite</b:SourceType>
    <b:Guid>{BA01C21D-9FE9-45AA-8B5D-7689BC5E66C0}</b:Guid>
    <b:Title>Doing Better for Families</b:Title>
    <b:Year>2011</b:Year>
    <b:Author>
      <b:Author>
        <b:Corporate>OECD</b:Corporate>
      </b:Author>
    </b:Author>
    <b:Month>April</b:Month>
    <b:Day>27</b:Day>
    <b:YearAccessed>2018</b:YearAccessed>
    <b:MonthAccessed>April</b:MonthAccessed>
    <b:DayAccessed>15</b:DayAccessed>
    <b:URL>https://www.oecd.org/els/soc/47701118.pdf</b:URL>
    <b:RefOrder>13</b:RefOrder>
  </b:Source>
  <b:Source>
    <b:Tag>UKG02</b:Tag>
    <b:SourceType>InternetSite</b:SourceType>
    <b:Guid>{6491B01B-5E3F-4C2E-B3DC-47F429DB1781}</b:Guid>
    <b:Title>Adoption of Children Act 2002</b:Title>
    <b:Year>2002</b:Year>
    <b:Author>
      <b:Author>
        <b:Corporate>UK Government</b:Corporate>
      </b:Author>
    </b:Author>
    <b:YearAccessed>2018</b:YearAccessed>
    <b:MonthAccessed>April</b:MonthAccessed>
    <b:DayAccessed>16</b:DayAccessed>
    <b:URL>http://www.legislation.gov.uk/ukpga/2002/38/pdfs/ukpga_20020038_en.pdf</b:URL>
    <b:RefOrder>14</b:RefOrder>
  </b:Source>
  <b:Source>
    <b:Tag>UKG13</b:Tag>
    <b:SourceType>DocumentFromInternetSite</b:SourceType>
    <b:Guid>{3FAB786E-0916-4FFB-873C-CEEC273733EB}</b:Guid>
    <b:Author>
      <b:Author>
        <b:Corporate>UK Government</b:Corporate>
      </b:Author>
    </b:Author>
    <b:Title>Marriage (Same Sex Couples) Act 2013</b:Title>
    <b:Year>2013</b:Year>
    <b:YearAccessed>2018</b:YearAccessed>
    <b:MonthAccessed>April</b:MonthAccessed>
    <b:DayAccessed>14</b:DayAccessed>
    <b:URL>http://www.legislation.gov.uk/ukpga/2013/30/pdfs/ukpga_20130030_en.pdf</b:URL>
    <b:RefOrder>15</b:RefOrder>
  </b:Source>
  <b:Source>
    <b:Tag>UKG08</b:Tag>
    <b:SourceType>DocumentFromInternetSite</b:SourceType>
    <b:Guid>{03D6E91E-7453-4A05-BF4F-59047A9DC6A3}</b:Guid>
    <b:Author>
      <b:Author>
        <b:Corporate>UK Government</b:Corporate>
      </b:Author>
    </b:Author>
    <b:Title>Human Fertilisation and Embryology Act 2008</b:Title>
    <b:Year>2008</b:Year>
    <b:YearAccessed>2018</b:YearAccessed>
    <b:MonthAccessed>April</b:MonthAccessed>
    <b:DayAccessed>16</b:DayAccessed>
    <b:URL>https://www.legislation.gov.uk/ukpga/2008/22/pdfs/ukpga_20080022_en.pdf</b:URL>
    <b:RefOrder>16</b:RefOrder>
  </b:Source>
  <b:Source xmlns:b="http://schemas.openxmlformats.org/officeDocument/2006/bibliography">
    <b:Tag>Mas43</b:Tag>
    <b:SourceType>JournalArticle</b:SourceType>
    <b:Guid>{8C7D33E1-5ACA-4A95-B231-7EF86BFDF785}</b:Guid>
    <b:Title>A Theory of Human Motivation</b:Title>
    <b:Year>1943</b:Year>
    <b:JournalName>Psychological Review</b:JournalName>
    <b:Pages>370-396</b:Pages>
    <b:Volume>4</b:Volume>
    <b:Issue>50</b:Issue>
    <b:Author>
      <b:Author>
        <b:NameList>
          <b:Person>
            <b:Last>Maslow</b:Last>
            <b:Middle>Harold</b:Middle>
            <b:First>Abraham</b:First>
          </b:Person>
        </b:NameList>
      </b:Author>
    </b:Author>
    <b:RefOrder>17</b:RefOrder>
  </b:Source>
  <b:Source>
    <b:Tag>Bur96</b:Tag>
    <b:SourceType>JournalArticle</b:SourceType>
    <b:Guid>{C9C46193-7124-40AB-BC95-B847DAB398DE}</b:Guid>
    <b:Author>
      <b:Author>
        <b:NameList>
          <b:Person>
            <b:Last>Burman</b:Last>
            <b:First>Erica</b:First>
          </b:Person>
        </b:NameList>
      </b:Author>
    </b:Author>
    <b:Title>Local, Global or Globalized? Child Development and International Child Rights Legislation</b:Title>
    <b:Year>1996</b:Year>
    <b:Publisher>Sage</b:Publisher>
    <b:JournalName>Childhood: A Global Journal of Child Research</b:JournalName>
    <b:Pages>45 - 66</b:Pages>
    <b:Volume>3</b:Volume>
    <b:Issue>1</b:Issue>
    <b:RefOrder>18</b:RefOrder>
  </b:Source>
  <b:Source>
    <b:Tag>McK12</b:Tag>
    <b:SourceType>Book</b:SourceType>
    <b:Guid>{D614EDAE-9ECD-489C-8996-0DC97BEEDF78}</b:Guid>
    <b:Title>Understanding Families: A Global Introduction</b:Title>
    <b:Year>2012</b:Year>
    <b:City>London</b:City>
    <b:Publisher>Sage</b:Publisher>
    <b:Author>
      <b:Author>
        <b:NameList>
          <b:Person>
            <b:Last>McKie</b:Last>
            <b:First>Linda</b:First>
          </b:Person>
          <b:Person>
            <b:Last>Callan</b:Last>
            <b:First>Samantha</b:First>
          </b:Person>
        </b:NameList>
      </b:Author>
    </b:Author>
    <b:RefOrder>19</b:RefOrder>
  </b:Source>
  <b:Source>
    <b:Tag>Jud04</b:Tag>
    <b:SourceType>JournalArticle</b:SourceType>
    <b:Guid>{1BE38AE3-EF68-48D3-9E04-4EADDE7FCDCB}</b:Guid>
    <b:Author>
      <b:Author>
        <b:NameList>
          <b:Person>
            <b:Last>Stacey</b:Last>
            <b:First>Judith</b:First>
          </b:Person>
        </b:NameList>
      </b:Author>
    </b:Author>
    <b:Title>Cruising to Familyland: Gay Hypergamy and Rainbow Kinship</b:Title>
    <b:JournalName>Current Sociology</b:JournalName>
    <b:Year>2004</b:Year>
    <b:Pages>181 - 197</b:Pages>
    <b:Volume>52</b:Volume>
    <b:Issue>2</b:Issue>
    <b:RefOrder>20</b:RefOrder>
  </b:Source>
  <b:Source>
    <b:Tag>DeF08</b:Tag>
    <b:SourceType>DocumentFromInternetSite</b:SourceType>
    <b:Guid>{9DBDAB61-EC59-44FD-A9BC-BD017E3692A1}</b:Guid>
    <b:Title>Why Are Families So Important</b:Title>
    <b:Year>2008</b:Year>
    <b:Month>September</b:Month>
    <b:YearAccessed>2018</b:YearAccessed>
    <b:MonthAccessed>April</b:MonthAccessed>
    <b:DayAccessed>14</b:DayAccessed>
    <b:URL>http://extensionpublications.unl.edu/assets/pdf/g1890.pdf</b:URL>
    <b:Author>
      <b:Author>
        <b:NameList>
          <b:Person>
            <b:Last>DeFrain</b:Last>
            <b:First>John</b:First>
          </b:Person>
          <b:Person>
            <b:Last>Brand</b:Last>
            <b:First>Gail</b:First>
          </b:Person>
          <b:Person>
            <b:Last>Friesen</b:Last>
            <b:First>Jeanette</b:First>
          </b:Person>
          <b:Person>
            <b:Last>Swanson</b:Last>
            <b:First>Dianne</b:First>
          </b:Person>
        </b:NameList>
      </b:Author>
    </b:Author>
    <b:RefOrder>21</b:RefOrder>
  </b:Source>
  <b:Source>
    <b:Tag>Bow82</b:Tag>
    <b:SourceType>BookSection</b:SourceType>
    <b:Guid>{E5905772-91E2-45EC-B423-C2369AEAF3F8}</b:Guid>
    <b:Title>Forms of behaviour mediating attachment and their organisation</b:Title>
    <b:Year>1982</b:Year>
    <b:Author>
      <b:Author>
        <b:NameList>
          <b:Person>
            <b:Last>Bowlby</b:Last>
            <b:First>John</b:First>
          </b:Person>
        </b:NameList>
      </b:Author>
    </b:Author>
    <b:City>New York</b:City>
    <b:Publisher>Basic Books</b:Publisher>
    <b:Edition>2nd</b:Edition>
    <b:Volume>1</b:Volume>
    <b:Pages>203 - 207</b:Pages>
    <b:BookTitle>Attachment and Loss Volume 1: Attachment</b:BookTitle>
    <b:RefOrder>22</b:RefOrder>
  </b:Source>
  <b:Source>
    <b:Tag>Sus09</b:Tag>
    <b:SourceType>Book</b:SourceType>
    <b:Guid>{F90AB65E-DEC5-4A97-A083-BB0EABBD046B}</b:Guid>
    <b:Author>
      <b:Author>
        <b:NameList>
          <b:Person>
            <b:Last>Forward</b:Last>
            <b:First>Susan</b:First>
          </b:Person>
        </b:NameList>
      </b:Author>
    </b:Author>
    <b:Title>Toxic Parents: Overcoming Their Hurtful Legacy and Reclaiming Your Life</b:Title>
    <b:Year>2009</b:Year>
    <b:City>New York</b:City>
    <b:Publisher>Bantam</b:Publisher>
    <b:RefOrder>23</b:RefOrder>
  </b:Source>
  <b:Source>
    <b:Tag>Gol83</b:Tag>
    <b:SourceType>JournalArticle</b:SourceType>
    <b:Guid>{1739DE59-EE96-48FA-8CDD-B96E8AE9F53F}</b:Guid>
    <b:Title>Women and Class Analysis: In Defence of the Conventional View</b:Title>
    <b:JournalName>Sociology</b:JournalName>
    <b:Year>1983</b:Year>
    <b:Pages>465-488</b:Pages>
    <b:Volume>17</b:Volume>
    <b:Issue>4</b:Issue>
    <b:Author>
      <b:Author>
        <b:NameList>
          <b:Person>
            <b:Last>Goldthorpe</b:Last>
            <b:Middle>H</b:Middle>
            <b:First>John</b:First>
          </b:Person>
        </b:NameList>
      </b:Author>
    </b:Author>
    <b:URL>https://www.jstor.org/stable/42852640?newaccount=true&amp;read-now=1&amp;seq=1#page_scan_tab_contents</b:URL>
    <b:RefOrder>24</b:RefOrder>
  </b:Source>
  <b:Source>
    <b:Tag>Val92</b:Tag>
    <b:SourceType>Book</b:SourceType>
    <b:Guid>{201F644C-C09C-4B65-B697-D79DC3F9BD82}</b:Guid>
    <b:Title>Feminist Political Theory: An Introduction</b:Title>
    <b:Year>1992</b:Year>
    <b:City>Basingstoke</b:City>
    <b:Publisher>Macmillan</b:Publisher>
    <b:Author>
      <b:Author>
        <b:NameList>
          <b:Person>
            <b:Last>Bryson</b:Last>
            <b:First>Valerie</b:First>
          </b:Person>
        </b:NameList>
      </b:Author>
    </b:Author>
    <b:RefOrder>25</b:RefOrder>
  </b:Source>
  <b:Source>
    <b:Tag>Ste12</b:Tag>
    <b:SourceType>BookSection</b:SourceType>
    <b:Guid>{BA94E050-303A-4285-B9D7-88CC4C77A44E}</b:Guid>
    <b:Year>2012</b:Year>
    <b:BookTitle>The Family</b:BookTitle>
    <b:Pages>3</b:Pages>
    <b:City>London</b:City>
    <b:Publisher>Palgrave Macmillion</b:Publisher>
    <b:Author>
      <b:Author>
        <b:NameList>
          <b:Person>
            <b:Last>Steel</b:Last>
            <b:First>Liz</b:First>
          </b:Person>
          <b:Person>
            <b:Last>Kidd</b:Last>
            <b:First>Warren</b:First>
          </b:Person>
          <b:Person>
            <b:Last>Brown</b:Last>
            <b:First>Anne</b:First>
          </b:Person>
        </b:NameList>
      </b:Author>
    </b:Author>
    <b:RefOrder>26</b:RefOrder>
  </b:Source>
</b:Sources>
</file>

<file path=customXml/itemProps1.xml><?xml version="1.0" encoding="utf-8"?>
<ds:datastoreItem xmlns:ds="http://schemas.openxmlformats.org/officeDocument/2006/customXml" ds:itemID="{5495CCF4-0ED6-4546-AB73-2B96DB468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3472</Words>
  <Characters>19797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School of Education Studies and Social Sciences</vt:lpstr>
    </vt:vector>
  </TitlesOfParts>
  <Company>CYD</Company>
  <LinksUpToDate>false</LinksUpToDate>
  <CharactersWithSpaces>23223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Education Studies and Social Sciences</dc:title>
  <dc:subject/>
  <dc:creator>IT</dc:creator>
  <cp:keywords/>
  <cp:lastModifiedBy>Brigitte Daniels</cp:lastModifiedBy>
  <cp:revision>3</cp:revision>
  <cp:lastPrinted>2009-05-18T09:30:00Z</cp:lastPrinted>
  <dcterms:created xsi:type="dcterms:W3CDTF">2018-05-24T20:57:00Z</dcterms:created>
  <dcterms:modified xsi:type="dcterms:W3CDTF">2018-05-24T21:01:00Z</dcterms:modified>
</cp:coreProperties>
</file>