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6771606" w14:textId="77777777" w:rsidR="008C2B34" w:rsidRDefault="008C2B34" w:rsidP="008C2B34">
      <w:pPr>
        <w:rPr>
          <w:b/>
          <w:bCs/>
        </w:rPr>
      </w:pPr>
    </w:p>
    <w:p w14:paraId="7DE3CA2E" w14:textId="77777777" w:rsidR="008C2B34" w:rsidRDefault="008C2B34" w:rsidP="008C2B34">
      <w:pPr>
        <w:rPr>
          <w:b/>
          <w:bCs/>
        </w:rPr>
      </w:pPr>
    </w:p>
    <w:p w14:paraId="1FCD0A4A" w14:textId="77777777" w:rsidR="008C2B34" w:rsidRDefault="008C2B34" w:rsidP="008C2B34">
      <w:pPr>
        <w:rPr>
          <w:b/>
          <w:bCs/>
        </w:rPr>
      </w:pPr>
    </w:p>
    <w:p w14:paraId="4DB18233" w14:textId="77777777" w:rsidR="008C2B34" w:rsidRDefault="008C2B34" w:rsidP="008C2B34">
      <w:pPr>
        <w:rPr>
          <w:b/>
          <w:bCs/>
        </w:rPr>
      </w:pPr>
    </w:p>
    <w:p w14:paraId="0E399683" w14:textId="18108B02" w:rsidR="008C2B34" w:rsidRPr="00622282" w:rsidRDefault="008C2B34" w:rsidP="008C2B34">
      <w:pPr>
        <w:jc w:val="center"/>
        <w:rPr>
          <w:b/>
          <w:bCs/>
        </w:rPr>
      </w:pPr>
      <w:r w:rsidRPr="00622282">
        <w:rPr>
          <w:b/>
          <w:bCs/>
        </w:rPr>
        <w:t>Developing and Managing Individuals and Teams</w:t>
      </w:r>
    </w:p>
    <w:p w14:paraId="524FE3B3" w14:textId="77777777" w:rsidR="008C2B34" w:rsidRPr="00622282" w:rsidRDefault="008C2B34" w:rsidP="008C2B34">
      <w:pPr>
        <w:jc w:val="center"/>
        <w:rPr>
          <w:b/>
          <w:bCs/>
        </w:rPr>
      </w:pPr>
      <w:r w:rsidRPr="00622282">
        <w:rPr>
          <w:b/>
          <w:bCs/>
        </w:rPr>
        <w:t>Component 2: Individual Report</w:t>
      </w:r>
    </w:p>
    <w:p w14:paraId="5513A5F3" w14:textId="06800C41" w:rsidR="008C2B34" w:rsidRPr="00622282" w:rsidRDefault="008C2B34" w:rsidP="003950A1">
      <w:pPr>
        <w:jc w:val="center"/>
        <w:rPr>
          <w:b/>
          <w:bCs/>
        </w:rPr>
      </w:pPr>
      <w:r w:rsidRPr="00622282">
        <w:rPr>
          <w:b/>
          <w:bCs/>
        </w:rPr>
        <w:t>Title</w:t>
      </w:r>
      <w:r w:rsidR="003950A1">
        <w:rPr>
          <w:b/>
          <w:bCs/>
        </w:rPr>
        <w:t xml:space="preserve">: </w:t>
      </w:r>
      <w:r w:rsidRPr="00622282">
        <w:rPr>
          <w:b/>
          <w:bCs/>
        </w:rPr>
        <w:t>Contemporary Human Resource Challenges and Strategic HR Practices at BT Group (UK)</w:t>
      </w:r>
    </w:p>
    <w:p w14:paraId="6DD22FF2" w14:textId="77777777" w:rsidR="008C2B34" w:rsidRPr="00622282" w:rsidRDefault="008C2B34" w:rsidP="008C2B34">
      <w:pPr>
        <w:jc w:val="center"/>
        <w:rPr>
          <w:b/>
          <w:bCs/>
        </w:rPr>
      </w:pPr>
      <w:r w:rsidRPr="00622282">
        <w:rPr>
          <w:b/>
          <w:bCs/>
        </w:rPr>
        <w:t>Module: Developing and Managing Individuals and Teams (LCLM5002)</w:t>
      </w:r>
    </w:p>
    <w:p w14:paraId="33863A7F" w14:textId="77777777" w:rsidR="008C2B34" w:rsidRDefault="008C2B34" w:rsidP="008C2B34">
      <w:pPr>
        <w:jc w:val="center"/>
        <w:rPr>
          <w:b/>
          <w:bCs/>
        </w:rPr>
      </w:pPr>
      <w:r w:rsidRPr="00622282">
        <w:rPr>
          <w:b/>
          <w:bCs/>
        </w:rPr>
        <w:t>Chosen Organisation: BT Group plc</w:t>
      </w:r>
    </w:p>
    <w:p w14:paraId="79A5BE50" w14:textId="62ECE11F" w:rsidR="003950A1" w:rsidRPr="003950A1" w:rsidRDefault="003950A1" w:rsidP="003950A1">
      <w:pPr>
        <w:jc w:val="center"/>
        <w:rPr>
          <w:b/>
          <w:bCs/>
        </w:rPr>
      </w:pPr>
      <w:r w:rsidRPr="003950A1">
        <w:rPr>
          <w:b/>
          <w:bCs/>
        </w:rPr>
        <w:t>Student Name: Sekou Kone</w:t>
      </w:r>
    </w:p>
    <w:p w14:paraId="6682F3E7" w14:textId="52729F19" w:rsidR="003950A1" w:rsidRPr="003950A1" w:rsidRDefault="003950A1" w:rsidP="003950A1">
      <w:pPr>
        <w:jc w:val="center"/>
        <w:rPr>
          <w:b/>
          <w:bCs/>
        </w:rPr>
      </w:pPr>
      <w:r w:rsidRPr="003950A1">
        <w:rPr>
          <w:b/>
          <w:bCs/>
        </w:rPr>
        <w:t>Student Number: 2439873</w:t>
      </w:r>
    </w:p>
    <w:p w14:paraId="049A5831" w14:textId="7A3323A9" w:rsidR="003950A1" w:rsidRPr="00622282" w:rsidRDefault="003950A1" w:rsidP="003950A1">
      <w:pPr>
        <w:jc w:val="center"/>
        <w:rPr>
          <w:b/>
          <w:bCs/>
        </w:rPr>
      </w:pPr>
      <w:r w:rsidRPr="003950A1">
        <w:rPr>
          <w:b/>
          <w:bCs/>
        </w:rPr>
        <w:t xml:space="preserve">Lecturer Name: </w:t>
      </w:r>
      <w:r w:rsidR="00B95043">
        <w:rPr>
          <w:b/>
          <w:bCs/>
        </w:rPr>
        <w:t>Amer Kareem</w:t>
      </w:r>
    </w:p>
    <w:p w14:paraId="3F7EDD0C" w14:textId="56F3E480" w:rsidR="008C2B34" w:rsidRPr="008C2B34" w:rsidRDefault="008C2B34" w:rsidP="008C2B34"/>
    <w:p w14:paraId="07E75C55" w14:textId="77777777" w:rsidR="008C2B34" w:rsidRDefault="008C2B34">
      <w:pPr>
        <w:spacing w:before="0" w:after="160" w:line="259" w:lineRule="auto"/>
        <w:jc w:val="left"/>
        <w:rPr>
          <w:b/>
          <w:bCs/>
        </w:rPr>
      </w:pPr>
      <w:r>
        <w:rPr>
          <w:b/>
          <w:bCs/>
        </w:rPr>
        <w:br w:type="page"/>
      </w:r>
    </w:p>
    <w:sdt>
      <w:sdtPr>
        <w:rPr>
          <w:b/>
          <w:bCs/>
        </w:rPr>
        <w:id w:val="-516235995"/>
        <w:docPartObj>
          <w:docPartGallery w:val="Table of Contents"/>
          <w:docPartUnique/>
        </w:docPartObj>
      </w:sdtPr>
      <w:sdtEndPr>
        <w:rPr>
          <w:noProof/>
        </w:rPr>
      </w:sdtEndPr>
      <w:sdtContent>
        <w:p w14:paraId="6C48D728" w14:textId="25957529" w:rsidR="008C2B34" w:rsidRPr="008C2B34" w:rsidRDefault="008C2B34" w:rsidP="008C2B34">
          <w:pPr>
            <w:jc w:val="center"/>
            <w:rPr>
              <w:b/>
              <w:bCs/>
            </w:rPr>
          </w:pPr>
          <w:r w:rsidRPr="008C2B34">
            <w:rPr>
              <w:b/>
              <w:bCs/>
            </w:rPr>
            <w:t>TABLE OF CONTENTS</w:t>
          </w:r>
        </w:p>
        <w:p w14:paraId="0E1827B4" w14:textId="23A41C78" w:rsidR="009434B7" w:rsidRDefault="008C2B34">
          <w:pPr>
            <w:pStyle w:val="TOC1"/>
            <w:tabs>
              <w:tab w:val="right" w:leader="dot" w:pos="9017"/>
            </w:tabs>
            <w:rPr>
              <w:rFonts w:asciiTheme="minorHAnsi" w:eastAsiaTheme="minorEastAsia" w:hAnsiTheme="minorHAnsi"/>
              <w:noProof/>
              <w:kern w:val="2"/>
              <w:sz w:val="24"/>
              <w:szCs w:val="24"/>
              <w:lang w:eastAsia="en-GB"/>
              <w14:ligatures w14:val="standardContextual"/>
            </w:rPr>
          </w:pPr>
          <w:r>
            <w:fldChar w:fldCharType="begin"/>
          </w:r>
          <w:r>
            <w:instrText xml:space="preserve"> TOC \o "1-3" \h \z \u </w:instrText>
          </w:r>
          <w:r>
            <w:fldChar w:fldCharType="separate"/>
          </w:r>
          <w:hyperlink w:anchor="_Toc237268390" w:history="1">
            <w:r w:rsidR="009434B7" w:rsidRPr="009A6291">
              <w:rPr>
                <w:rStyle w:val="Hyperlink"/>
                <w:noProof/>
              </w:rPr>
              <w:t>1. Introduction</w:t>
            </w:r>
            <w:r w:rsidR="009434B7">
              <w:rPr>
                <w:noProof/>
                <w:webHidden/>
              </w:rPr>
              <w:tab/>
            </w:r>
            <w:r w:rsidR="009434B7">
              <w:rPr>
                <w:noProof/>
                <w:webHidden/>
              </w:rPr>
              <w:fldChar w:fldCharType="begin"/>
            </w:r>
            <w:r w:rsidR="009434B7">
              <w:rPr>
                <w:noProof/>
                <w:webHidden/>
              </w:rPr>
              <w:instrText xml:space="preserve"> PAGEREF _Toc237268390 \h </w:instrText>
            </w:r>
            <w:r w:rsidR="009434B7">
              <w:rPr>
                <w:noProof/>
                <w:webHidden/>
              </w:rPr>
            </w:r>
            <w:r w:rsidR="009434B7">
              <w:rPr>
                <w:noProof/>
                <w:webHidden/>
              </w:rPr>
              <w:fldChar w:fldCharType="separate"/>
            </w:r>
            <w:r w:rsidR="009434B7">
              <w:rPr>
                <w:noProof/>
                <w:webHidden/>
              </w:rPr>
              <w:t>3</w:t>
            </w:r>
            <w:r w:rsidR="009434B7">
              <w:rPr>
                <w:noProof/>
                <w:webHidden/>
              </w:rPr>
              <w:fldChar w:fldCharType="end"/>
            </w:r>
          </w:hyperlink>
        </w:p>
        <w:p w14:paraId="4FB7EC79" w14:textId="111E94E1" w:rsidR="009434B7" w:rsidRDefault="009434B7">
          <w:pPr>
            <w:pStyle w:val="TOC1"/>
            <w:tabs>
              <w:tab w:val="right" w:leader="dot" w:pos="9017"/>
            </w:tabs>
            <w:rPr>
              <w:rFonts w:asciiTheme="minorHAnsi" w:eastAsiaTheme="minorEastAsia" w:hAnsiTheme="minorHAnsi"/>
              <w:noProof/>
              <w:kern w:val="2"/>
              <w:sz w:val="24"/>
              <w:szCs w:val="24"/>
              <w:lang w:eastAsia="en-GB"/>
              <w14:ligatures w14:val="standardContextual"/>
            </w:rPr>
          </w:pPr>
          <w:hyperlink w:anchor="_Toc237268391" w:history="1">
            <w:r w:rsidRPr="009A6291">
              <w:rPr>
                <w:rStyle w:val="Hyperlink"/>
                <w:noProof/>
              </w:rPr>
              <w:t>2. Explanation of Key Factors</w:t>
            </w:r>
            <w:r>
              <w:rPr>
                <w:noProof/>
                <w:webHidden/>
              </w:rPr>
              <w:tab/>
            </w:r>
            <w:r>
              <w:rPr>
                <w:noProof/>
                <w:webHidden/>
              </w:rPr>
              <w:fldChar w:fldCharType="begin"/>
            </w:r>
            <w:r>
              <w:rPr>
                <w:noProof/>
                <w:webHidden/>
              </w:rPr>
              <w:instrText xml:space="preserve"> PAGEREF _Toc237268391 \h </w:instrText>
            </w:r>
            <w:r>
              <w:rPr>
                <w:noProof/>
                <w:webHidden/>
              </w:rPr>
            </w:r>
            <w:r>
              <w:rPr>
                <w:noProof/>
                <w:webHidden/>
              </w:rPr>
              <w:fldChar w:fldCharType="separate"/>
            </w:r>
            <w:r>
              <w:rPr>
                <w:noProof/>
                <w:webHidden/>
              </w:rPr>
              <w:t>3</w:t>
            </w:r>
            <w:r>
              <w:rPr>
                <w:noProof/>
                <w:webHidden/>
              </w:rPr>
              <w:fldChar w:fldCharType="end"/>
            </w:r>
          </w:hyperlink>
        </w:p>
        <w:p w14:paraId="5DF7ADC1" w14:textId="505094AF" w:rsidR="009434B7" w:rsidRDefault="009434B7">
          <w:pPr>
            <w:pStyle w:val="TOC2"/>
            <w:tabs>
              <w:tab w:val="right" w:leader="dot" w:pos="9017"/>
            </w:tabs>
            <w:rPr>
              <w:rFonts w:asciiTheme="minorHAnsi" w:eastAsiaTheme="minorEastAsia" w:hAnsiTheme="minorHAnsi"/>
              <w:noProof/>
              <w:kern w:val="2"/>
              <w:sz w:val="24"/>
              <w:szCs w:val="24"/>
              <w:lang w:eastAsia="en-GB"/>
              <w14:ligatures w14:val="standardContextual"/>
            </w:rPr>
          </w:pPr>
          <w:hyperlink w:anchor="_Toc237268392" w:history="1">
            <w:r w:rsidRPr="009A6291">
              <w:rPr>
                <w:rStyle w:val="Hyperlink"/>
                <w:noProof/>
              </w:rPr>
              <w:t>Adapting to Technological Advancements</w:t>
            </w:r>
            <w:r>
              <w:rPr>
                <w:noProof/>
                <w:webHidden/>
              </w:rPr>
              <w:tab/>
            </w:r>
            <w:r>
              <w:rPr>
                <w:noProof/>
                <w:webHidden/>
              </w:rPr>
              <w:fldChar w:fldCharType="begin"/>
            </w:r>
            <w:r>
              <w:rPr>
                <w:noProof/>
                <w:webHidden/>
              </w:rPr>
              <w:instrText xml:space="preserve"> PAGEREF _Toc237268392 \h </w:instrText>
            </w:r>
            <w:r>
              <w:rPr>
                <w:noProof/>
                <w:webHidden/>
              </w:rPr>
            </w:r>
            <w:r>
              <w:rPr>
                <w:noProof/>
                <w:webHidden/>
              </w:rPr>
              <w:fldChar w:fldCharType="separate"/>
            </w:r>
            <w:r>
              <w:rPr>
                <w:noProof/>
                <w:webHidden/>
              </w:rPr>
              <w:t>3</w:t>
            </w:r>
            <w:r>
              <w:rPr>
                <w:noProof/>
                <w:webHidden/>
              </w:rPr>
              <w:fldChar w:fldCharType="end"/>
            </w:r>
          </w:hyperlink>
        </w:p>
        <w:p w14:paraId="01D1B01D" w14:textId="3FE1F593" w:rsidR="009434B7" w:rsidRDefault="009434B7">
          <w:pPr>
            <w:pStyle w:val="TOC2"/>
            <w:tabs>
              <w:tab w:val="right" w:leader="dot" w:pos="9017"/>
            </w:tabs>
            <w:rPr>
              <w:rFonts w:asciiTheme="minorHAnsi" w:eastAsiaTheme="minorEastAsia" w:hAnsiTheme="minorHAnsi"/>
              <w:noProof/>
              <w:kern w:val="2"/>
              <w:sz w:val="24"/>
              <w:szCs w:val="24"/>
              <w:lang w:eastAsia="en-GB"/>
              <w14:ligatures w14:val="standardContextual"/>
            </w:rPr>
          </w:pPr>
          <w:hyperlink w:anchor="_Toc237268393" w:history="1">
            <w:r w:rsidRPr="009A6291">
              <w:rPr>
                <w:rStyle w:val="Hyperlink"/>
                <w:noProof/>
              </w:rPr>
              <w:t>Talent Acquisition and Retention</w:t>
            </w:r>
            <w:r>
              <w:rPr>
                <w:noProof/>
                <w:webHidden/>
              </w:rPr>
              <w:tab/>
            </w:r>
            <w:r>
              <w:rPr>
                <w:noProof/>
                <w:webHidden/>
              </w:rPr>
              <w:fldChar w:fldCharType="begin"/>
            </w:r>
            <w:r>
              <w:rPr>
                <w:noProof/>
                <w:webHidden/>
              </w:rPr>
              <w:instrText xml:space="preserve"> PAGEREF _Toc237268393 \h </w:instrText>
            </w:r>
            <w:r>
              <w:rPr>
                <w:noProof/>
                <w:webHidden/>
              </w:rPr>
            </w:r>
            <w:r>
              <w:rPr>
                <w:noProof/>
                <w:webHidden/>
              </w:rPr>
              <w:fldChar w:fldCharType="separate"/>
            </w:r>
            <w:r>
              <w:rPr>
                <w:noProof/>
                <w:webHidden/>
              </w:rPr>
              <w:t>4</w:t>
            </w:r>
            <w:r>
              <w:rPr>
                <w:noProof/>
                <w:webHidden/>
              </w:rPr>
              <w:fldChar w:fldCharType="end"/>
            </w:r>
          </w:hyperlink>
        </w:p>
        <w:p w14:paraId="645E0AB2" w14:textId="67D448D1" w:rsidR="009434B7" w:rsidRDefault="009434B7">
          <w:pPr>
            <w:pStyle w:val="TOC2"/>
            <w:tabs>
              <w:tab w:val="right" w:leader="dot" w:pos="9017"/>
            </w:tabs>
            <w:rPr>
              <w:rFonts w:asciiTheme="minorHAnsi" w:eastAsiaTheme="minorEastAsia" w:hAnsiTheme="minorHAnsi"/>
              <w:noProof/>
              <w:kern w:val="2"/>
              <w:sz w:val="24"/>
              <w:szCs w:val="24"/>
              <w:lang w:eastAsia="en-GB"/>
              <w14:ligatures w14:val="standardContextual"/>
            </w:rPr>
          </w:pPr>
          <w:hyperlink w:anchor="_Toc237268394" w:history="1">
            <w:r w:rsidRPr="009A6291">
              <w:rPr>
                <w:rStyle w:val="Hyperlink"/>
                <w:noProof/>
              </w:rPr>
              <w:t>Diversity, Equity and Inclusion (DEI)</w:t>
            </w:r>
            <w:r>
              <w:rPr>
                <w:noProof/>
                <w:webHidden/>
              </w:rPr>
              <w:tab/>
            </w:r>
            <w:r>
              <w:rPr>
                <w:noProof/>
                <w:webHidden/>
              </w:rPr>
              <w:fldChar w:fldCharType="begin"/>
            </w:r>
            <w:r>
              <w:rPr>
                <w:noProof/>
                <w:webHidden/>
              </w:rPr>
              <w:instrText xml:space="preserve"> PAGEREF _Toc237268394 \h </w:instrText>
            </w:r>
            <w:r>
              <w:rPr>
                <w:noProof/>
                <w:webHidden/>
              </w:rPr>
            </w:r>
            <w:r>
              <w:rPr>
                <w:noProof/>
                <w:webHidden/>
              </w:rPr>
              <w:fldChar w:fldCharType="separate"/>
            </w:r>
            <w:r>
              <w:rPr>
                <w:noProof/>
                <w:webHidden/>
              </w:rPr>
              <w:t>5</w:t>
            </w:r>
            <w:r>
              <w:rPr>
                <w:noProof/>
                <w:webHidden/>
              </w:rPr>
              <w:fldChar w:fldCharType="end"/>
            </w:r>
          </w:hyperlink>
        </w:p>
        <w:p w14:paraId="06CD376C" w14:textId="020CF99E" w:rsidR="009434B7" w:rsidRDefault="009434B7">
          <w:pPr>
            <w:pStyle w:val="TOC1"/>
            <w:tabs>
              <w:tab w:val="right" w:leader="dot" w:pos="9017"/>
            </w:tabs>
            <w:rPr>
              <w:rFonts w:asciiTheme="minorHAnsi" w:eastAsiaTheme="minorEastAsia" w:hAnsiTheme="minorHAnsi"/>
              <w:noProof/>
              <w:kern w:val="2"/>
              <w:sz w:val="24"/>
              <w:szCs w:val="24"/>
              <w:lang w:eastAsia="en-GB"/>
              <w14:ligatures w14:val="standardContextual"/>
            </w:rPr>
          </w:pPr>
          <w:hyperlink w:anchor="_Toc237268395" w:history="1">
            <w:r w:rsidRPr="009A6291">
              <w:rPr>
                <w:rStyle w:val="Hyperlink"/>
                <w:noProof/>
              </w:rPr>
              <w:t>3. Evaluation of Contemporary HR Practices</w:t>
            </w:r>
            <w:r>
              <w:rPr>
                <w:noProof/>
                <w:webHidden/>
              </w:rPr>
              <w:tab/>
            </w:r>
            <w:r>
              <w:rPr>
                <w:noProof/>
                <w:webHidden/>
              </w:rPr>
              <w:fldChar w:fldCharType="begin"/>
            </w:r>
            <w:r>
              <w:rPr>
                <w:noProof/>
                <w:webHidden/>
              </w:rPr>
              <w:instrText xml:space="preserve"> PAGEREF _Toc237268395 \h </w:instrText>
            </w:r>
            <w:r>
              <w:rPr>
                <w:noProof/>
                <w:webHidden/>
              </w:rPr>
            </w:r>
            <w:r>
              <w:rPr>
                <w:noProof/>
                <w:webHidden/>
              </w:rPr>
              <w:fldChar w:fldCharType="separate"/>
            </w:r>
            <w:r>
              <w:rPr>
                <w:noProof/>
                <w:webHidden/>
              </w:rPr>
              <w:t>5</w:t>
            </w:r>
            <w:r>
              <w:rPr>
                <w:noProof/>
                <w:webHidden/>
              </w:rPr>
              <w:fldChar w:fldCharType="end"/>
            </w:r>
          </w:hyperlink>
        </w:p>
        <w:p w14:paraId="09D3CBCE" w14:textId="53CF4DE1" w:rsidR="009434B7" w:rsidRDefault="009434B7">
          <w:pPr>
            <w:pStyle w:val="TOC2"/>
            <w:tabs>
              <w:tab w:val="right" w:leader="dot" w:pos="9017"/>
            </w:tabs>
            <w:rPr>
              <w:rFonts w:asciiTheme="minorHAnsi" w:eastAsiaTheme="minorEastAsia" w:hAnsiTheme="minorHAnsi"/>
              <w:noProof/>
              <w:kern w:val="2"/>
              <w:sz w:val="24"/>
              <w:szCs w:val="24"/>
              <w:lang w:eastAsia="en-GB"/>
              <w14:ligatures w14:val="standardContextual"/>
            </w:rPr>
          </w:pPr>
          <w:hyperlink w:anchor="_Toc237268396" w:history="1">
            <w:r w:rsidRPr="009A6291">
              <w:rPr>
                <w:rStyle w:val="Hyperlink"/>
                <w:noProof/>
              </w:rPr>
              <w:t>Digital HR Systems and Workforce Analytics</w:t>
            </w:r>
            <w:r>
              <w:rPr>
                <w:noProof/>
                <w:webHidden/>
              </w:rPr>
              <w:tab/>
            </w:r>
            <w:r>
              <w:rPr>
                <w:noProof/>
                <w:webHidden/>
              </w:rPr>
              <w:fldChar w:fldCharType="begin"/>
            </w:r>
            <w:r>
              <w:rPr>
                <w:noProof/>
                <w:webHidden/>
              </w:rPr>
              <w:instrText xml:space="preserve"> PAGEREF _Toc237268396 \h </w:instrText>
            </w:r>
            <w:r>
              <w:rPr>
                <w:noProof/>
                <w:webHidden/>
              </w:rPr>
            </w:r>
            <w:r>
              <w:rPr>
                <w:noProof/>
                <w:webHidden/>
              </w:rPr>
              <w:fldChar w:fldCharType="separate"/>
            </w:r>
            <w:r>
              <w:rPr>
                <w:noProof/>
                <w:webHidden/>
              </w:rPr>
              <w:t>5</w:t>
            </w:r>
            <w:r>
              <w:rPr>
                <w:noProof/>
                <w:webHidden/>
              </w:rPr>
              <w:fldChar w:fldCharType="end"/>
            </w:r>
          </w:hyperlink>
        </w:p>
        <w:p w14:paraId="1D3E5FB3" w14:textId="2FC311DD" w:rsidR="009434B7" w:rsidRDefault="009434B7">
          <w:pPr>
            <w:pStyle w:val="TOC2"/>
            <w:tabs>
              <w:tab w:val="right" w:leader="dot" w:pos="9017"/>
            </w:tabs>
            <w:rPr>
              <w:rFonts w:asciiTheme="minorHAnsi" w:eastAsiaTheme="minorEastAsia" w:hAnsiTheme="minorHAnsi"/>
              <w:noProof/>
              <w:kern w:val="2"/>
              <w:sz w:val="24"/>
              <w:szCs w:val="24"/>
              <w:lang w:eastAsia="en-GB"/>
              <w14:ligatures w14:val="standardContextual"/>
            </w:rPr>
          </w:pPr>
          <w:hyperlink w:anchor="_Toc237268397" w:history="1">
            <w:r w:rsidRPr="009A6291">
              <w:rPr>
                <w:rStyle w:val="Hyperlink"/>
                <w:noProof/>
              </w:rPr>
              <w:t>Strategic Workforce Planning and Employer Branding</w:t>
            </w:r>
            <w:r>
              <w:rPr>
                <w:noProof/>
                <w:webHidden/>
              </w:rPr>
              <w:tab/>
            </w:r>
            <w:r>
              <w:rPr>
                <w:noProof/>
                <w:webHidden/>
              </w:rPr>
              <w:fldChar w:fldCharType="begin"/>
            </w:r>
            <w:r>
              <w:rPr>
                <w:noProof/>
                <w:webHidden/>
              </w:rPr>
              <w:instrText xml:space="preserve"> PAGEREF _Toc237268397 \h </w:instrText>
            </w:r>
            <w:r>
              <w:rPr>
                <w:noProof/>
                <w:webHidden/>
              </w:rPr>
            </w:r>
            <w:r>
              <w:rPr>
                <w:noProof/>
                <w:webHidden/>
              </w:rPr>
              <w:fldChar w:fldCharType="separate"/>
            </w:r>
            <w:r>
              <w:rPr>
                <w:noProof/>
                <w:webHidden/>
              </w:rPr>
              <w:t>6</w:t>
            </w:r>
            <w:r>
              <w:rPr>
                <w:noProof/>
                <w:webHidden/>
              </w:rPr>
              <w:fldChar w:fldCharType="end"/>
            </w:r>
          </w:hyperlink>
        </w:p>
        <w:p w14:paraId="7CEA22E6" w14:textId="7E2AC6BC" w:rsidR="009434B7" w:rsidRDefault="009434B7">
          <w:pPr>
            <w:pStyle w:val="TOC2"/>
            <w:tabs>
              <w:tab w:val="right" w:leader="dot" w:pos="9017"/>
            </w:tabs>
            <w:rPr>
              <w:rFonts w:asciiTheme="minorHAnsi" w:eastAsiaTheme="minorEastAsia" w:hAnsiTheme="minorHAnsi"/>
              <w:noProof/>
              <w:kern w:val="2"/>
              <w:sz w:val="24"/>
              <w:szCs w:val="24"/>
              <w:lang w:eastAsia="en-GB"/>
              <w14:ligatures w14:val="standardContextual"/>
            </w:rPr>
          </w:pPr>
          <w:hyperlink w:anchor="_Toc237268398" w:history="1">
            <w:r w:rsidRPr="009A6291">
              <w:rPr>
                <w:rStyle w:val="Hyperlink"/>
                <w:noProof/>
              </w:rPr>
              <w:t>Employee Engagement and Inclusive HR Practices</w:t>
            </w:r>
            <w:r>
              <w:rPr>
                <w:noProof/>
                <w:webHidden/>
              </w:rPr>
              <w:tab/>
            </w:r>
            <w:r>
              <w:rPr>
                <w:noProof/>
                <w:webHidden/>
              </w:rPr>
              <w:fldChar w:fldCharType="begin"/>
            </w:r>
            <w:r>
              <w:rPr>
                <w:noProof/>
                <w:webHidden/>
              </w:rPr>
              <w:instrText xml:space="preserve"> PAGEREF _Toc237268398 \h </w:instrText>
            </w:r>
            <w:r>
              <w:rPr>
                <w:noProof/>
                <w:webHidden/>
              </w:rPr>
            </w:r>
            <w:r>
              <w:rPr>
                <w:noProof/>
                <w:webHidden/>
              </w:rPr>
              <w:fldChar w:fldCharType="separate"/>
            </w:r>
            <w:r>
              <w:rPr>
                <w:noProof/>
                <w:webHidden/>
              </w:rPr>
              <w:t>6</w:t>
            </w:r>
            <w:r>
              <w:rPr>
                <w:noProof/>
                <w:webHidden/>
              </w:rPr>
              <w:fldChar w:fldCharType="end"/>
            </w:r>
          </w:hyperlink>
        </w:p>
        <w:p w14:paraId="3D49DFB2" w14:textId="750CBEE6" w:rsidR="009434B7" w:rsidRDefault="009434B7">
          <w:pPr>
            <w:pStyle w:val="TOC1"/>
            <w:tabs>
              <w:tab w:val="right" w:leader="dot" w:pos="9017"/>
            </w:tabs>
            <w:rPr>
              <w:rFonts w:asciiTheme="minorHAnsi" w:eastAsiaTheme="minorEastAsia" w:hAnsiTheme="minorHAnsi"/>
              <w:noProof/>
              <w:kern w:val="2"/>
              <w:sz w:val="24"/>
              <w:szCs w:val="24"/>
              <w:lang w:eastAsia="en-GB"/>
              <w14:ligatures w14:val="standardContextual"/>
            </w:rPr>
          </w:pPr>
          <w:hyperlink w:anchor="_Toc237268399" w:history="1">
            <w:r w:rsidRPr="009A6291">
              <w:rPr>
                <w:rStyle w:val="Hyperlink"/>
                <w:noProof/>
              </w:rPr>
              <w:t>4. Critical Evaluation of Managerial Implementation</w:t>
            </w:r>
            <w:r>
              <w:rPr>
                <w:noProof/>
                <w:webHidden/>
              </w:rPr>
              <w:tab/>
            </w:r>
            <w:r>
              <w:rPr>
                <w:noProof/>
                <w:webHidden/>
              </w:rPr>
              <w:fldChar w:fldCharType="begin"/>
            </w:r>
            <w:r>
              <w:rPr>
                <w:noProof/>
                <w:webHidden/>
              </w:rPr>
              <w:instrText xml:space="preserve"> PAGEREF _Toc237268399 \h </w:instrText>
            </w:r>
            <w:r>
              <w:rPr>
                <w:noProof/>
                <w:webHidden/>
              </w:rPr>
            </w:r>
            <w:r>
              <w:rPr>
                <w:noProof/>
                <w:webHidden/>
              </w:rPr>
              <w:fldChar w:fldCharType="separate"/>
            </w:r>
            <w:r>
              <w:rPr>
                <w:noProof/>
                <w:webHidden/>
              </w:rPr>
              <w:t>7</w:t>
            </w:r>
            <w:r>
              <w:rPr>
                <w:noProof/>
                <w:webHidden/>
              </w:rPr>
              <w:fldChar w:fldCharType="end"/>
            </w:r>
          </w:hyperlink>
        </w:p>
        <w:p w14:paraId="5617792B" w14:textId="183F6E77" w:rsidR="009434B7" w:rsidRDefault="009434B7">
          <w:pPr>
            <w:pStyle w:val="TOC1"/>
            <w:tabs>
              <w:tab w:val="right" w:leader="dot" w:pos="9017"/>
            </w:tabs>
            <w:rPr>
              <w:rFonts w:asciiTheme="minorHAnsi" w:eastAsiaTheme="minorEastAsia" w:hAnsiTheme="minorHAnsi"/>
              <w:noProof/>
              <w:kern w:val="2"/>
              <w:sz w:val="24"/>
              <w:szCs w:val="24"/>
              <w:lang w:eastAsia="en-GB"/>
              <w14:ligatures w14:val="standardContextual"/>
            </w:rPr>
          </w:pPr>
          <w:hyperlink w:anchor="_Toc237268400" w:history="1">
            <w:r w:rsidRPr="009A6291">
              <w:rPr>
                <w:rStyle w:val="Hyperlink"/>
                <w:noProof/>
              </w:rPr>
              <w:t>5. Conclusion and Recommendations</w:t>
            </w:r>
            <w:r>
              <w:rPr>
                <w:noProof/>
                <w:webHidden/>
              </w:rPr>
              <w:tab/>
            </w:r>
            <w:r>
              <w:rPr>
                <w:noProof/>
                <w:webHidden/>
              </w:rPr>
              <w:fldChar w:fldCharType="begin"/>
            </w:r>
            <w:r>
              <w:rPr>
                <w:noProof/>
                <w:webHidden/>
              </w:rPr>
              <w:instrText xml:space="preserve"> PAGEREF _Toc237268400 \h </w:instrText>
            </w:r>
            <w:r>
              <w:rPr>
                <w:noProof/>
                <w:webHidden/>
              </w:rPr>
            </w:r>
            <w:r>
              <w:rPr>
                <w:noProof/>
                <w:webHidden/>
              </w:rPr>
              <w:fldChar w:fldCharType="separate"/>
            </w:r>
            <w:r>
              <w:rPr>
                <w:noProof/>
                <w:webHidden/>
              </w:rPr>
              <w:t>10</w:t>
            </w:r>
            <w:r>
              <w:rPr>
                <w:noProof/>
                <w:webHidden/>
              </w:rPr>
              <w:fldChar w:fldCharType="end"/>
            </w:r>
          </w:hyperlink>
        </w:p>
        <w:p w14:paraId="5D9047BA" w14:textId="6F474258" w:rsidR="009434B7" w:rsidRDefault="009434B7">
          <w:pPr>
            <w:pStyle w:val="TOC2"/>
            <w:tabs>
              <w:tab w:val="right" w:leader="dot" w:pos="9017"/>
            </w:tabs>
            <w:rPr>
              <w:rFonts w:asciiTheme="minorHAnsi" w:eastAsiaTheme="minorEastAsia" w:hAnsiTheme="minorHAnsi"/>
              <w:noProof/>
              <w:kern w:val="2"/>
              <w:sz w:val="24"/>
              <w:szCs w:val="24"/>
              <w:lang w:eastAsia="en-GB"/>
              <w14:ligatures w14:val="standardContextual"/>
            </w:rPr>
          </w:pPr>
          <w:hyperlink w:anchor="_Toc237268401" w:history="1">
            <w:r w:rsidRPr="009A6291">
              <w:rPr>
                <w:rStyle w:val="Hyperlink"/>
                <w:noProof/>
              </w:rPr>
              <w:t>Conclusion</w:t>
            </w:r>
            <w:r>
              <w:rPr>
                <w:noProof/>
                <w:webHidden/>
              </w:rPr>
              <w:tab/>
            </w:r>
            <w:r>
              <w:rPr>
                <w:noProof/>
                <w:webHidden/>
              </w:rPr>
              <w:fldChar w:fldCharType="begin"/>
            </w:r>
            <w:r>
              <w:rPr>
                <w:noProof/>
                <w:webHidden/>
              </w:rPr>
              <w:instrText xml:space="preserve"> PAGEREF _Toc237268401 \h </w:instrText>
            </w:r>
            <w:r>
              <w:rPr>
                <w:noProof/>
                <w:webHidden/>
              </w:rPr>
            </w:r>
            <w:r>
              <w:rPr>
                <w:noProof/>
                <w:webHidden/>
              </w:rPr>
              <w:fldChar w:fldCharType="separate"/>
            </w:r>
            <w:r>
              <w:rPr>
                <w:noProof/>
                <w:webHidden/>
              </w:rPr>
              <w:t>10</w:t>
            </w:r>
            <w:r>
              <w:rPr>
                <w:noProof/>
                <w:webHidden/>
              </w:rPr>
              <w:fldChar w:fldCharType="end"/>
            </w:r>
          </w:hyperlink>
        </w:p>
        <w:p w14:paraId="031C9400" w14:textId="0C642E31" w:rsidR="009434B7" w:rsidRDefault="009434B7">
          <w:pPr>
            <w:pStyle w:val="TOC2"/>
            <w:tabs>
              <w:tab w:val="right" w:leader="dot" w:pos="9017"/>
            </w:tabs>
            <w:rPr>
              <w:rFonts w:asciiTheme="minorHAnsi" w:eastAsiaTheme="minorEastAsia" w:hAnsiTheme="minorHAnsi"/>
              <w:noProof/>
              <w:kern w:val="2"/>
              <w:sz w:val="24"/>
              <w:szCs w:val="24"/>
              <w:lang w:eastAsia="en-GB"/>
              <w14:ligatures w14:val="standardContextual"/>
            </w:rPr>
          </w:pPr>
          <w:hyperlink w:anchor="_Toc237268402" w:history="1">
            <w:r w:rsidRPr="009A6291">
              <w:rPr>
                <w:rStyle w:val="Hyperlink"/>
                <w:noProof/>
              </w:rPr>
              <w:t>Recommendations</w:t>
            </w:r>
            <w:r>
              <w:rPr>
                <w:noProof/>
                <w:webHidden/>
              </w:rPr>
              <w:tab/>
            </w:r>
            <w:r>
              <w:rPr>
                <w:noProof/>
                <w:webHidden/>
              </w:rPr>
              <w:fldChar w:fldCharType="begin"/>
            </w:r>
            <w:r>
              <w:rPr>
                <w:noProof/>
                <w:webHidden/>
              </w:rPr>
              <w:instrText xml:space="preserve"> PAGEREF _Toc237268402 \h </w:instrText>
            </w:r>
            <w:r>
              <w:rPr>
                <w:noProof/>
                <w:webHidden/>
              </w:rPr>
            </w:r>
            <w:r>
              <w:rPr>
                <w:noProof/>
                <w:webHidden/>
              </w:rPr>
              <w:fldChar w:fldCharType="separate"/>
            </w:r>
            <w:r>
              <w:rPr>
                <w:noProof/>
                <w:webHidden/>
              </w:rPr>
              <w:t>10</w:t>
            </w:r>
            <w:r>
              <w:rPr>
                <w:noProof/>
                <w:webHidden/>
              </w:rPr>
              <w:fldChar w:fldCharType="end"/>
            </w:r>
          </w:hyperlink>
        </w:p>
        <w:p w14:paraId="7A6666EA" w14:textId="6BB9C852" w:rsidR="009434B7" w:rsidRDefault="009434B7">
          <w:pPr>
            <w:pStyle w:val="TOC1"/>
            <w:tabs>
              <w:tab w:val="right" w:leader="dot" w:pos="9017"/>
            </w:tabs>
            <w:rPr>
              <w:rFonts w:asciiTheme="minorHAnsi" w:eastAsiaTheme="minorEastAsia" w:hAnsiTheme="minorHAnsi"/>
              <w:noProof/>
              <w:kern w:val="2"/>
              <w:sz w:val="24"/>
              <w:szCs w:val="24"/>
              <w:lang w:eastAsia="en-GB"/>
              <w14:ligatures w14:val="standardContextual"/>
            </w:rPr>
          </w:pPr>
          <w:hyperlink w:anchor="_Toc237268403" w:history="1">
            <w:r w:rsidRPr="009A6291">
              <w:rPr>
                <w:rStyle w:val="Hyperlink"/>
                <w:noProof/>
                <w:lang w:val="en-US"/>
              </w:rPr>
              <w:t>References</w:t>
            </w:r>
            <w:r>
              <w:rPr>
                <w:noProof/>
                <w:webHidden/>
              </w:rPr>
              <w:tab/>
            </w:r>
            <w:r>
              <w:rPr>
                <w:noProof/>
                <w:webHidden/>
              </w:rPr>
              <w:fldChar w:fldCharType="begin"/>
            </w:r>
            <w:r>
              <w:rPr>
                <w:noProof/>
                <w:webHidden/>
              </w:rPr>
              <w:instrText xml:space="preserve"> PAGEREF _Toc237268403 \h </w:instrText>
            </w:r>
            <w:r>
              <w:rPr>
                <w:noProof/>
                <w:webHidden/>
              </w:rPr>
            </w:r>
            <w:r>
              <w:rPr>
                <w:noProof/>
                <w:webHidden/>
              </w:rPr>
              <w:fldChar w:fldCharType="separate"/>
            </w:r>
            <w:r>
              <w:rPr>
                <w:noProof/>
                <w:webHidden/>
              </w:rPr>
              <w:t>12</w:t>
            </w:r>
            <w:r>
              <w:rPr>
                <w:noProof/>
                <w:webHidden/>
              </w:rPr>
              <w:fldChar w:fldCharType="end"/>
            </w:r>
          </w:hyperlink>
        </w:p>
        <w:p w14:paraId="41731AA2" w14:textId="45871193" w:rsidR="008C2B34" w:rsidRDefault="008C2B34">
          <w:r>
            <w:rPr>
              <w:b/>
              <w:bCs/>
              <w:noProof/>
            </w:rPr>
            <w:fldChar w:fldCharType="end"/>
          </w:r>
        </w:p>
      </w:sdtContent>
    </w:sdt>
    <w:p w14:paraId="620CBAE9" w14:textId="77777777" w:rsidR="008C2B34" w:rsidRPr="008C2B34" w:rsidRDefault="008C2B34" w:rsidP="008C2B34"/>
    <w:p w14:paraId="64F65E11" w14:textId="77777777" w:rsidR="008C2B34" w:rsidRDefault="008C2B34">
      <w:pPr>
        <w:spacing w:before="0" w:after="160" w:line="259" w:lineRule="auto"/>
        <w:jc w:val="left"/>
        <w:rPr>
          <w:b/>
          <w:bCs/>
        </w:rPr>
      </w:pPr>
      <w:r>
        <w:rPr>
          <w:b/>
          <w:bCs/>
        </w:rPr>
        <w:br w:type="page"/>
      </w:r>
    </w:p>
    <w:p w14:paraId="00F2F712" w14:textId="4BAB7C97" w:rsidR="008C2B34" w:rsidRPr="008C2B34" w:rsidRDefault="008C2B34" w:rsidP="008C2B34">
      <w:pPr>
        <w:pStyle w:val="Heading1"/>
      </w:pPr>
      <w:bookmarkStart w:id="0" w:name="_Toc237268390"/>
      <w:r w:rsidRPr="008C2B34">
        <w:t>1. Introduction</w:t>
      </w:r>
      <w:bookmarkEnd w:id="0"/>
    </w:p>
    <w:p w14:paraId="57796344" w14:textId="0861BE6D" w:rsidR="00865660" w:rsidRDefault="00865660" w:rsidP="00865660">
      <w:pPr>
        <w:ind w:firstLine="720"/>
      </w:pPr>
      <w:r>
        <w:t>This report is a critical analysis of the modern human resource issues affecting BT Group, which include technological development, staffing, retention, and diversity, equity and inclusion (DEI). All these problems are considered against the background of organisational performance, employee engagement and long-term sustainability. The report also evaluates modern HR practices that have been embraced to deal with these challenges and critically discusses how departmental managers can ensure that they are effective in supporting the organisational resilience and strategic goals of BT (Boselie and Van der Heijden, 2024).</w:t>
      </w:r>
    </w:p>
    <w:p w14:paraId="66E1FBD8" w14:textId="77777777" w:rsidR="00865660" w:rsidRDefault="00865660" w:rsidP="00F07799">
      <w:pPr>
        <w:pStyle w:val="Heading1"/>
      </w:pPr>
      <w:bookmarkStart w:id="1" w:name="_Toc237268391"/>
      <w:r>
        <w:t>2. Explanation of Key Factors</w:t>
      </w:r>
      <w:bookmarkEnd w:id="1"/>
      <w:r>
        <w:t xml:space="preserve"> </w:t>
      </w:r>
    </w:p>
    <w:p w14:paraId="06878D00" w14:textId="77777777" w:rsidR="00865660" w:rsidRDefault="00865660" w:rsidP="00F07799">
      <w:pPr>
        <w:pStyle w:val="Heading2"/>
      </w:pPr>
      <w:bookmarkStart w:id="2" w:name="_Toc237268392"/>
      <w:r>
        <w:t>Adapting to Technological Advancements</w:t>
      </w:r>
      <w:bookmarkEnd w:id="2"/>
    </w:p>
    <w:p w14:paraId="2DD32AAB" w14:textId="17330B82" w:rsidR="00507035" w:rsidRDefault="37CDD62C" w:rsidP="7BFE5AD0">
      <w:r>
        <w:t>Advanced</w:t>
      </w:r>
      <w:r w:rsidR="00507035">
        <w:t xml:space="preserve"> technolog</w:t>
      </w:r>
      <w:r w:rsidR="342E2E06">
        <w:t>y</w:t>
      </w:r>
      <w:r w:rsidR="00507035">
        <w:t xml:space="preserve"> has altered the way BT does business</w:t>
      </w:r>
      <w:r w:rsidR="00C52BB9">
        <w:t>,</w:t>
      </w:r>
      <w:r w:rsidR="00507035">
        <w:t xml:space="preserve"> necessitating constant workforce reskilling, digital capability and increased organisational agility. With BT growing artificial intelligence, cloud computing and online customer services, employees need to develop new skills and adjust to new work roles. The lack of matching </w:t>
      </w:r>
      <w:r w:rsidR="00C52BB9">
        <w:t>the workforce with technological innovation lowers productivity, adds cost,</w:t>
      </w:r>
      <w:r w:rsidR="00507035">
        <w:t xml:space="preserve"> and diminishes organisational competitiveness. Sharma (2023) posits that organisations that do not invest in digital workforce development have less adaptable employees and slow innovation. This problem does not just end with technology</w:t>
      </w:r>
      <w:r w:rsidR="00C52BB9">
        <w:t xml:space="preserve">, as employees tend to resist change when there is a </w:t>
      </w:r>
      <w:r w:rsidR="00507035">
        <w:t xml:space="preserve">lack of training, communication and managerial support. </w:t>
      </w:r>
    </w:p>
    <w:p w14:paraId="45CE965E" w14:textId="556AEF10" w:rsidR="00507035" w:rsidRDefault="00507035" w:rsidP="00403A26">
      <w:pPr>
        <w:ind w:firstLine="720"/>
      </w:pPr>
      <w:r>
        <w:t xml:space="preserve">Therefore, technological change is a strategic opportunity and a major human resource challenge that will need proactive workforce planning and sustained learning. The Resource-Based View of Barney (1991) clarifies that sustainable competitive advantage relies on the existence of valuable organisational resources, especially knowledge and skills of workers. </w:t>
      </w:r>
      <w:r w:rsidR="00DE1909">
        <w:t>However</w:t>
      </w:r>
      <w:r>
        <w:t xml:space="preserve">, the over-reliance on automation and under-development of employees could decrease interest and cause uncertainty about further promotion. This is why Holbeche (2022) </w:t>
      </w:r>
      <w:r w:rsidR="00403A26">
        <w:t>explained</w:t>
      </w:r>
      <w:r>
        <w:t xml:space="preserve"> that technology must not be used to substitute strategic human resource management since organisational performance relies on the capability of employees as much as on organisational adaptability.</w:t>
      </w:r>
    </w:p>
    <w:p w14:paraId="1ED88E66" w14:textId="77777777" w:rsidR="009434B7" w:rsidRDefault="009434B7" w:rsidP="009434B7">
      <w:pPr>
        <w:keepNext/>
        <w:jc w:val="center"/>
      </w:pPr>
      <w:r>
        <w:rPr>
          <w:noProof/>
        </w:rPr>
        <w:drawing>
          <wp:inline distT="0" distB="0" distL="0" distR="0" wp14:anchorId="7E7280E4" wp14:editId="38CEEE0B">
            <wp:extent cx="5732145" cy="4115435"/>
            <wp:effectExtent l="0" t="0" r="1905" b="0"/>
            <wp:docPr id="20005399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539964" name=""/>
                    <pic:cNvPicPr/>
                  </pic:nvPicPr>
                  <pic:blipFill>
                    <a:blip r:embed="rId7"/>
                    <a:stretch>
                      <a:fillRect/>
                    </a:stretch>
                  </pic:blipFill>
                  <pic:spPr>
                    <a:xfrm>
                      <a:off x="0" y="0"/>
                      <a:ext cx="5732145" cy="4115435"/>
                    </a:xfrm>
                    <a:prstGeom prst="rect">
                      <a:avLst/>
                    </a:prstGeom>
                  </pic:spPr>
                </pic:pic>
              </a:graphicData>
            </a:graphic>
          </wp:inline>
        </w:drawing>
      </w:r>
    </w:p>
    <w:p w14:paraId="6C9D920A" w14:textId="385B6744" w:rsidR="009434B7" w:rsidRDefault="009434B7" w:rsidP="009434B7">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 Key Factors (BT Group, 2026)</w:t>
      </w:r>
    </w:p>
    <w:p w14:paraId="216B629A" w14:textId="77777777" w:rsidR="00507035" w:rsidRDefault="00507035" w:rsidP="00CA0584">
      <w:pPr>
        <w:pStyle w:val="Heading2"/>
      </w:pPr>
      <w:bookmarkStart w:id="3" w:name="_Toc237268393"/>
      <w:r>
        <w:t>Talent Acquisition and Retention</w:t>
      </w:r>
      <w:bookmarkEnd w:id="3"/>
    </w:p>
    <w:p w14:paraId="35A73C1B" w14:textId="0BDD4693" w:rsidR="00CA0584" w:rsidRDefault="00507035" w:rsidP="00CA0584">
      <w:pPr>
        <w:ind w:firstLine="720"/>
      </w:pPr>
      <w:r>
        <w:t>The war over talent has been on the rise in the field of UK telecommunications</w:t>
      </w:r>
      <w:r w:rsidR="00C52BB9">
        <w:t>, and the acquisition and retention of talent has become a key strategic issue for</w:t>
      </w:r>
      <w:r>
        <w:t xml:space="preserve"> BT. Specialists in cybersecurity, AI, digital infrastructure and data analytics are in high demand and are highly </w:t>
      </w:r>
      <w:r w:rsidR="00C52BB9">
        <w:t>sought after in</w:t>
      </w:r>
      <w:r>
        <w:t xml:space="preserve"> the labour market. This has made it more costly to attract qualified employees and equally difficult to retain experienced employees. Kiradoo (2021) </w:t>
      </w:r>
      <w:r w:rsidR="009D5E3E">
        <w:t>suggests</w:t>
      </w:r>
      <w:r>
        <w:t xml:space="preserve"> that organisations in dynamic business environments need strategic workforce planning as labour shortages directly affect organisational productivity, innovativeness and service quality. </w:t>
      </w:r>
      <w:r w:rsidR="00CA0584">
        <w:t xml:space="preserve"> </w:t>
      </w:r>
    </w:p>
    <w:p w14:paraId="6A55D223" w14:textId="6DBD2AEC" w:rsidR="00507035" w:rsidRDefault="00507035" w:rsidP="00CA0584">
      <w:pPr>
        <w:ind w:firstLine="720"/>
      </w:pPr>
      <w:r>
        <w:t xml:space="preserve">Appelbaum et al. (2000) developed the Ability-Motivation-Opportunity (AMO) Theory that is a suitable framework to explain employee retention. </w:t>
      </w:r>
      <w:r w:rsidR="00CA0584">
        <w:t xml:space="preserve"> </w:t>
      </w:r>
      <w:r>
        <w:t xml:space="preserve">The theory suggests that organisations perform better when their workforce has the right skills, is motivated and </w:t>
      </w:r>
      <w:r w:rsidR="00C52BB9">
        <w:t xml:space="preserve">is </w:t>
      </w:r>
      <w:r>
        <w:t xml:space="preserve">given a chance to be productive. At BT, hybrid work setups, career advancement, and lifelong learning can enhance employee loyalty. However, when not managed properly, remote working can decrease organisational attachment, collaboration and managerial visibility. Williams and Shaw (2025) </w:t>
      </w:r>
      <w:r w:rsidR="009D5E3E">
        <w:t>analysed</w:t>
      </w:r>
      <w:r>
        <w:t xml:space="preserve"> that hybrid working enhances flexibility but can also lead to diminished communication quality and organisational cohesion, necessitating HR policies to balance employee wellbeing against organisational performance.</w:t>
      </w:r>
    </w:p>
    <w:p w14:paraId="796B6AB8" w14:textId="77777777" w:rsidR="00507035" w:rsidRDefault="00507035" w:rsidP="00CA0584">
      <w:pPr>
        <w:pStyle w:val="Heading2"/>
      </w:pPr>
      <w:bookmarkStart w:id="4" w:name="_Toc237268394"/>
      <w:r>
        <w:t>Diversity, Equity and Inclusion (DEI)</w:t>
      </w:r>
      <w:bookmarkEnd w:id="4"/>
    </w:p>
    <w:p w14:paraId="28EA052A" w14:textId="3A913DCC" w:rsidR="00507035" w:rsidRDefault="00507035" w:rsidP="00507035">
      <w:pPr>
        <w:ind w:firstLine="720"/>
      </w:pPr>
      <w:r>
        <w:t xml:space="preserve">Diversity, equity and inclusion have evolved into more important strategic concerns </w:t>
      </w:r>
      <w:r w:rsidR="3D040AE3">
        <w:t>because</w:t>
      </w:r>
      <w:r>
        <w:t xml:space="preserve"> inclusive workplaces enhance innovation, engagement and </w:t>
      </w:r>
      <w:r w:rsidR="00C52BB9">
        <w:t>employee reputation</w:t>
      </w:r>
      <w:r>
        <w:t xml:space="preserve">. </w:t>
      </w:r>
      <w:r w:rsidR="00675FEE">
        <w:t>However</w:t>
      </w:r>
      <w:r>
        <w:t>, BT has also been in the news recently due to controversy around shifts in its diversity goals and the exit of top HR executives. According to Coxon (2025), the incident shows that HR decisions are more likely to affect corporate reputation since stakeholders expect organisations to be loyal to inclusion and ethical leadership. Even though BT rejected that these actions were directly related</w:t>
      </w:r>
      <w:r w:rsidR="00E22ECF">
        <w:t xml:space="preserve"> to </w:t>
      </w:r>
      <w:r w:rsidR="00C52BB9">
        <w:t xml:space="preserve">the </w:t>
      </w:r>
      <w:r>
        <w:t>HR</w:t>
      </w:r>
      <w:r w:rsidR="00E22ECF">
        <w:t xml:space="preserve"> process.</w:t>
      </w:r>
    </w:p>
    <w:p w14:paraId="10A2534F" w14:textId="350DCDC9" w:rsidR="00865660" w:rsidRDefault="00507035" w:rsidP="00507035">
      <w:pPr>
        <w:ind w:firstLine="720"/>
      </w:pPr>
      <w:r>
        <w:t>According to Social Identity Theory proposed by Tajfel and Turner (1979), employees tend to be productive when they feel they belong and are treated equally by organisational groups. This point of view is especially pertinent to BT due to its diverse workforce that needs inclusive leadership and encourages psychological safety and fairness. Boock (2026) also a</w:t>
      </w:r>
      <w:r w:rsidR="008478EF">
        <w:t>nalysed</w:t>
      </w:r>
      <w:r>
        <w:t xml:space="preserve"> that cultural intelligence enhances belonging in the hybrid working environment of BT through enhancing cooperation between diverse groups of employees. </w:t>
      </w:r>
      <w:r w:rsidR="00CA0584">
        <w:t>However</w:t>
      </w:r>
      <w:r>
        <w:t xml:space="preserve">, unstable DEI activities can lower trust, employee engagement and employer appeal, and eventually </w:t>
      </w:r>
      <w:r w:rsidR="00381C76">
        <w:t>compromise</w:t>
      </w:r>
      <w:r>
        <w:t xml:space="preserve"> organisational sustainability even with wider technological and business investments (BT Group, 2026).</w:t>
      </w:r>
      <w:r w:rsidR="00AD010D">
        <w:t>because</w:t>
      </w:r>
      <w:r w:rsidR="00381C76">
        <w:t xml:space="preserve"> they may </w:t>
      </w:r>
      <w:r w:rsidR="00AD010D">
        <w:t>appear symbolic rather than genuinely embedded in organisational decisions</w:t>
      </w:r>
      <w:r w:rsidR="00381C76">
        <w:t>.</w:t>
      </w:r>
    </w:p>
    <w:p w14:paraId="3E62C1A9" w14:textId="77777777" w:rsidR="00865660" w:rsidRDefault="00865660" w:rsidP="00510DAD">
      <w:pPr>
        <w:pStyle w:val="Heading1"/>
      </w:pPr>
      <w:bookmarkStart w:id="5" w:name="_Toc237268395"/>
      <w:r>
        <w:t>3. Evaluation of Contemporary HR Practices</w:t>
      </w:r>
      <w:bookmarkEnd w:id="5"/>
    </w:p>
    <w:p w14:paraId="6DAC4091" w14:textId="77777777" w:rsidR="00865660" w:rsidRDefault="00865660" w:rsidP="00510DAD">
      <w:pPr>
        <w:pStyle w:val="Heading2"/>
      </w:pPr>
      <w:bookmarkStart w:id="6" w:name="_Toc237268396"/>
      <w:r>
        <w:t>Digital HR Systems and Workforce Analytics</w:t>
      </w:r>
      <w:bookmarkEnd w:id="6"/>
    </w:p>
    <w:p w14:paraId="10887BD9" w14:textId="6D935725" w:rsidR="00675FEE" w:rsidRDefault="00675FEE" w:rsidP="00675FEE">
      <w:pPr>
        <w:ind w:firstLine="720"/>
      </w:pPr>
      <w:r>
        <w:t xml:space="preserve">To better adapt to technological change, BT should embrace digital HR systems underpinned </w:t>
      </w:r>
      <w:r w:rsidR="00C52BB9">
        <w:t>by</w:t>
      </w:r>
      <w:r>
        <w:t xml:space="preserve"> workforce analytics. Through these systems, HR professionals can detect skills shortages, predict future workforce needs and track employee performance through </w:t>
      </w:r>
      <w:r w:rsidR="00C52BB9">
        <w:t>real-time</w:t>
      </w:r>
      <w:r>
        <w:t xml:space="preserve"> data. Okon et al. (2024) claim that data-driven HR enhances </w:t>
      </w:r>
      <w:r w:rsidR="0051534D">
        <w:t>decision-making</w:t>
      </w:r>
      <w:r>
        <w:t xml:space="preserve"> since organisations </w:t>
      </w:r>
      <w:r w:rsidR="5B9ADA0A">
        <w:t>can</w:t>
      </w:r>
      <w:r>
        <w:t xml:space="preserve"> allocate resources more efficiently and predict workforce requirements. At BT, workforce analytics will be able to pinpoint employees who need to be digitally upskilled before productivity is impacted by technological changes. This saves on recruiting expenses and helps in continuity of the business. </w:t>
      </w:r>
      <w:r w:rsidR="00DE1909">
        <w:t>However</w:t>
      </w:r>
      <w:r>
        <w:t>, overdependence on analytics can raise the issue of employee privacy and algorithm bias in case the process of making decisions is not transparent.</w:t>
      </w:r>
    </w:p>
    <w:p w14:paraId="5F03E1D6" w14:textId="352B2D36" w:rsidR="00675FEE" w:rsidRDefault="00675FEE" w:rsidP="00675FEE">
      <w:pPr>
        <w:ind w:firstLine="720"/>
      </w:pPr>
      <w:r>
        <w:t>Strategic Human Resource Management (SHRM) helps in aligning HR practices with organisational goals, as opposed to viewing HR as an administrative role (Boselie and Van der Heijden, 2024). Using this strategy will allow BT to combine the development of workforce capabilities with its digital transformation strategy. However, technology does not help to enhance performance without the ongoing development of employees and the assistance of managers.</w:t>
      </w:r>
    </w:p>
    <w:p w14:paraId="53999FC8" w14:textId="77777777" w:rsidR="00A94852" w:rsidRDefault="00A94852" w:rsidP="00A94852">
      <w:pPr>
        <w:keepNext/>
        <w:jc w:val="center"/>
      </w:pPr>
      <w:r>
        <w:rPr>
          <w:noProof/>
        </w:rPr>
        <w:drawing>
          <wp:inline distT="0" distB="0" distL="0" distR="0" wp14:anchorId="23657F97" wp14:editId="56CB73AF">
            <wp:extent cx="5732145" cy="3818890"/>
            <wp:effectExtent l="0" t="0" r="1905" b="0"/>
            <wp:docPr id="2053520366" name="Picture 1" descr="BT Group completes multi-million pound revamp of Glasgow off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T Group completes multi-million pound revamp of Glasgow offi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2145" cy="3818890"/>
                    </a:xfrm>
                    <a:prstGeom prst="rect">
                      <a:avLst/>
                    </a:prstGeom>
                    <a:noFill/>
                    <a:ln>
                      <a:noFill/>
                    </a:ln>
                  </pic:spPr>
                </pic:pic>
              </a:graphicData>
            </a:graphic>
          </wp:inline>
        </w:drawing>
      </w:r>
    </w:p>
    <w:p w14:paraId="3A72D6C2" w14:textId="18CD8E3B" w:rsidR="00A94852" w:rsidRDefault="00A94852" w:rsidP="00A94852">
      <w:pPr>
        <w:pStyle w:val="Caption"/>
        <w:jc w:val="center"/>
      </w:pPr>
      <w:r>
        <w:t xml:space="preserve">Figure </w:t>
      </w:r>
      <w:r>
        <w:fldChar w:fldCharType="begin"/>
      </w:r>
      <w:r>
        <w:instrText xml:space="preserve"> SEQ Figure \* ARABIC </w:instrText>
      </w:r>
      <w:r>
        <w:fldChar w:fldCharType="separate"/>
      </w:r>
      <w:r w:rsidR="009434B7">
        <w:rPr>
          <w:noProof/>
        </w:rPr>
        <w:t>2</w:t>
      </w:r>
      <w:r>
        <w:fldChar w:fldCharType="end"/>
      </w:r>
      <w:r>
        <w:t>: Workforce (</w:t>
      </w:r>
      <w:r w:rsidRPr="00BE0279">
        <w:t>BT Group</w:t>
      </w:r>
      <w:r>
        <w:t xml:space="preserve">, </w:t>
      </w:r>
      <w:r w:rsidRPr="00BE0279">
        <w:t>2026)</w:t>
      </w:r>
    </w:p>
    <w:p w14:paraId="32FBBCD0" w14:textId="77777777" w:rsidR="00675FEE" w:rsidRDefault="00675FEE" w:rsidP="00675FEE">
      <w:pPr>
        <w:pStyle w:val="Heading2"/>
      </w:pPr>
      <w:bookmarkStart w:id="7" w:name="_Toc237268397"/>
      <w:r>
        <w:t>Strategic Workforce Planning and Employer Branding</w:t>
      </w:r>
      <w:bookmarkEnd w:id="7"/>
    </w:p>
    <w:p w14:paraId="7E874AE1" w14:textId="0D3138BF" w:rsidR="00675FEE" w:rsidRDefault="00675FEE" w:rsidP="00675FEE">
      <w:pPr>
        <w:ind w:firstLine="720"/>
      </w:pPr>
      <w:r>
        <w:t xml:space="preserve">Strategic workforce planning will help BT to be able to forecast future skills </w:t>
      </w:r>
      <w:r w:rsidR="5B9AD8D5">
        <w:t>need</w:t>
      </w:r>
      <w:r>
        <w:t xml:space="preserve"> rather than respond to labour shortages. According to Agustian et al. (2023), proactive workforce planning enhances competitive advantage since </w:t>
      </w:r>
      <w:r w:rsidR="00C52BB9">
        <w:t>organisations</w:t>
      </w:r>
      <w:r>
        <w:t xml:space="preserve"> develop internal talent without relying heavily on external recruitment. Retention and organisational knowledge can therefore be enhanced through graduate programmes, succession planning as well as continuous professional development.</w:t>
      </w:r>
    </w:p>
    <w:p w14:paraId="27509958" w14:textId="13153DC4" w:rsidR="00675FEE" w:rsidRDefault="00675FEE" w:rsidP="00675FEE">
      <w:pPr>
        <w:ind w:firstLine="720"/>
      </w:pPr>
      <w:r>
        <w:t xml:space="preserve">Employer branding also aids the recruitment process by positioning BT as an employer with career advancement, flexible working and learning opportunities. According to Pucik et al. (2024), when an employer brand is strong, it draws a talented workforce since employees are becoming more attentive to organisational culture in addition to financial incentives. However, employer branding becomes less believable in cases when organisational practices are inconsistent with the proclaimed values. The recent public discourse of the HR decision-making in BT shows how reputational issues can affect </w:t>
      </w:r>
      <w:r w:rsidR="00C52BB9">
        <w:t>employee</w:t>
      </w:r>
      <w:r>
        <w:t xml:space="preserve"> attraction and trust when the leadership does not communicate in a consistent manner (Coxon, 2025).</w:t>
      </w:r>
    </w:p>
    <w:p w14:paraId="5A178555" w14:textId="77777777" w:rsidR="00675FEE" w:rsidRDefault="00675FEE" w:rsidP="00675FEE">
      <w:pPr>
        <w:pStyle w:val="Heading2"/>
      </w:pPr>
      <w:bookmarkStart w:id="8" w:name="_Toc237268398"/>
      <w:r>
        <w:t>Employee Engagement and Inclusive HR Practices</w:t>
      </w:r>
      <w:bookmarkEnd w:id="8"/>
    </w:p>
    <w:p w14:paraId="5362E8D7" w14:textId="4B893180" w:rsidR="00675FEE" w:rsidRDefault="00675FEE" w:rsidP="00675FEE">
      <w:pPr>
        <w:ind w:firstLine="720"/>
      </w:pPr>
      <w:r>
        <w:t xml:space="preserve">Both retention and DEI problems can be addressed through employee engagement and inclusive HR practices. Flexible working, employee wellbeing and leadership development </w:t>
      </w:r>
      <w:r w:rsidR="00C52BB9">
        <w:t>are</w:t>
      </w:r>
      <w:r>
        <w:t xml:space="preserve"> increasingly encouraged by modern HR as a way of enhancing commitment and organisational performance. According to Nagori and Lawton (2024), hybrid working improves engagement through more flexibility and work-life balance. In the case of BT, these practices can enhance employee dedication and foster teamwork within different teams. </w:t>
      </w:r>
      <w:r w:rsidR="00DE1909">
        <w:t>However</w:t>
      </w:r>
      <w:r>
        <w:t xml:space="preserve">, hybrid working can </w:t>
      </w:r>
      <w:r w:rsidR="00C52BB9">
        <w:t>also decrease team cohesion and generate unequal career provision if</w:t>
      </w:r>
      <w:r>
        <w:t xml:space="preserve"> managers cannot sustain effective communication.</w:t>
      </w:r>
    </w:p>
    <w:p w14:paraId="5B2D739B" w14:textId="03EE5AEA" w:rsidR="00675FEE" w:rsidRDefault="00675FEE" w:rsidP="00675FEE">
      <w:pPr>
        <w:ind w:firstLine="720"/>
      </w:pPr>
      <w:r>
        <w:t xml:space="preserve">Inclusive leadership development and recruitment enhance organisational performance by creating equal opportunities </w:t>
      </w:r>
      <w:r w:rsidR="00C52BB9">
        <w:t>for</w:t>
      </w:r>
      <w:r>
        <w:t xml:space="preserve"> employment and career advancement. Biron et al. (2020) put forward that workforces of various types can result in better innovation since different approaches can contribute to better problem-solving. The policies of BT show that it has a consistent attitude towards equality and responsible employment practices (BT Group, 2026). The HR Business Partner Model by Ulrich</w:t>
      </w:r>
      <w:r w:rsidR="00473088">
        <w:t xml:space="preserve"> (1997)</w:t>
      </w:r>
      <w:r>
        <w:t xml:space="preserve"> further proposes that the role of HR should be that of a strategic partner that helps the organisation to undergo change and not just administratively. However, these practices only work when departmental managers practice consistent reinforcement of inclusion, accountability and employee trust by reinforcing everyday leadership behaviours (Ochieng, 2023).</w:t>
      </w:r>
    </w:p>
    <w:p w14:paraId="7A33D791" w14:textId="1D121E9F" w:rsidR="00865660" w:rsidRDefault="00865660" w:rsidP="00675FEE">
      <w:pPr>
        <w:pStyle w:val="Heading1"/>
      </w:pPr>
      <w:bookmarkStart w:id="9" w:name="_Toc237268399"/>
      <w:r>
        <w:t>4. Critical Evaluation of Managerial Implementation</w:t>
      </w:r>
      <w:bookmarkEnd w:id="9"/>
      <w:r>
        <w:t xml:space="preserve"> </w:t>
      </w:r>
    </w:p>
    <w:p w14:paraId="701494C7" w14:textId="10871FF2" w:rsidR="00675FEE" w:rsidRDefault="00675FEE" w:rsidP="00865660">
      <w:pPr>
        <w:ind w:firstLine="720"/>
      </w:pPr>
      <w:r>
        <w:t xml:space="preserve">The role of departmental managers is decisive in making sure that modern practice of HR is in place and not just organisational policies. To be effective, managers need to exercise accountability as leaders through incorporating HR priorities in daily decision-making. According to Holbeche (2022), HR strategies generate value only when the line managers </w:t>
      </w:r>
      <w:r w:rsidR="71B5C5E5">
        <w:t>can</w:t>
      </w:r>
      <w:r>
        <w:t xml:space="preserve"> regularly convert organisational goals into practice. Managers at BT should </w:t>
      </w:r>
      <w:r w:rsidR="00C52BB9">
        <w:t>consequently be responsible for</w:t>
      </w:r>
      <w:r>
        <w:t xml:space="preserve"> employee development, inclusion and workforce capability as well as departmental performance targets. Attaching managerial performance appraisal to people outcomes would enhance ownership and give the HR objectives the same priority as financial ones.</w:t>
      </w:r>
    </w:p>
    <w:p w14:paraId="3C2DD4A5" w14:textId="160D2921" w:rsidR="00865660" w:rsidRDefault="00865660" w:rsidP="00865660">
      <w:pPr>
        <w:ind w:firstLine="720"/>
      </w:pPr>
      <w:r>
        <w:t xml:space="preserve">Communication is also critical as employees would support organisational change in cases where its purpose and anticipated benefits are communicated effectively. Gifford (2022) indicates that open communication can </w:t>
      </w:r>
      <w:r w:rsidR="00C52BB9">
        <w:t>minimise</w:t>
      </w:r>
      <w:r>
        <w:t xml:space="preserve"> uncertainty and resistance, especially in a hybrid workplace where informal communication is minimal. BT managers </w:t>
      </w:r>
      <w:r w:rsidR="759C70A3">
        <w:t xml:space="preserve">must provide </w:t>
      </w:r>
      <w:r>
        <w:t xml:space="preserve">regular briefings to the team, promote feedback and open communication among the employees during the whole process of technological and organisational change. </w:t>
      </w:r>
      <w:r w:rsidR="6BBCB9DB">
        <w:t>Alternatively</w:t>
      </w:r>
      <w:r>
        <w:t xml:space="preserve">, resistance cannot be overcome by communication alone </w:t>
      </w:r>
      <w:r w:rsidR="00C52BB9">
        <w:t>if</w:t>
      </w:r>
      <w:r>
        <w:t xml:space="preserve"> the employees feel that they see inconsistencies between the organisational values and the leadership behaviour.</w:t>
      </w:r>
    </w:p>
    <w:p w14:paraId="45439F0C" w14:textId="598497A4" w:rsidR="00865660" w:rsidRDefault="00865660" w:rsidP="00865660">
      <w:pPr>
        <w:ind w:firstLine="720"/>
      </w:pPr>
      <w:r>
        <w:t xml:space="preserve">Managers should also come up with effective monitoring mechanisms to determine whether the HR initiatives will deliver the expected results. Employee engagement and retention rates, training completion, diversity representation and internal promotion rates are examples of workforce metrics that can be measured to demonstrate HR effectiveness. Pattanayak (2025) posits that constant performance measurement allows organisations to uncover the areas of weakness in the implementation process before it can impact long-term performance. </w:t>
      </w:r>
      <w:r w:rsidR="00675FEE">
        <w:t>However</w:t>
      </w:r>
      <w:r>
        <w:t>, managers cannot afford to use only quantitative indicators since the experience of employees, trust and organisational commitment may demand a qualitative evaluation in the form of surveys and consultation.</w:t>
      </w:r>
    </w:p>
    <w:p w14:paraId="4E3978C8" w14:textId="20AF5DAF" w:rsidR="00865660" w:rsidRDefault="00865660" w:rsidP="00865660">
      <w:pPr>
        <w:ind w:firstLine="720"/>
      </w:pPr>
      <w:r>
        <w:t xml:space="preserve">The organisational culture also dictates the extent to which HR practices are institutionalised in the business. The Organisational Culture Theory of Schein (1985) suggests that employee values are formed by the behaviour of the leadership instead of the statements. In BT, departmental managers ought to exemplify inclusive behaviour, promote teamwork and ongoing learning to strengthen the strategic goals of the organisation. Boock (2026) </w:t>
      </w:r>
      <w:r w:rsidR="00C52BB9">
        <w:t>emphasises</w:t>
      </w:r>
      <w:r>
        <w:t xml:space="preserve"> that cultural intelligence and belonging are growing more significant in the hybrid workforce at BT since inclusive leadership enhances engagement among various employees.</w:t>
      </w:r>
    </w:p>
    <w:p w14:paraId="24020266" w14:textId="22C69198" w:rsidR="002B3687" w:rsidRPr="002B3687" w:rsidRDefault="00865660" w:rsidP="002B3687">
      <w:pPr>
        <w:ind w:firstLine="720"/>
      </w:pPr>
      <w:r>
        <w:t xml:space="preserve">Regardless of these actions, implementation could be hindered by </w:t>
      </w:r>
      <w:r w:rsidR="4C900C75">
        <w:t>several</w:t>
      </w:r>
      <w:r>
        <w:t xml:space="preserve"> obstacles. The effectiveness of HR initiatives may be </w:t>
      </w:r>
      <w:r w:rsidR="00C52BB9">
        <w:t>minimised</w:t>
      </w:r>
      <w:r>
        <w:t xml:space="preserve"> by resistance to technological change, a lack of managerial capacity, resource limitations and employee uncertainty. Duvvuri (2021) asserts that organisations often fail to understand the human aspect of change, which results in reduced employee commitment. Such barriers can be overcome by managers by means of targeted leadership development, frequent consultation of the employees and systematic change management. The use of the Eight-Step Change Model by Kotter (1996) would help achieve urgency, stakeholder involvement and long-term behavioural change, which would allow BT to adopt modern HR practices more efficiently, as well as enhance organisational resilience and sustainability.</w:t>
      </w:r>
    </w:p>
    <w:p w14:paraId="49A6C77A" w14:textId="77F03343" w:rsidR="002B3687" w:rsidRDefault="002B3687" w:rsidP="002B3687">
      <w:pPr>
        <w:pStyle w:val="Caption"/>
        <w:keepNext/>
      </w:pPr>
      <w:r>
        <w:t xml:space="preserve">Table </w:t>
      </w:r>
      <w:r>
        <w:fldChar w:fldCharType="begin"/>
      </w:r>
      <w:r>
        <w:instrText xml:space="preserve"> SEQ Table \* ARABIC </w:instrText>
      </w:r>
      <w:r>
        <w:fldChar w:fldCharType="separate"/>
      </w:r>
      <w:r>
        <w:rPr>
          <w:noProof/>
        </w:rPr>
        <w:t>1</w:t>
      </w:r>
      <w:r>
        <w:fldChar w:fldCharType="end"/>
      </w:r>
      <w:r>
        <w:t xml:space="preserve">: </w:t>
      </w:r>
      <w:r w:rsidRPr="000E582F">
        <w:t>Critical Evaluation of Contemporary HR Practices at BT Group</w:t>
      </w:r>
    </w:p>
    <w:tbl>
      <w:tblPr>
        <w:tblStyle w:val="TableGrid"/>
        <w:tblW w:w="0" w:type="auto"/>
        <w:tblLook w:val="04A0" w:firstRow="1" w:lastRow="0" w:firstColumn="1" w:lastColumn="0" w:noHBand="0" w:noVBand="1"/>
      </w:tblPr>
      <w:tblGrid>
        <w:gridCol w:w="1773"/>
        <w:gridCol w:w="2118"/>
        <w:gridCol w:w="2629"/>
        <w:gridCol w:w="2497"/>
      </w:tblGrid>
      <w:tr w:rsidR="002B3687" w:rsidRPr="002B3687" w14:paraId="4138E4C8" w14:textId="77777777" w:rsidTr="002B3687">
        <w:tc>
          <w:tcPr>
            <w:tcW w:w="0" w:type="auto"/>
            <w:hideMark/>
          </w:tcPr>
          <w:p w14:paraId="7C22D22D" w14:textId="77777777" w:rsidR="002B3687" w:rsidRPr="002B3687" w:rsidRDefault="002B3687" w:rsidP="002B3687">
            <w:pPr>
              <w:rPr>
                <w:b/>
                <w:bCs/>
              </w:rPr>
            </w:pPr>
            <w:r w:rsidRPr="002B3687">
              <w:rPr>
                <w:b/>
                <w:bCs/>
              </w:rPr>
              <w:t>HR challenge</w:t>
            </w:r>
          </w:p>
        </w:tc>
        <w:tc>
          <w:tcPr>
            <w:tcW w:w="0" w:type="auto"/>
            <w:hideMark/>
          </w:tcPr>
          <w:p w14:paraId="5EE6015B" w14:textId="77777777" w:rsidR="002B3687" w:rsidRPr="002B3687" w:rsidRDefault="002B3687" w:rsidP="002B3687">
            <w:pPr>
              <w:rPr>
                <w:b/>
                <w:bCs/>
              </w:rPr>
            </w:pPr>
            <w:r w:rsidRPr="002B3687">
              <w:rPr>
                <w:b/>
                <w:bCs/>
              </w:rPr>
              <w:t>Contemporary BT/HR practice</w:t>
            </w:r>
          </w:p>
        </w:tc>
        <w:tc>
          <w:tcPr>
            <w:tcW w:w="0" w:type="auto"/>
            <w:hideMark/>
          </w:tcPr>
          <w:p w14:paraId="38CEE763" w14:textId="77777777" w:rsidR="002B3687" w:rsidRPr="002B3687" w:rsidRDefault="002B3687" w:rsidP="002B3687">
            <w:pPr>
              <w:rPr>
                <w:b/>
                <w:bCs/>
              </w:rPr>
            </w:pPr>
            <w:r w:rsidRPr="002B3687">
              <w:rPr>
                <w:b/>
                <w:bCs/>
              </w:rPr>
              <w:t>Evidence and strategic value</w:t>
            </w:r>
          </w:p>
        </w:tc>
        <w:tc>
          <w:tcPr>
            <w:tcW w:w="0" w:type="auto"/>
            <w:hideMark/>
          </w:tcPr>
          <w:p w14:paraId="748F86F2" w14:textId="77777777" w:rsidR="002B3687" w:rsidRPr="002B3687" w:rsidRDefault="002B3687" w:rsidP="002B3687">
            <w:pPr>
              <w:rPr>
                <w:b/>
                <w:bCs/>
              </w:rPr>
            </w:pPr>
            <w:r w:rsidRPr="002B3687">
              <w:rPr>
                <w:b/>
                <w:bCs/>
              </w:rPr>
              <w:t>Critical limitation</w:t>
            </w:r>
          </w:p>
        </w:tc>
      </w:tr>
      <w:tr w:rsidR="002B3687" w:rsidRPr="002B3687" w14:paraId="6ECC74CC" w14:textId="77777777" w:rsidTr="002B3687">
        <w:tc>
          <w:tcPr>
            <w:tcW w:w="0" w:type="auto"/>
            <w:hideMark/>
          </w:tcPr>
          <w:p w14:paraId="3EAD91AA" w14:textId="77777777" w:rsidR="002B3687" w:rsidRPr="002B3687" w:rsidRDefault="002B3687" w:rsidP="002B3687">
            <w:r w:rsidRPr="002B3687">
              <w:rPr>
                <w:b/>
                <w:bCs/>
              </w:rPr>
              <w:t>Technological advancement</w:t>
            </w:r>
          </w:p>
        </w:tc>
        <w:tc>
          <w:tcPr>
            <w:tcW w:w="0" w:type="auto"/>
            <w:hideMark/>
          </w:tcPr>
          <w:p w14:paraId="23BA0BC3" w14:textId="77777777" w:rsidR="002B3687" w:rsidRPr="002B3687" w:rsidRDefault="002B3687" w:rsidP="002B3687">
            <w:r w:rsidRPr="002B3687">
              <w:t>Digital HR, AI-enabled learning and workforce analytics</w:t>
            </w:r>
          </w:p>
        </w:tc>
        <w:tc>
          <w:tcPr>
            <w:tcW w:w="0" w:type="auto"/>
            <w:hideMark/>
          </w:tcPr>
          <w:p w14:paraId="33620BFC" w14:textId="77777777" w:rsidR="002B3687" w:rsidRPr="00A94852" w:rsidRDefault="002B3687" w:rsidP="00A94852">
            <w:r w:rsidRPr="00A94852">
              <w:t xml:space="preserve">BT's </w:t>
            </w:r>
            <w:r w:rsidRPr="00A94852">
              <w:rPr>
                <w:i/>
                <w:iCs/>
              </w:rPr>
              <w:t>My Campus</w:t>
            </w:r>
            <w:r w:rsidRPr="00A94852">
              <w:t xml:space="preserve"> platform was made available to 46,000+ colleagues, although only 42% actively engaged, showing considerable scale but uneven uptake (BT Group, 2024). </w:t>
            </w:r>
          </w:p>
        </w:tc>
        <w:tc>
          <w:tcPr>
            <w:tcW w:w="0" w:type="auto"/>
            <w:hideMark/>
          </w:tcPr>
          <w:p w14:paraId="53729BB6" w14:textId="77777777" w:rsidR="002B3687" w:rsidRPr="002B3687" w:rsidRDefault="002B3687" w:rsidP="002B3687">
            <w:r w:rsidRPr="002B3687">
              <w:t>Analytics can identify skills gaps and personalise development, but weak participation, data quality problems and perceived employee surveillance can undermine benefits.</w:t>
            </w:r>
          </w:p>
        </w:tc>
      </w:tr>
      <w:tr w:rsidR="002B3687" w:rsidRPr="002B3687" w14:paraId="40CEBC44" w14:textId="77777777" w:rsidTr="002B3687">
        <w:tc>
          <w:tcPr>
            <w:tcW w:w="0" w:type="auto"/>
            <w:hideMark/>
          </w:tcPr>
          <w:p w14:paraId="34A9B497" w14:textId="77777777" w:rsidR="002B3687" w:rsidRPr="002B3687" w:rsidRDefault="002B3687" w:rsidP="002B3687">
            <w:r w:rsidRPr="002B3687">
              <w:rPr>
                <w:b/>
                <w:bCs/>
              </w:rPr>
              <w:t>AI and digital skills</w:t>
            </w:r>
          </w:p>
        </w:tc>
        <w:tc>
          <w:tcPr>
            <w:tcW w:w="0" w:type="auto"/>
            <w:hideMark/>
          </w:tcPr>
          <w:p w14:paraId="6D81CFB5" w14:textId="77777777" w:rsidR="002B3687" w:rsidRPr="002B3687" w:rsidRDefault="002B3687" w:rsidP="002B3687">
            <w:r w:rsidRPr="002B3687">
              <w:t>Reskilling and role-specific AI development</w:t>
            </w:r>
          </w:p>
        </w:tc>
        <w:tc>
          <w:tcPr>
            <w:tcW w:w="0" w:type="auto"/>
            <w:hideMark/>
          </w:tcPr>
          <w:p w14:paraId="280A3E34" w14:textId="77777777" w:rsidR="002B3687" w:rsidRPr="00A94852" w:rsidRDefault="002B3687" w:rsidP="00A94852">
            <w:r w:rsidRPr="00A94852">
              <w:t xml:space="preserve">In 2026, BT Business announced tailored AI training for all 11,000 employees, ranging from AI fundamentals to role-specific learning supported by managers (BT Group, 2026a). </w:t>
            </w:r>
          </w:p>
        </w:tc>
        <w:tc>
          <w:tcPr>
            <w:tcW w:w="0" w:type="auto"/>
            <w:hideMark/>
          </w:tcPr>
          <w:p w14:paraId="2C0116A7" w14:textId="77777777" w:rsidR="002B3687" w:rsidRPr="002B3687" w:rsidRDefault="002B3687" w:rsidP="002B3687">
            <w:r w:rsidRPr="002B3687">
              <w:t>Training coverage does not prove capability. BT must measure skill application and productivity rather than course completion alone.</w:t>
            </w:r>
          </w:p>
        </w:tc>
      </w:tr>
      <w:tr w:rsidR="002B3687" w:rsidRPr="002B3687" w14:paraId="4815FB1D" w14:textId="77777777" w:rsidTr="002B3687">
        <w:tc>
          <w:tcPr>
            <w:tcW w:w="0" w:type="auto"/>
            <w:hideMark/>
          </w:tcPr>
          <w:p w14:paraId="56194E00" w14:textId="77777777" w:rsidR="002B3687" w:rsidRPr="002B3687" w:rsidRDefault="002B3687" w:rsidP="002B3687">
            <w:r w:rsidRPr="002B3687">
              <w:rPr>
                <w:b/>
                <w:bCs/>
              </w:rPr>
              <w:t>Talent acquisition</w:t>
            </w:r>
          </w:p>
        </w:tc>
        <w:tc>
          <w:tcPr>
            <w:tcW w:w="0" w:type="auto"/>
            <w:hideMark/>
          </w:tcPr>
          <w:p w14:paraId="23D232EA" w14:textId="77777777" w:rsidR="002B3687" w:rsidRPr="002B3687" w:rsidRDefault="002B3687" w:rsidP="002B3687">
            <w:r w:rsidRPr="002B3687">
              <w:t>Apprenticeships, graduate recruitment and employer branding</w:t>
            </w:r>
          </w:p>
        </w:tc>
        <w:tc>
          <w:tcPr>
            <w:tcW w:w="0" w:type="auto"/>
            <w:hideMark/>
          </w:tcPr>
          <w:p w14:paraId="51F7F779" w14:textId="77777777" w:rsidR="002B3687" w:rsidRPr="00A94852" w:rsidRDefault="002B3687" w:rsidP="00A94852">
            <w:r w:rsidRPr="00A94852">
              <w:t>BT planned to recruit 600+ apprentices and graduates for its September 2025 intake and reported recruiting more than 3,000 over the preceding five years (BT Group, 2025).</w:t>
            </w:r>
          </w:p>
        </w:tc>
        <w:tc>
          <w:tcPr>
            <w:tcW w:w="0" w:type="auto"/>
            <w:hideMark/>
          </w:tcPr>
          <w:p w14:paraId="30DDCD33" w14:textId="77777777" w:rsidR="002B3687" w:rsidRPr="002B3687" w:rsidRDefault="002B3687" w:rsidP="002B3687">
            <w:r w:rsidRPr="002B3687">
              <w:t>Early-career recruitment develops a talent pipeline but cannot immediately replace experienced specialists in scarce areas such as cybersecurity and AI.</w:t>
            </w:r>
          </w:p>
        </w:tc>
      </w:tr>
      <w:tr w:rsidR="002B3687" w:rsidRPr="002B3687" w14:paraId="5F381059" w14:textId="77777777" w:rsidTr="002B3687">
        <w:tc>
          <w:tcPr>
            <w:tcW w:w="0" w:type="auto"/>
            <w:hideMark/>
          </w:tcPr>
          <w:p w14:paraId="0E4F5C5B" w14:textId="77777777" w:rsidR="002B3687" w:rsidRPr="002B3687" w:rsidRDefault="002B3687" w:rsidP="002B3687">
            <w:r w:rsidRPr="002B3687">
              <w:rPr>
                <w:b/>
                <w:bCs/>
              </w:rPr>
              <w:t>Talent retention</w:t>
            </w:r>
          </w:p>
        </w:tc>
        <w:tc>
          <w:tcPr>
            <w:tcW w:w="0" w:type="auto"/>
            <w:hideMark/>
          </w:tcPr>
          <w:p w14:paraId="1596DA37" w14:textId="77777777" w:rsidR="002B3687" w:rsidRPr="002B3687" w:rsidRDefault="002B3687" w:rsidP="002B3687">
            <w:r w:rsidRPr="002B3687">
              <w:t>Hybrid working, learning and modern workplaces</w:t>
            </w:r>
          </w:p>
        </w:tc>
        <w:tc>
          <w:tcPr>
            <w:tcW w:w="0" w:type="auto"/>
            <w:hideMark/>
          </w:tcPr>
          <w:p w14:paraId="573E2A93" w14:textId="77777777" w:rsidR="002B3687" w:rsidRPr="00A94852" w:rsidRDefault="002B3687" w:rsidP="00A94852">
            <w:r w:rsidRPr="00A94852">
              <w:t>BT reduced its estate from more than 300 locations to around 30, investing in strategic workplaces intended to encourage collaboration and learning (BT Group, n.d.).</w:t>
            </w:r>
          </w:p>
        </w:tc>
        <w:tc>
          <w:tcPr>
            <w:tcW w:w="0" w:type="auto"/>
            <w:hideMark/>
          </w:tcPr>
          <w:p w14:paraId="06F424E5" w14:textId="77777777" w:rsidR="002B3687" w:rsidRPr="002B3687" w:rsidRDefault="002B3687" w:rsidP="002B3687">
            <w:r w:rsidRPr="002B3687">
              <w:t>Hybrid flexibility can support retention, but Williams and Shaw (2025) identify potential productivity and performance challenges, so flexibility requires effective managerial coordination.</w:t>
            </w:r>
          </w:p>
        </w:tc>
      </w:tr>
      <w:tr w:rsidR="002B3687" w:rsidRPr="002B3687" w14:paraId="014E3CA6" w14:textId="77777777" w:rsidTr="002B3687">
        <w:tc>
          <w:tcPr>
            <w:tcW w:w="0" w:type="auto"/>
            <w:hideMark/>
          </w:tcPr>
          <w:p w14:paraId="04D81827" w14:textId="77777777" w:rsidR="002B3687" w:rsidRPr="002B3687" w:rsidRDefault="002B3687" w:rsidP="002B3687">
            <w:r w:rsidRPr="002B3687">
              <w:rPr>
                <w:b/>
                <w:bCs/>
              </w:rPr>
              <w:t>DEI</w:t>
            </w:r>
          </w:p>
        </w:tc>
        <w:tc>
          <w:tcPr>
            <w:tcW w:w="0" w:type="auto"/>
            <w:hideMark/>
          </w:tcPr>
          <w:p w14:paraId="71234045" w14:textId="77777777" w:rsidR="002B3687" w:rsidRPr="002B3687" w:rsidRDefault="002B3687" w:rsidP="002B3687">
            <w:r w:rsidRPr="002B3687">
              <w:t>Representation monitoring, pay-gap reporting and inclusive leadership</w:t>
            </w:r>
          </w:p>
        </w:tc>
        <w:tc>
          <w:tcPr>
            <w:tcW w:w="0" w:type="auto"/>
            <w:hideMark/>
          </w:tcPr>
          <w:p w14:paraId="7065886E" w14:textId="77777777" w:rsidR="002B3687" w:rsidRPr="00A94852" w:rsidRDefault="002B3687" w:rsidP="00A94852">
            <w:r w:rsidRPr="00A94852">
              <w:t xml:space="preserve">BT reports gender, ethnicity and disability representation and voluntarily reports ethnicity and disability pay information. Its 2025 mean gender pay gap was 5.3%, compared with 2.6% in 2024 (BT Group, 2026b). </w:t>
            </w:r>
          </w:p>
        </w:tc>
        <w:tc>
          <w:tcPr>
            <w:tcW w:w="0" w:type="auto"/>
            <w:hideMark/>
          </w:tcPr>
          <w:p w14:paraId="022FDD6C" w14:textId="77777777" w:rsidR="002B3687" w:rsidRPr="002B3687" w:rsidRDefault="002B3687" w:rsidP="002B3687">
            <w:r w:rsidRPr="002B3687">
              <w:t>Transparency creates accountability but does not itself eliminate inequality. The widening mean gender pay gap indicates that reporting must lead to recruitment, progression and leadership action.</w:t>
            </w:r>
          </w:p>
        </w:tc>
      </w:tr>
    </w:tbl>
    <w:p w14:paraId="2AC145D1" w14:textId="77777777" w:rsidR="002B3687" w:rsidRDefault="002B3687" w:rsidP="002B3687"/>
    <w:p w14:paraId="38D5D62D" w14:textId="77777777" w:rsidR="00865660" w:rsidRDefault="00865660" w:rsidP="00675FEE">
      <w:pPr>
        <w:pStyle w:val="Heading1"/>
      </w:pPr>
      <w:bookmarkStart w:id="10" w:name="_Toc237268400"/>
      <w:r>
        <w:t>5. Conclusion and Recommendations</w:t>
      </w:r>
      <w:bookmarkEnd w:id="10"/>
    </w:p>
    <w:p w14:paraId="7E864BC5" w14:textId="77777777" w:rsidR="00865660" w:rsidRDefault="00865660" w:rsidP="00675FEE">
      <w:pPr>
        <w:pStyle w:val="Heading2"/>
      </w:pPr>
      <w:bookmarkStart w:id="11" w:name="_Toc237268401"/>
      <w:r>
        <w:t>Conclusion</w:t>
      </w:r>
      <w:bookmarkEnd w:id="11"/>
    </w:p>
    <w:p w14:paraId="0115B317" w14:textId="77777777" w:rsidR="00865660" w:rsidRDefault="00865660" w:rsidP="00865660">
      <w:pPr>
        <w:ind w:firstLine="720"/>
      </w:pPr>
      <w:r>
        <w:t>BT is in a more challenging environment, in which organisational performance and sustainability are directly undermined by technological change, talent shortage and DEI requirements. Current HR practices, such as digital HR systems, strategic workforce planning and inclusive leadership, can offer effective solutions to these challenges when they are aligned to organisational strategy. Their success, however, is ultimately reliant on the departmental managers who are always able to communicate change, ensure accountability, track results and instil an organisational culture that facilitates employee involvement and constant growth.</w:t>
      </w:r>
    </w:p>
    <w:p w14:paraId="388429D6" w14:textId="77777777" w:rsidR="00865660" w:rsidRDefault="00865660" w:rsidP="00675FEE">
      <w:pPr>
        <w:pStyle w:val="Heading2"/>
      </w:pPr>
      <w:bookmarkStart w:id="12" w:name="_Toc237268402"/>
      <w:r>
        <w:t>Recommendations</w:t>
      </w:r>
      <w:bookmarkEnd w:id="12"/>
    </w:p>
    <w:p w14:paraId="6D6598CC" w14:textId="3BC55FB3" w:rsidR="005275E1" w:rsidRPr="005275E1" w:rsidRDefault="00865660" w:rsidP="00865660">
      <w:pPr>
        <w:ind w:firstLine="720"/>
      </w:pPr>
      <w:r>
        <w:t xml:space="preserve">To better equip employees with technological change, BT should reinforce digital capability by increasing continuous learning programmes that equip employees with future skills </w:t>
      </w:r>
      <w:r w:rsidR="00C52BB9">
        <w:t>deficits</w:t>
      </w:r>
      <w:r>
        <w:t xml:space="preserve"> (Sharma, 2023). To improve the retention of talent in the long term, the organisation must invest in predictive analytics and structured succession planning to </w:t>
      </w:r>
      <w:r w:rsidR="00C52BB9">
        <w:t>improve</w:t>
      </w:r>
      <w:r>
        <w:t xml:space="preserve"> workforce planning (Agustian et al., 2023). Inclusive leadership and change management training should be mandatory </w:t>
      </w:r>
      <w:r w:rsidR="00C52BB9">
        <w:t>for</w:t>
      </w:r>
      <w:r>
        <w:t xml:space="preserve"> departmental managers to be able to consistently apply DEI policies to all business units (Boock, 2026). Lastly, BT needs to implement balanced HR performance dashboards with workforce analytics and employee feedback, which allows managers to assess organisational performance and keep employees </w:t>
      </w:r>
      <w:r w:rsidR="00C52BB9">
        <w:t>trusting</w:t>
      </w:r>
      <w:r>
        <w:t>, engaged and accountable (Okon et al., 2024).</w:t>
      </w:r>
    </w:p>
    <w:p w14:paraId="1F644FAE" w14:textId="77777777" w:rsidR="008C2B34" w:rsidRDefault="008C2B34" w:rsidP="008C2B34">
      <w:pPr>
        <w:ind w:firstLine="720"/>
      </w:pPr>
    </w:p>
    <w:p w14:paraId="20E6068F" w14:textId="77777777" w:rsidR="005275E1" w:rsidRPr="008C2B34" w:rsidRDefault="005275E1" w:rsidP="008C2B34">
      <w:pPr>
        <w:ind w:firstLine="720"/>
      </w:pPr>
    </w:p>
    <w:p w14:paraId="4B983247" w14:textId="77777777" w:rsidR="00582D9E" w:rsidRDefault="00582D9E" w:rsidP="008C2B34">
      <w:pPr>
        <w:ind w:firstLine="720"/>
        <w:rPr>
          <w:lang w:val="en-US"/>
        </w:rPr>
      </w:pPr>
    </w:p>
    <w:p w14:paraId="544482E2" w14:textId="77777777" w:rsidR="00553883" w:rsidRDefault="00553883">
      <w:pPr>
        <w:rPr>
          <w:lang w:val="en-US"/>
        </w:rPr>
      </w:pPr>
    </w:p>
    <w:p w14:paraId="29CC118C" w14:textId="14C9F005" w:rsidR="00553883" w:rsidRDefault="00553883">
      <w:pPr>
        <w:spacing w:before="0" w:after="160" w:line="259" w:lineRule="auto"/>
        <w:jc w:val="left"/>
        <w:rPr>
          <w:lang w:val="en-US"/>
        </w:rPr>
      </w:pPr>
      <w:r>
        <w:rPr>
          <w:lang w:val="en-US"/>
        </w:rPr>
        <w:br w:type="page"/>
      </w:r>
    </w:p>
    <w:p w14:paraId="2209A039" w14:textId="2ADCA794" w:rsidR="00553883" w:rsidRDefault="00553883" w:rsidP="00553883">
      <w:pPr>
        <w:pStyle w:val="Heading1"/>
        <w:rPr>
          <w:lang w:val="en-US"/>
        </w:rPr>
      </w:pPr>
      <w:bookmarkStart w:id="13" w:name="_Toc237268403"/>
      <w:r>
        <w:rPr>
          <w:lang w:val="en-US"/>
        </w:rPr>
        <w:t>References</w:t>
      </w:r>
      <w:bookmarkEnd w:id="13"/>
    </w:p>
    <w:p w14:paraId="45804488" w14:textId="114B21C6" w:rsidR="00D77230" w:rsidRDefault="00D77230" w:rsidP="00C702E0">
      <w:pPr>
        <w:ind w:left="720" w:hanging="720"/>
      </w:pPr>
      <w:r w:rsidRPr="003F1138">
        <w:t xml:space="preserve">Agustian, K., Pohan, A., Zen, A., Wiwin, W., </w:t>
      </w:r>
      <w:r>
        <w:t>and</w:t>
      </w:r>
      <w:r w:rsidRPr="003F1138">
        <w:t xml:space="preserve"> Malik, A. J. (2023). Human resource management strategies in achieving competitive advantage in business administration. </w:t>
      </w:r>
      <w:r w:rsidRPr="003F1138">
        <w:rPr>
          <w:i/>
          <w:iCs/>
        </w:rPr>
        <w:t>Journal of Contemporary Administration and Management (ADMAN)</w:t>
      </w:r>
      <w:r w:rsidRPr="003F1138">
        <w:t>, </w:t>
      </w:r>
      <w:r w:rsidRPr="003F1138">
        <w:rPr>
          <w:i/>
          <w:iCs/>
        </w:rPr>
        <w:t>1</w:t>
      </w:r>
      <w:r w:rsidRPr="003F1138">
        <w:t>(2), 108-117.</w:t>
      </w:r>
    </w:p>
    <w:p w14:paraId="7964A56B" w14:textId="77777777" w:rsidR="00D62072" w:rsidRPr="00D62072" w:rsidRDefault="00D62072" w:rsidP="00D62072">
      <w:pPr>
        <w:ind w:left="720" w:hanging="720"/>
      </w:pPr>
      <w:r w:rsidRPr="00D62072">
        <w:t xml:space="preserve">Appelbaum, E., Bailey, T., Berg, P. and Kalleberg, A.L. (2000) </w:t>
      </w:r>
      <w:r w:rsidRPr="00D62072">
        <w:rPr>
          <w:i/>
          <w:iCs/>
        </w:rPr>
        <w:t>Manufacturing Advantage: Why High-Performance Work Systems Pay Off</w:t>
      </w:r>
      <w:r w:rsidRPr="00D62072">
        <w:t>. Ithaca, NY: Cornell University Press.</w:t>
      </w:r>
    </w:p>
    <w:p w14:paraId="4F2FB0F0" w14:textId="7CEF881B" w:rsidR="00D62072" w:rsidRDefault="00D62072" w:rsidP="00D62072">
      <w:pPr>
        <w:ind w:left="720" w:hanging="720"/>
      </w:pPr>
      <w:r w:rsidRPr="00D62072">
        <w:t xml:space="preserve">Barney, J. (1991) 'Firm resources and sustained competitive advantage', </w:t>
      </w:r>
      <w:r w:rsidRPr="00D62072">
        <w:rPr>
          <w:i/>
          <w:iCs/>
        </w:rPr>
        <w:t>Journal of Management</w:t>
      </w:r>
      <w:r w:rsidRPr="00D62072">
        <w:t>, 17(1), pp. 99-120.</w:t>
      </w:r>
    </w:p>
    <w:p w14:paraId="64D1E2CE" w14:textId="7D4B51C1" w:rsidR="00D77230" w:rsidRDefault="00D77230" w:rsidP="00C702E0">
      <w:pPr>
        <w:ind w:left="720" w:hanging="720"/>
      </w:pPr>
      <w:r w:rsidRPr="002521DD">
        <w:t xml:space="preserve">Biron, M., De Cieri, H., Fulmer, I., Lin, C.H.V., Mayrhofer, W., Nyfoudi, M., Sanders, K., Shipton, H. and Sun, J.M.J. </w:t>
      </w:r>
      <w:r>
        <w:t>(</w:t>
      </w:r>
      <w:r w:rsidRPr="002521DD">
        <w:t>2020</w:t>
      </w:r>
      <w:r>
        <w:t>)</w:t>
      </w:r>
      <w:r w:rsidRPr="002521DD">
        <w:t>. Structuring for innovative responses to human resource challenges: A skunk works approach. </w:t>
      </w:r>
      <w:r w:rsidRPr="002521DD">
        <w:rPr>
          <w:i/>
          <w:iCs/>
        </w:rPr>
        <w:t>Human Resource Management Review</w:t>
      </w:r>
      <w:r w:rsidRPr="002521DD">
        <w:t>, p.100768.</w:t>
      </w:r>
    </w:p>
    <w:p w14:paraId="62F6EB06" w14:textId="77777777" w:rsidR="00D77230" w:rsidRDefault="00D77230" w:rsidP="00C702E0">
      <w:pPr>
        <w:ind w:left="720" w:hanging="720"/>
      </w:pPr>
      <w:r w:rsidRPr="003F1138">
        <w:t>Boock, T. R. (2026). Cultural Intelligence (CQ) and Belonging in Hybrid Work: Navigating Inclusion and Performance at BT Group. </w:t>
      </w:r>
      <w:r w:rsidRPr="003F1138">
        <w:rPr>
          <w:i/>
          <w:iCs/>
        </w:rPr>
        <w:t>Spark: The Salford Business Journal of Innovation, Societal Sustainability and Education</w:t>
      </w:r>
      <w:r w:rsidRPr="003F1138">
        <w:t>, </w:t>
      </w:r>
      <w:r w:rsidRPr="003F1138">
        <w:rPr>
          <w:i/>
          <w:iCs/>
        </w:rPr>
        <w:t>1</w:t>
      </w:r>
      <w:r w:rsidRPr="003F1138">
        <w:t>(1).</w:t>
      </w:r>
    </w:p>
    <w:p w14:paraId="35A33E7D" w14:textId="70141B02" w:rsidR="00D77230" w:rsidRDefault="00D77230" w:rsidP="00C702E0">
      <w:pPr>
        <w:ind w:left="720" w:hanging="720"/>
      </w:pPr>
      <w:r w:rsidRPr="002521DD">
        <w:t xml:space="preserve">Boselie, P., </w:t>
      </w:r>
      <w:r>
        <w:t>and</w:t>
      </w:r>
      <w:r w:rsidRPr="002521DD">
        <w:t xml:space="preserve"> Van der Heijden, B. (2024). </w:t>
      </w:r>
      <w:r w:rsidRPr="002521DD">
        <w:rPr>
          <w:i/>
          <w:iCs/>
        </w:rPr>
        <w:t>Strategic human resource management: A balanced approach</w:t>
      </w:r>
      <w:r w:rsidRPr="002521DD">
        <w:t>. McGraw Hill.</w:t>
      </w:r>
    </w:p>
    <w:p w14:paraId="52A11E2C" w14:textId="5C886595" w:rsidR="00D77230" w:rsidRDefault="00D77230" w:rsidP="00C702E0">
      <w:pPr>
        <w:ind w:left="720" w:hanging="720"/>
      </w:pPr>
      <w:r w:rsidRPr="00C702E0">
        <w:t xml:space="preserve">BT Group (2026). </w:t>
      </w:r>
      <w:r w:rsidRPr="00C702E0">
        <w:rPr>
          <w:i/>
          <w:iCs/>
        </w:rPr>
        <w:t xml:space="preserve">Policies, positions </w:t>
      </w:r>
      <w:r>
        <w:rPr>
          <w:i/>
          <w:iCs/>
        </w:rPr>
        <w:t>and</w:t>
      </w:r>
      <w:r w:rsidRPr="00C702E0">
        <w:rPr>
          <w:i/>
          <w:iCs/>
        </w:rPr>
        <w:t xml:space="preserve"> reports - policy </w:t>
      </w:r>
      <w:r>
        <w:rPr>
          <w:i/>
          <w:iCs/>
        </w:rPr>
        <w:t>and</w:t>
      </w:r>
      <w:r w:rsidRPr="00C702E0">
        <w:rPr>
          <w:i/>
          <w:iCs/>
        </w:rPr>
        <w:t xml:space="preserve"> regulation - about BT | BT Plc</w:t>
      </w:r>
      <w:r w:rsidRPr="00C702E0">
        <w:t xml:space="preserve">. [online] </w:t>
      </w:r>
      <w:r w:rsidR="00C52BB9">
        <w:t>Twitter-Handle</w:t>
      </w:r>
      <w:r w:rsidRPr="00C702E0">
        <w:t xml:space="preserve">. Available at: </w:t>
      </w:r>
      <w:hyperlink r:id="rId9" w:history="1">
        <w:r w:rsidRPr="00764B73">
          <w:rPr>
            <w:rStyle w:val="Hyperlink"/>
          </w:rPr>
          <w:t>https://www.bt.com/about/bt/policy-and-regulation/download-centre</w:t>
        </w:r>
      </w:hyperlink>
      <w:r>
        <w:t xml:space="preserve"> </w:t>
      </w:r>
    </w:p>
    <w:p w14:paraId="0A0F52E2" w14:textId="77777777" w:rsidR="00D77230" w:rsidRDefault="00D77230" w:rsidP="00553883">
      <w:pPr>
        <w:ind w:left="720" w:hanging="720"/>
      </w:pPr>
      <w:r w:rsidRPr="00553883">
        <w:t xml:space="preserve">Coxon, P. (2025). </w:t>
      </w:r>
      <w:r w:rsidRPr="00553883">
        <w:rPr>
          <w:i/>
          <w:iCs/>
        </w:rPr>
        <w:t>BT’s HR headache reminds us of the power of the people function</w:t>
      </w:r>
      <w:r w:rsidRPr="00553883">
        <w:t xml:space="preserve">. [online] Raconteur. Available at: </w:t>
      </w:r>
      <w:hyperlink r:id="rId10" w:history="1">
        <w:r w:rsidRPr="00764B73">
          <w:rPr>
            <w:rStyle w:val="Hyperlink"/>
          </w:rPr>
          <w:t>https://www.raconteur.net/talent-culture/bts-hr-headache</w:t>
        </w:r>
      </w:hyperlink>
      <w:r>
        <w:t xml:space="preserve"> </w:t>
      </w:r>
    </w:p>
    <w:p w14:paraId="08EB53DD" w14:textId="38C73324" w:rsidR="00D77230" w:rsidRDefault="00D77230" w:rsidP="00C702E0">
      <w:pPr>
        <w:ind w:left="720" w:hanging="720"/>
      </w:pPr>
      <w:r w:rsidRPr="002521DD">
        <w:t>Duvvuri, A. (2021). Recent trends and challenges in human resources management. </w:t>
      </w:r>
      <w:r w:rsidRPr="002521DD">
        <w:rPr>
          <w:i/>
          <w:iCs/>
        </w:rPr>
        <w:t xml:space="preserve">International Journal of Innovative Research in Engineering </w:t>
      </w:r>
      <w:r>
        <w:rPr>
          <w:i/>
          <w:iCs/>
        </w:rPr>
        <w:t>and</w:t>
      </w:r>
      <w:r w:rsidRPr="002521DD">
        <w:rPr>
          <w:i/>
          <w:iCs/>
        </w:rPr>
        <w:t xml:space="preserve"> Multidisciplinary Physical Sciences</w:t>
      </w:r>
      <w:r w:rsidRPr="002521DD">
        <w:t>, </w:t>
      </w:r>
      <w:r w:rsidRPr="002521DD">
        <w:rPr>
          <w:i/>
          <w:iCs/>
        </w:rPr>
        <w:t>9</w:t>
      </w:r>
      <w:r w:rsidRPr="002521DD">
        <w:t>(5), 1-1.</w:t>
      </w:r>
    </w:p>
    <w:p w14:paraId="46FCFBC2" w14:textId="77777777" w:rsidR="00D77230" w:rsidRDefault="00D77230" w:rsidP="00C702E0">
      <w:pPr>
        <w:ind w:left="720" w:hanging="720"/>
      </w:pPr>
      <w:r w:rsidRPr="00D77230">
        <w:t>Gifford, J. (2022). Remote working: unprecedented increase and a developing research agenda. </w:t>
      </w:r>
      <w:r w:rsidRPr="00D77230">
        <w:rPr>
          <w:i/>
          <w:iCs/>
        </w:rPr>
        <w:t>Human Resource Development International</w:t>
      </w:r>
      <w:r w:rsidRPr="00D77230">
        <w:t>, </w:t>
      </w:r>
      <w:r w:rsidRPr="00D77230">
        <w:rPr>
          <w:i/>
          <w:iCs/>
        </w:rPr>
        <w:t>25</w:t>
      </w:r>
      <w:r w:rsidRPr="00D77230">
        <w:t>(2), 105-113.</w:t>
      </w:r>
    </w:p>
    <w:p w14:paraId="72531D56" w14:textId="77777777" w:rsidR="00D77230" w:rsidRDefault="00D77230" w:rsidP="00C702E0">
      <w:pPr>
        <w:ind w:left="720" w:hanging="720"/>
      </w:pPr>
      <w:r w:rsidRPr="002521DD">
        <w:t>Holbeche, L. (2022). Aligning human resources and business strategy. Routledge.</w:t>
      </w:r>
    </w:p>
    <w:p w14:paraId="7999609A" w14:textId="77777777" w:rsidR="00D77230" w:rsidRDefault="00D77230" w:rsidP="00C702E0">
      <w:pPr>
        <w:ind w:left="720" w:hanging="720"/>
      </w:pPr>
      <w:r w:rsidRPr="003F1138">
        <w:t>Kiradoo, G. (2021). Analysis of dynamics of business environment and their impact on human resource management. </w:t>
      </w:r>
      <w:r w:rsidRPr="003F1138">
        <w:rPr>
          <w:i/>
          <w:iCs/>
        </w:rPr>
        <w:t>Turkish Journal of Computer and Mathematics Education</w:t>
      </w:r>
      <w:r w:rsidRPr="003F1138">
        <w:t>, </w:t>
      </w:r>
      <w:r w:rsidRPr="003F1138">
        <w:rPr>
          <w:i/>
          <w:iCs/>
        </w:rPr>
        <w:t>12</w:t>
      </w:r>
      <w:r w:rsidRPr="003F1138">
        <w:t>(2), 2692-2697.</w:t>
      </w:r>
    </w:p>
    <w:p w14:paraId="0C1BF799" w14:textId="597FA99E" w:rsidR="00D77230" w:rsidRDefault="00D77230" w:rsidP="00C702E0">
      <w:pPr>
        <w:ind w:left="720" w:hanging="720"/>
      </w:pPr>
      <w:r w:rsidRPr="00EE6C9F">
        <w:t xml:space="preserve">Nagori, R., </w:t>
      </w:r>
      <w:r>
        <w:t>and</w:t>
      </w:r>
      <w:r w:rsidRPr="00EE6C9F">
        <w:t xml:space="preserve"> Lawton, N. R. (2024). The design of hybrid work for improved employee engagement and well-being: perspectives for HRD practice. </w:t>
      </w:r>
      <w:r w:rsidRPr="00EE6C9F">
        <w:rPr>
          <w:i/>
          <w:iCs/>
        </w:rPr>
        <w:t>International Journal of Human Resource Development: Practice, Policy and Research</w:t>
      </w:r>
      <w:r w:rsidRPr="00EE6C9F">
        <w:t>, </w:t>
      </w:r>
      <w:r w:rsidRPr="00EE6C9F">
        <w:rPr>
          <w:i/>
          <w:iCs/>
        </w:rPr>
        <w:t>8</w:t>
      </w:r>
      <w:r w:rsidRPr="00EE6C9F">
        <w:t>(2), 83-99.</w:t>
      </w:r>
    </w:p>
    <w:p w14:paraId="27F6619B" w14:textId="1A4ECAAB" w:rsidR="00D77230" w:rsidRDefault="00D77230" w:rsidP="00C702E0">
      <w:pPr>
        <w:ind w:left="720" w:hanging="720"/>
      </w:pPr>
      <w:r w:rsidRPr="003F1138">
        <w:t>Ochieng, E. M. (2023). A study of the history</w:t>
      </w:r>
      <w:r w:rsidR="00C52BB9">
        <w:t>, functions, roles,</w:t>
      </w:r>
      <w:r w:rsidRPr="003F1138">
        <w:t xml:space="preserve"> and challenges of human resources management. </w:t>
      </w:r>
      <w:r w:rsidRPr="003F1138">
        <w:rPr>
          <w:i/>
          <w:iCs/>
        </w:rPr>
        <w:t>Journal of Enterprise and Business Intelligence</w:t>
      </w:r>
      <w:r w:rsidRPr="003F1138">
        <w:t>, </w:t>
      </w:r>
      <w:r w:rsidRPr="003F1138">
        <w:rPr>
          <w:i/>
          <w:iCs/>
        </w:rPr>
        <w:t>3</w:t>
      </w:r>
      <w:r w:rsidRPr="003F1138">
        <w:t>(1), 054-064.</w:t>
      </w:r>
    </w:p>
    <w:p w14:paraId="320B338D" w14:textId="7BA79292" w:rsidR="00D77230" w:rsidRDefault="00D77230" w:rsidP="00C702E0">
      <w:pPr>
        <w:ind w:left="720" w:hanging="720"/>
      </w:pPr>
      <w:r w:rsidRPr="002521DD">
        <w:t xml:space="preserve">Okon, R. I. C. H. A. R. D., Odionu, C. S., </w:t>
      </w:r>
      <w:r>
        <w:t>and</w:t>
      </w:r>
      <w:r w:rsidRPr="002521DD">
        <w:t xml:space="preserve"> Bristol-Alagbariya, B. E. R. N. A. D. E. T. T. E. (2024). Integrating data-driven analytics into human resource management to improve decision-making and </w:t>
      </w:r>
      <w:r w:rsidR="00C52BB9">
        <w:t>organisational</w:t>
      </w:r>
      <w:r w:rsidRPr="002521DD">
        <w:t xml:space="preserve"> effectiveness. </w:t>
      </w:r>
      <w:r w:rsidRPr="002521DD">
        <w:rPr>
          <w:i/>
          <w:iCs/>
        </w:rPr>
        <w:t>Ire Journals</w:t>
      </w:r>
      <w:r w:rsidRPr="002521DD">
        <w:t>, </w:t>
      </w:r>
      <w:r w:rsidRPr="002521DD">
        <w:rPr>
          <w:i/>
          <w:iCs/>
        </w:rPr>
        <w:t>8</w:t>
      </w:r>
      <w:r w:rsidRPr="002521DD">
        <w:t>(6), 574.</w:t>
      </w:r>
    </w:p>
    <w:p w14:paraId="72C5838F" w14:textId="77777777" w:rsidR="00D77230" w:rsidRDefault="00D77230" w:rsidP="00C702E0">
      <w:pPr>
        <w:ind w:left="720" w:hanging="720"/>
      </w:pPr>
      <w:r w:rsidRPr="002521DD">
        <w:t>Pattanayak, B. (2025). </w:t>
      </w:r>
      <w:r w:rsidRPr="002521DD">
        <w:rPr>
          <w:i/>
          <w:iCs/>
        </w:rPr>
        <w:t>Human resource management</w:t>
      </w:r>
      <w:r w:rsidRPr="002521DD">
        <w:t>. PHI Learning Pvt. Ltd..</w:t>
      </w:r>
    </w:p>
    <w:p w14:paraId="1E54EEE6" w14:textId="10CDF4B0" w:rsidR="00D77230" w:rsidRDefault="00D77230" w:rsidP="00C702E0">
      <w:pPr>
        <w:ind w:left="720" w:hanging="720"/>
      </w:pPr>
      <w:r w:rsidRPr="003F1138">
        <w:t xml:space="preserve">Pucik, V., Evans, P., Bjorkman, I., </w:t>
      </w:r>
      <w:r>
        <w:t>and</w:t>
      </w:r>
      <w:r w:rsidRPr="003F1138">
        <w:t xml:space="preserve"> Morris, S. (2024). </w:t>
      </w:r>
      <w:r w:rsidRPr="003F1138">
        <w:rPr>
          <w:i/>
          <w:iCs/>
        </w:rPr>
        <w:t>The global challenge: International human resource management</w:t>
      </w:r>
      <w:r w:rsidRPr="003F1138">
        <w:t>. Sage Publications.</w:t>
      </w:r>
    </w:p>
    <w:p w14:paraId="5CEB4695" w14:textId="3608CF49" w:rsidR="00D62072" w:rsidRDefault="00D62072" w:rsidP="00C702E0">
      <w:pPr>
        <w:ind w:left="720" w:hanging="720"/>
      </w:pPr>
      <w:r w:rsidRPr="00D62072">
        <w:t>Schein, E.H. (1985)</w:t>
      </w:r>
      <w:r w:rsidR="00C52BB9">
        <w:t>. Organisational</w:t>
      </w:r>
      <w:r w:rsidRPr="00D62072">
        <w:rPr>
          <w:i/>
          <w:iCs/>
        </w:rPr>
        <w:t xml:space="preserve"> Culture and Leadership</w:t>
      </w:r>
      <w:r w:rsidRPr="00D62072">
        <w:t>. San Francisco: Jossey-Bass.</w:t>
      </w:r>
    </w:p>
    <w:p w14:paraId="3B5DC166" w14:textId="77777777" w:rsidR="00D77230" w:rsidRDefault="00D77230" w:rsidP="00C702E0">
      <w:pPr>
        <w:ind w:left="720" w:hanging="720"/>
      </w:pPr>
      <w:r w:rsidRPr="002521DD">
        <w:t>Sharma, A. (2023). Challenges for human resource management in the era of dynamically changing technology: A quantitative investigation. </w:t>
      </w:r>
      <w:r w:rsidRPr="002521DD">
        <w:rPr>
          <w:i/>
          <w:iCs/>
        </w:rPr>
        <w:t>Psychology and Education</w:t>
      </w:r>
      <w:r w:rsidRPr="002521DD">
        <w:t>, </w:t>
      </w:r>
      <w:r w:rsidRPr="002521DD">
        <w:rPr>
          <w:i/>
          <w:iCs/>
        </w:rPr>
        <w:t>55</w:t>
      </w:r>
      <w:r w:rsidRPr="002521DD">
        <w:t>(1), 478-485.</w:t>
      </w:r>
    </w:p>
    <w:p w14:paraId="2F5B9BCF" w14:textId="77777777" w:rsidR="00D62072" w:rsidRPr="00D62072" w:rsidRDefault="00D62072" w:rsidP="00D62072">
      <w:pPr>
        <w:ind w:left="720" w:hanging="720"/>
      </w:pPr>
      <w:r w:rsidRPr="00D62072">
        <w:t xml:space="preserve">Tajfel, H. and Turner, J.C. (1979) 'An integrative theory of intergroup conflict', in Austin, W.G. and Worchel, S. (eds.) </w:t>
      </w:r>
      <w:r w:rsidRPr="00D62072">
        <w:rPr>
          <w:i/>
          <w:iCs/>
        </w:rPr>
        <w:t>The Social Psychology of Intergroup Relations</w:t>
      </w:r>
      <w:r w:rsidRPr="00D62072">
        <w:t>. Monterey, CA: Brooks/Cole, pp. 33-47.</w:t>
      </w:r>
    </w:p>
    <w:p w14:paraId="52277787" w14:textId="317FC94B" w:rsidR="00D62072" w:rsidRDefault="00D62072" w:rsidP="00D62072">
      <w:pPr>
        <w:ind w:left="720" w:hanging="720"/>
      </w:pPr>
      <w:r w:rsidRPr="00D62072">
        <w:t xml:space="preserve">Ulrich, D. (1997) </w:t>
      </w:r>
      <w:r w:rsidRPr="00D62072">
        <w:rPr>
          <w:i/>
          <w:iCs/>
        </w:rPr>
        <w:t>Human Resource Champions: The Next Agenda for Adding Value and Delivering Results</w:t>
      </w:r>
      <w:r w:rsidRPr="00D62072">
        <w:t>. Boston: Harvard Business School Press.</w:t>
      </w:r>
    </w:p>
    <w:p w14:paraId="760594EB" w14:textId="0E278422" w:rsidR="00D77230" w:rsidRDefault="00D77230" w:rsidP="00C702E0">
      <w:pPr>
        <w:ind w:left="720" w:hanging="720"/>
      </w:pPr>
      <w:r w:rsidRPr="00D77230">
        <w:t xml:space="preserve">Williams, S., </w:t>
      </w:r>
      <w:r>
        <w:t>and</w:t>
      </w:r>
      <w:r w:rsidRPr="00D77230">
        <w:t xml:space="preserve"> Shaw, N. (2025). Hybrid working–benefits and challenges for productivity and performance. </w:t>
      </w:r>
      <w:r w:rsidRPr="00D77230">
        <w:rPr>
          <w:i/>
          <w:iCs/>
        </w:rPr>
        <w:t>International Journal of Productivity and Performance Management</w:t>
      </w:r>
      <w:r w:rsidRPr="00D77230">
        <w:t>, </w:t>
      </w:r>
      <w:r w:rsidRPr="00D77230">
        <w:rPr>
          <w:i/>
          <w:iCs/>
        </w:rPr>
        <w:t>74</w:t>
      </w:r>
      <w:r w:rsidRPr="00D77230">
        <w:t>(1), 163-179.</w:t>
      </w:r>
    </w:p>
    <w:p w14:paraId="2276E94B" w14:textId="77777777" w:rsidR="002521DD" w:rsidRPr="00C702E0" w:rsidRDefault="002521DD" w:rsidP="00C702E0">
      <w:pPr>
        <w:ind w:left="720" w:hanging="720"/>
      </w:pPr>
    </w:p>
    <w:p w14:paraId="0AB1340C" w14:textId="77777777" w:rsidR="00553883" w:rsidRPr="00553883" w:rsidRDefault="00553883" w:rsidP="00553883">
      <w:pPr>
        <w:ind w:left="720" w:hanging="720"/>
      </w:pPr>
    </w:p>
    <w:p w14:paraId="4E63D928" w14:textId="77777777" w:rsidR="00553883" w:rsidRPr="00553883" w:rsidRDefault="00553883" w:rsidP="00553883">
      <w:pPr>
        <w:rPr>
          <w:lang w:val="en-US"/>
        </w:rPr>
      </w:pPr>
    </w:p>
    <w:sectPr w:rsidR="00553883" w:rsidRPr="00553883" w:rsidSect="00012700">
      <w:headerReference w:type="default" r:id="rId11"/>
      <w:pgSz w:w="11907" w:h="16840"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AA2CE86" w14:textId="77777777" w:rsidR="00E268CE" w:rsidRDefault="00E268CE" w:rsidP="00607663">
      <w:pPr>
        <w:spacing w:before="0" w:after="0" w:line="240" w:lineRule="auto"/>
      </w:pPr>
      <w:r>
        <w:separator/>
      </w:r>
    </w:p>
  </w:endnote>
  <w:endnote w:type="continuationSeparator" w:id="0">
    <w:p w14:paraId="09743B8D" w14:textId="77777777" w:rsidR="00E268CE" w:rsidRDefault="00E268CE" w:rsidP="0060766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5AEA6B1" w14:textId="77777777" w:rsidR="00E268CE" w:rsidRDefault="00E268CE" w:rsidP="00607663">
      <w:pPr>
        <w:spacing w:before="0" w:after="0" w:line="240" w:lineRule="auto"/>
      </w:pPr>
      <w:r>
        <w:separator/>
      </w:r>
    </w:p>
  </w:footnote>
  <w:footnote w:type="continuationSeparator" w:id="0">
    <w:p w14:paraId="04A42658" w14:textId="77777777" w:rsidR="00E268CE" w:rsidRDefault="00E268CE" w:rsidP="00607663">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color w:val="7F7F7F" w:themeColor="background1" w:themeShade="7F"/>
        <w:spacing w:val="60"/>
      </w:rPr>
      <w:id w:val="33081424"/>
      <w:docPartObj>
        <w:docPartGallery w:val="Page Numbers (Top of Page)"/>
        <w:docPartUnique/>
      </w:docPartObj>
    </w:sdtPr>
    <w:sdtEndPr>
      <w:rPr>
        <w:b/>
        <w:bCs/>
        <w:noProof/>
        <w:color w:val="auto"/>
        <w:spacing w:val="0"/>
      </w:rPr>
    </w:sdtEndPr>
    <w:sdtContent>
      <w:p w14:paraId="2FBDCF89" w14:textId="7790CCD8" w:rsidR="00607663" w:rsidRDefault="00607663">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003950A1" w:rsidRPr="003950A1">
          <w:rPr>
            <w:b/>
            <w:bCs/>
            <w:noProof/>
          </w:rPr>
          <w:t>10</w:t>
        </w:r>
        <w:r>
          <w:rPr>
            <w:b/>
            <w:bCs/>
            <w:noProof/>
          </w:rPr>
          <w:fldChar w:fldCharType="end"/>
        </w:r>
      </w:p>
    </w:sdtContent>
  </w:sdt>
  <w:p w14:paraId="35419FFE" w14:textId="77777777" w:rsidR="00607663" w:rsidRDefault="00607663">
    <w:pPr>
      <w:pStyle w:val="Header"/>
    </w:pPr>
  </w:p>
</w:hdr>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60"/>
  <w:revisionView w:inkAnnotations="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7663"/>
    <w:rsid w:val="00012700"/>
    <w:rsid w:val="000502D0"/>
    <w:rsid w:val="00086945"/>
    <w:rsid w:val="00103135"/>
    <w:rsid w:val="00135FBF"/>
    <w:rsid w:val="00192EAF"/>
    <w:rsid w:val="002521DD"/>
    <w:rsid w:val="002B3687"/>
    <w:rsid w:val="002F74B7"/>
    <w:rsid w:val="00307722"/>
    <w:rsid w:val="00371CFB"/>
    <w:rsid w:val="00381C76"/>
    <w:rsid w:val="003950A1"/>
    <w:rsid w:val="003F1138"/>
    <w:rsid w:val="00403A26"/>
    <w:rsid w:val="0046768B"/>
    <w:rsid w:val="00473088"/>
    <w:rsid w:val="004A71B3"/>
    <w:rsid w:val="004B2AB0"/>
    <w:rsid w:val="004B32D7"/>
    <w:rsid w:val="004F62C3"/>
    <w:rsid w:val="00507035"/>
    <w:rsid w:val="00510DAD"/>
    <w:rsid w:val="0051534D"/>
    <w:rsid w:val="005275E1"/>
    <w:rsid w:val="00553883"/>
    <w:rsid w:val="005629C0"/>
    <w:rsid w:val="00582D9E"/>
    <w:rsid w:val="005D7199"/>
    <w:rsid w:val="00607663"/>
    <w:rsid w:val="00622282"/>
    <w:rsid w:val="00675FEE"/>
    <w:rsid w:val="007D7C1F"/>
    <w:rsid w:val="00836CBC"/>
    <w:rsid w:val="008478EF"/>
    <w:rsid w:val="00865660"/>
    <w:rsid w:val="0089228B"/>
    <w:rsid w:val="008C2B34"/>
    <w:rsid w:val="009434B7"/>
    <w:rsid w:val="00981C32"/>
    <w:rsid w:val="009B3A60"/>
    <w:rsid w:val="009D5E3E"/>
    <w:rsid w:val="009E7116"/>
    <w:rsid w:val="00A50951"/>
    <w:rsid w:val="00A71644"/>
    <w:rsid w:val="00A73392"/>
    <w:rsid w:val="00A85AE0"/>
    <w:rsid w:val="00A903F4"/>
    <w:rsid w:val="00A94852"/>
    <w:rsid w:val="00AD010D"/>
    <w:rsid w:val="00B3272C"/>
    <w:rsid w:val="00B44DE5"/>
    <w:rsid w:val="00B95043"/>
    <w:rsid w:val="00C52BB9"/>
    <w:rsid w:val="00C702E0"/>
    <w:rsid w:val="00CA0584"/>
    <w:rsid w:val="00CC2EE7"/>
    <w:rsid w:val="00D62072"/>
    <w:rsid w:val="00D77230"/>
    <w:rsid w:val="00DA3BDF"/>
    <w:rsid w:val="00DE1909"/>
    <w:rsid w:val="00E22ECF"/>
    <w:rsid w:val="00E268CE"/>
    <w:rsid w:val="00E4744A"/>
    <w:rsid w:val="00E73152"/>
    <w:rsid w:val="00E91B27"/>
    <w:rsid w:val="00EE6C9F"/>
    <w:rsid w:val="00F07799"/>
    <w:rsid w:val="00F40C24"/>
    <w:rsid w:val="00FE6D5D"/>
    <w:rsid w:val="05195A5C"/>
    <w:rsid w:val="056F6D89"/>
    <w:rsid w:val="1DF1A996"/>
    <w:rsid w:val="230ABE3D"/>
    <w:rsid w:val="2534B6E8"/>
    <w:rsid w:val="31296861"/>
    <w:rsid w:val="342E2E06"/>
    <w:rsid w:val="37CDD62C"/>
    <w:rsid w:val="3A099288"/>
    <w:rsid w:val="3D040AE3"/>
    <w:rsid w:val="4C900C75"/>
    <w:rsid w:val="55AA7F86"/>
    <w:rsid w:val="5B9AD8D5"/>
    <w:rsid w:val="5B9ADA0A"/>
    <w:rsid w:val="5F71F689"/>
    <w:rsid w:val="6BBCB9DB"/>
    <w:rsid w:val="71B5C5E5"/>
    <w:rsid w:val="748C6FAE"/>
    <w:rsid w:val="759C70A3"/>
    <w:rsid w:val="7BFE5AD0"/>
    <w:rsid w:val="7E8D921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B738B1"/>
  <w15:chartTrackingRefBased/>
  <w15:docId w15:val="{4E788A30-A7DA-47A5-BB89-C6CFB8DED4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7663"/>
    <w:pPr>
      <w:spacing w:before="120" w:after="120" w:line="360" w:lineRule="auto"/>
      <w:jc w:val="both"/>
    </w:pPr>
    <w:rPr>
      <w:rFonts w:ascii="Arial" w:hAnsi="Arial"/>
      <w:lang w:val="en-GB"/>
    </w:rPr>
  </w:style>
  <w:style w:type="paragraph" w:styleId="Heading1">
    <w:name w:val="heading 1"/>
    <w:basedOn w:val="Normal"/>
    <w:next w:val="Normal"/>
    <w:link w:val="Heading1Char"/>
    <w:uiPriority w:val="9"/>
    <w:qFormat/>
    <w:rsid w:val="008C2B34"/>
    <w:pPr>
      <w:keepNext/>
      <w:keepLines/>
      <w:outlineLvl w:val="0"/>
    </w:pPr>
    <w:rPr>
      <w:rFonts w:eastAsiaTheme="majorEastAsia" w:cstheme="majorBidi"/>
      <w:b/>
      <w:i/>
      <w:color w:val="000000" w:themeColor="text1"/>
      <w:szCs w:val="32"/>
    </w:rPr>
  </w:style>
  <w:style w:type="paragraph" w:styleId="Heading2">
    <w:name w:val="heading 2"/>
    <w:basedOn w:val="Normal"/>
    <w:link w:val="Heading2Char"/>
    <w:uiPriority w:val="9"/>
    <w:qFormat/>
    <w:rsid w:val="008C2B34"/>
    <w:pPr>
      <w:outlineLvl w:val="1"/>
    </w:pPr>
    <w:rPr>
      <w:rFonts w:eastAsia="Times New Roman" w:cs="Times New Roman"/>
      <w:bCs/>
      <w:i/>
      <w:szCs w:val="36"/>
    </w:rPr>
  </w:style>
  <w:style w:type="paragraph" w:styleId="Heading3">
    <w:name w:val="heading 3"/>
    <w:basedOn w:val="Normal"/>
    <w:link w:val="Heading3Char"/>
    <w:uiPriority w:val="9"/>
    <w:qFormat/>
    <w:rsid w:val="00CC2EE7"/>
    <w:pPr>
      <w:outlineLvl w:val="2"/>
    </w:pPr>
    <w:rPr>
      <w:rFonts w:eastAsia="Times New Roman" w:cs="Times New Roman"/>
      <w:bCs/>
      <w:i/>
      <w:szCs w:val="27"/>
    </w:rPr>
  </w:style>
  <w:style w:type="paragraph" w:styleId="Heading4">
    <w:name w:val="heading 4"/>
    <w:basedOn w:val="Normal"/>
    <w:next w:val="Normal"/>
    <w:link w:val="Heading4Char"/>
    <w:uiPriority w:val="9"/>
    <w:semiHidden/>
    <w:unhideWhenUsed/>
    <w:qFormat/>
    <w:rsid w:val="00607663"/>
    <w:pPr>
      <w:keepNext/>
      <w:keepLines/>
      <w:spacing w:before="80" w:after="40"/>
      <w:outlineLvl w:val="3"/>
    </w:pPr>
    <w:rPr>
      <w:rFonts w:asciiTheme="minorHAnsi" w:eastAsiaTheme="majorEastAsia" w:hAnsiTheme="min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607663"/>
    <w:pPr>
      <w:keepNext/>
      <w:keepLines/>
      <w:spacing w:before="80" w:after="40"/>
      <w:outlineLvl w:val="4"/>
    </w:pPr>
    <w:rPr>
      <w:rFonts w:asciiTheme="minorHAnsi" w:eastAsiaTheme="majorEastAsia" w:hAnsiTheme="minorHAnsi" w:cstheme="majorBidi"/>
      <w:color w:val="2E74B5" w:themeColor="accent1" w:themeShade="BF"/>
    </w:rPr>
  </w:style>
  <w:style w:type="paragraph" w:styleId="Heading6">
    <w:name w:val="heading 6"/>
    <w:basedOn w:val="Normal"/>
    <w:next w:val="Normal"/>
    <w:link w:val="Heading6Char"/>
    <w:uiPriority w:val="9"/>
    <w:semiHidden/>
    <w:unhideWhenUsed/>
    <w:qFormat/>
    <w:rsid w:val="0060766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0766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07663"/>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07663"/>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2B34"/>
    <w:rPr>
      <w:rFonts w:ascii="Arial" w:eastAsiaTheme="majorEastAsia" w:hAnsi="Arial" w:cstheme="majorBidi"/>
      <w:b/>
      <w:i/>
      <w:color w:val="000000" w:themeColor="text1"/>
      <w:szCs w:val="32"/>
      <w:lang w:val="en-GB"/>
    </w:rPr>
  </w:style>
  <w:style w:type="character" w:customStyle="1" w:styleId="Heading2Char">
    <w:name w:val="Heading 2 Char"/>
    <w:basedOn w:val="DefaultParagraphFont"/>
    <w:link w:val="Heading2"/>
    <w:uiPriority w:val="9"/>
    <w:rsid w:val="008C2B34"/>
    <w:rPr>
      <w:rFonts w:ascii="Arial" w:eastAsia="Times New Roman" w:hAnsi="Arial" w:cs="Times New Roman"/>
      <w:bCs/>
      <w:i/>
      <w:szCs w:val="36"/>
      <w:lang w:val="en-GB"/>
    </w:rPr>
  </w:style>
  <w:style w:type="character" w:customStyle="1" w:styleId="Heading3Char">
    <w:name w:val="Heading 3 Char"/>
    <w:basedOn w:val="DefaultParagraphFont"/>
    <w:link w:val="Heading3"/>
    <w:uiPriority w:val="9"/>
    <w:rsid w:val="00CC2EE7"/>
    <w:rPr>
      <w:rFonts w:ascii="Times New Roman" w:eastAsia="Times New Roman" w:hAnsi="Times New Roman" w:cs="Times New Roman"/>
      <w:bCs/>
      <w:i/>
      <w:sz w:val="24"/>
      <w:szCs w:val="27"/>
    </w:rPr>
  </w:style>
  <w:style w:type="character" w:customStyle="1" w:styleId="Heading4Char">
    <w:name w:val="Heading 4 Char"/>
    <w:basedOn w:val="DefaultParagraphFont"/>
    <w:link w:val="Heading4"/>
    <w:uiPriority w:val="9"/>
    <w:semiHidden/>
    <w:rsid w:val="00607663"/>
    <w:rPr>
      <w:rFonts w:eastAsiaTheme="majorEastAsia" w:cstheme="majorBidi"/>
      <w:i/>
      <w:iCs/>
      <w:color w:val="2E74B5" w:themeColor="accent1" w:themeShade="BF"/>
      <w:sz w:val="24"/>
      <w:lang w:val="en-GB"/>
    </w:rPr>
  </w:style>
  <w:style w:type="character" w:customStyle="1" w:styleId="Heading5Char">
    <w:name w:val="Heading 5 Char"/>
    <w:basedOn w:val="DefaultParagraphFont"/>
    <w:link w:val="Heading5"/>
    <w:uiPriority w:val="9"/>
    <w:semiHidden/>
    <w:rsid w:val="00607663"/>
    <w:rPr>
      <w:rFonts w:eastAsiaTheme="majorEastAsia" w:cstheme="majorBidi"/>
      <w:color w:val="2E74B5" w:themeColor="accent1" w:themeShade="BF"/>
      <w:sz w:val="24"/>
      <w:lang w:val="en-GB"/>
    </w:rPr>
  </w:style>
  <w:style w:type="character" w:customStyle="1" w:styleId="Heading6Char">
    <w:name w:val="Heading 6 Char"/>
    <w:basedOn w:val="DefaultParagraphFont"/>
    <w:link w:val="Heading6"/>
    <w:uiPriority w:val="9"/>
    <w:semiHidden/>
    <w:rsid w:val="00607663"/>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607663"/>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607663"/>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607663"/>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607663"/>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7663"/>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607663"/>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7663"/>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60766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07663"/>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607663"/>
    <w:pPr>
      <w:ind w:left="720"/>
      <w:contextualSpacing/>
    </w:pPr>
  </w:style>
  <w:style w:type="character" w:styleId="IntenseEmphasis">
    <w:name w:val="Intense Emphasis"/>
    <w:basedOn w:val="DefaultParagraphFont"/>
    <w:uiPriority w:val="21"/>
    <w:qFormat/>
    <w:rsid w:val="00607663"/>
    <w:rPr>
      <w:i/>
      <w:iCs/>
      <w:color w:val="2E74B5" w:themeColor="accent1" w:themeShade="BF"/>
    </w:rPr>
  </w:style>
  <w:style w:type="paragraph" w:styleId="IntenseQuote">
    <w:name w:val="Intense Quote"/>
    <w:basedOn w:val="Normal"/>
    <w:next w:val="Normal"/>
    <w:link w:val="IntenseQuoteChar"/>
    <w:uiPriority w:val="30"/>
    <w:qFormat/>
    <w:rsid w:val="00607663"/>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607663"/>
    <w:rPr>
      <w:rFonts w:ascii="Times New Roman" w:hAnsi="Times New Roman"/>
      <w:i/>
      <w:iCs/>
      <w:color w:val="2E74B5" w:themeColor="accent1" w:themeShade="BF"/>
      <w:sz w:val="24"/>
      <w:lang w:val="en-GB"/>
    </w:rPr>
  </w:style>
  <w:style w:type="character" w:styleId="IntenseReference">
    <w:name w:val="Intense Reference"/>
    <w:basedOn w:val="DefaultParagraphFont"/>
    <w:uiPriority w:val="32"/>
    <w:qFormat/>
    <w:rsid w:val="00607663"/>
    <w:rPr>
      <w:b/>
      <w:bCs/>
      <w:smallCaps/>
      <w:color w:val="2E74B5" w:themeColor="accent1" w:themeShade="BF"/>
      <w:spacing w:val="5"/>
    </w:rPr>
  </w:style>
  <w:style w:type="paragraph" w:styleId="Header">
    <w:name w:val="header"/>
    <w:basedOn w:val="Normal"/>
    <w:link w:val="HeaderChar"/>
    <w:uiPriority w:val="99"/>
    <w:unhideWhenUsed/>
    <w:rsid w:val="00607663"/>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607663"/>
    <w:rPr>
      <w:rFonts w:ascii="Arial" w:hAnsi="Arial"/>
      <w:lang w:val="en-GB"/>
    </w:rPr>
  </w:style>
  <w:style w:type="paragraph" w:styleId="Footer">
    <w:name w:val="footer"/>
    <w:basedOn w:val="Normal"/>
    <w:link w:val="FooterChar"/>
    <w:uiPriority w:val="99"/>
    <w:unhideWhenUsed/>
    <w:rsid w:val="00607663"/>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607663"/>
    <w:rPr>
      <w:rFonts w:ascii="Arial" w:hAnsi="Arial"/>
      <w:lang w:val="en-GB"/>
    </w:rPr>
  </w:style>
  <w:style w:type="character" w:styleId="Hyperlink">
    <w:name w:val="Hyperlink"/>
    <w:basedOn w:val="DefaultParagraphFont"/>
    <w:uiPriority w:val="99"/>
    <w:unhideWhenUsed/>
    <w:rsid w:val="00553883"/>
    <w:rPr>
      <w:color w:val="0563C1" w:themeColor="hyperlink"/>
      <w:u w:val="single"/>
    </w:rPr>
  </w:style>
  <w:style w:type="character" w:customStyle="1" w:styleId="UnresolvedMention1">
    <w:name w:val="Unresolved Mention1"/>
    <w:basedOn w:val="DefaultParagraphFont"/>
    <w:uiPriority w:val="99"/>
    <w:semiHidden/>
    <w:unhideWhenUsed/>
    <w:rsid w:val="00553883"/>
    <w:rPr>
      <w:color w:val="605E5C"/>
      <w:shd w:val="clear" w:color="auto" w:fill="E1DFDD"/>
    </w:rPr>
  </w:style>
  <w:style w:type="paragraph" w:styleId="TOCHeading">
    <w:name w:val="TOC Heading"/>
    <w:basedOn w:val="Heading1"/>
    <w:next w:val="Normal"/>
    <w:uiPriority w:val="39"/>
    <w:unhideWhenUsed/>
    <w:qFormat/>
    <w:rsid w:val="008C2B34"/>
    <w:pPr>
      <w:spacing w:before="240" w:after="0"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8C2B34"/>
    <w:pPr>
      <w:spacing w:after="100"/>
    </w:pPr>
  </w:style>
  <w:style w:type="paragraph" w:styleId="TOC2">
    <w:name w:val="toc 2"/>
    <w:basedOn w:val="Normal"/>
    <w:next w:val="Normal"/>
    <w:autoRedefine/>
    <w:uiPriority w:val="39"/>
    <w:unhideWhenUsed/>
    <w:rsid w:val="0051534D"/>
    <w:pPr>
      <w:spacing w:after="100"/>
      <w:ind w:left="220"/>
    </w:pPr>
  </w:style>
  <w:style w:type="table" w:styleId="TableGrid">
    <w:name w:val="Table Grid"/>
    <w:basedOn w:val="TableNormal"/>
    <w:uiPriority w:val="39"/>
    <w:rsid w:val="002B36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B3687"/>
    <w:pPr>
      <w:spacing w:before="0"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raconteur.net/talent-culture/bts-hr-headache" TargetMode="External"/><Relationship Id="rId4" Type="http://schemas.openxmlformats.org/officeDocument/2006/relationships/webSettings" Target="webSettings.xml"/><Relationship Id="rId9" Type="http://schemas.openxmlformats.org/officeDocument/2006/relationships/hyperlink" Target="https://www.bt.com/about/bt/policy-and-regulation/download-cent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216BF6-AFDA-42C5-BF0F-516A372F09D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3377</Words>
  <Characters>19255</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Sekou Kone (2439873)</cp:lastModifiedBy>
  <cp:revision>2</cp:revision>
  <dcterms:created xsi:type="dcterms:W3CDTF">2026-08-16T08:57:00Z</dcterms:created>
  <dcterms:modified xsi:type="dcterms:W3CDTF">2026-08-16T08:57:00Z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3496e278-77f1-4cb4-a6eb-90df1b10c8d9</vt:lpwstr>
  </property>
</Properties>
</file>