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33798D" w14:textId="5BE11F42" w:rsidR="009853E6" w:rsidRDefault="00FE6F4E" w:rsidP="00FE6F4E">
      <w:pPr>
        <w:jc w:val="center"/>
        <w:rPr>
          <w:sz w:val="28"/>
          <w:szCs w:val="28"/>
          <w:u w:val="single"/>
        </w:rPr>
      </w:pPr>
      <w:r>
        <w:rPr>
          <w:sz w:val="28"/>
          <w:szCs w:val="28"/>
          <w:u w:val="single"/>
        </w:rPr>
        <w:t>Marriage Customs in Classical Athens</w:t>
      </w:r>
    </w:p>
    <w:p w14:paraId="66790024" w14:textId="4B0744C3" w:rsidR="00FE6F4E" w:rsidRDefault="00FE6F4E" w:rsidP="00FE6F4E">
      <w:pPr>
        <w:jc w:val="center"/>
        <w:rPr>
          <w:sz w:val="28"/>
          <w:szCs w:val="28"/>
          <w:u w:val="single"/>
        </w:rPr>
      </w:pPr>
    </w:p>
    <w:p w14:paraId="6EB3F88A" w14:textId="46909305" w:rsidR="00FB3F95" w:rsidRDefault="00913288" w:rsidP="00FE6F4E">
      <w:pPr>
        <w:rPr>
          <w:sz w:val="24"/>
          <w:szCs w:val="24"/>
        </w:rPr>
      </w:pPr>
      <w:r>
        <w:rPr>
          <w:sz w:val="24"/>
          <w:szCs w:val="24"/>
        </w:rPr>
        <w:t>I</w:t>
      </w:r>
      <w:r w:rsidR="003605AC">
        <w:rPr>
          <w:sz w:val="24"/>
          <w:szCs w:val="24"/>
        </w:rPr>
        <w:t>n A</w:t>
      </w:r>
      <w:r>
        <w:rPr>
          <w:sz w:val="24"/>
          <w:szCs w:val="24"/>
        </w:rPr>
        <w:t>thens</w:t>
      </w:r>
      <w:r w:rsidR="003605AC">
        <w:rPr>
          <w:sz w:val="24"/>
          <w:szCs w:val="24"/>
        </w:rPr>
        <w:t xml:space="preserve"> during the classical period </w:t>
      </w:r>
      <w:r w:rsidR="00D03DFF">
        <w:rPr>
          <w:sz w:val="24"/>
          <w:szCs w:val="24"/>
        </w:rPr>
        <w:t>of</w:t>
      </w:r>
      <w:r w:rsidR="003605AC">
        <w:rPr>
          <w:sz w:val="24"/>
          <w:szCs w:val="24"/>
        </w:rPr>
        <w:t xml:space="preserve"> the fourth century B.C, the custom of</w:t>
      </w:r>
      <w:r>
        <w:rPr>
          <w:sz w:val="24"/>
          <w:szCs w:val="24"/>
        </w:rPr>
        <w:t xml:space="preserve"> marriage was complicated</w:t>
      </w:r>
      <w:r w:rsidR="003605AC">
        <w:rPr>
          <w:sz w:val="24"/>
          <w:szCs w:val="24"/>
        </w:rPr>
        <w:t>. S</w:t>
      </w:r>
      <w:r>
        <w:rPr>
          <w:sz w:val="24"/>
          <w:szCs w:val="24"/>
        </w:rPr>
        <w:t xml:space="preserve">ometimes </w:t>
      </w:r>
      <w:r w:rsidR="003605AC">
        <w:rPr>
          <w:sz w:val="24"/>
          <w:szCs w:val="24"/>
        </w:rPr>
        <w:t>men and women</w:t>
      </w:r>
      <w:r>
        <w:rPr>
          <w:sz w:val="24"/>
          <w:szCs w:val="24"/>
        </w:rPr>
        <w:t xml:space="preserve"> would be married for love</w:t>
      </w:r>
      <w:r w:rsidR="003605AC">
        <w:rPr>
          <w:sz w:val="24"/>
          <w:szCs w:val="24"/>
        </w:rPr>
        <w:t xml:space="preserve">, however, </w:t>
      </w:r>
      <w:r>
        <w:rPr>
          <w:sz w:val="24"/>
          <w:szCs w:val="24"/>
        </w:rPr>
        <w:t>other times</w:t>
      </w:r>
      <w:r w:rsidR="003605AC">
        <w:rPr>
          <w:sz w:val="24"/>
          <w:szCs w:val="24"/>
        </w:rPr>
        <w:t xml:space="preserve"> we see people getting married</w:t>
      </w:r>
      <w:r>
        <w:rPr>
          <w:sz w:val="24"/>
          <w:szCs w:val="24"/>
        </w:rPr>
        <w:t xml:space="preserve"> for</w:t>
      </w:r>
      <w:r w:rsidR="003605AC">
        <w:rPr>
          <w:sz w:val="24"/>
          <w:szCs w:val="24"/>
        </w:rPr>
        <w:t xml:space="preserve"> the purpose of</w:t>
      </w:r>
      <w:r>
        <w:rPr>
          <w:sz w:val="24"/>
          <w:szCs w:val="24"/>
        </w:rPr>
        <w:t xml:space="preserve"> business, </w:t>
      </w:r>
      <w:r w:rsidR="003605AC">
        <w:rPr>
          <w:sz w:val="24"/>
          <w:szCs w:val="24"/>
        </w:rPr>
        <w:t>political reasons</w:t>
      </w:r>
      <w:r>
        <w:rPr>
          <w:sz w:val="24"/>
          <w:szCs w:val="24"/>
        </w:rPr>
        <w:t xml:space="preserve"> or </w:t>
      </w:r>
      <w:r w:rsidR="003605AC">
        <w:rPr>
          <w:sz w:val="24"/>
          <w:szCs w:val="24"/>
        </w:rPr>
        <w:t>even in some cases,</w:t>
      </w:r>
      <w:r>
        <w:rPr>
          <w:sz w:val="24"/>
          <w:szCs w:val="24"/>
        </w:rPr>
        <w:t xml:space="preserve"> </w:t>
      </w:r>
      <w:r w:rsidR="00F85E43">
        <w:rPr>
          <w:sz w:val="24"/>
          <w:szCs w:val="24"/>
        </w:rPr>
        <w:t xml:space="preserve">to </w:t>
      </w:r>
      <w:r>
        <w:rPr>
          <w:sz w:val="24"/>
          <w:szCs w:val="24"/>
        </w:rPr>
        <w:t>get an extra pair of hands</w:t>
      </w:r>
      <w:r w:rsidR="003605AC">
        <w:rPr>
          <w:sz w:val="24"/>
          <w:szCs w:val="24"/>
        </w:rPr>
        <w:t xml:space="preserve"> to aid in helping in the oikos or in the agricultural fields.</w:t>
      </w:r>
    </w:p>
    <w:p w14:paraId="3FCFDDB4" w14:textId="3352DDCF" w:rsidR="001363BA" w:rsidRDefault="00913288" w:rsidP="00E87EE2">
      <w:pPr>
        <w:rPr>
          <w:sz w:val="24"/>
          <w:szCs w:val="24"/>
        </w:rPr>
      </w:pPr>
      <w:r>
        <w:rPr>
          <w:sz w:val="24"/>
          <w:szCs w:val="24"/>
        </w:rPr>
        <w:t>Women would be eligible for marriage at the time of their first period, when they were around thirteen to seventeen years old</w:t>
      </w:r>
      <w:r w:rsidR="00530E6E">
        <w:rPr>
          <w:rStyle w:val="FootnoteReference"/>
          <w:sz w:val="24"/>
          <w:szCs w:val="24"/>
        </w:rPr>
        <w:footnoteReference w:id="1"/>
      </w:r>
      <w:r>
        <w:rPr>
          <w:sz w:val="24"/>
          <w:szCs w:val="24"/>
        </w:rPr>
        <w:t xml:space="preserve">. For men it was different, a rich man would likely marry some time after he was 25 and a poor man would often marry before he was 25. This is because marriage was primarily for the production of legitimate children, so the rich man would often take other lovers such as a </w:t>
      </w:r>
      <w:r w:rsidR="00F85E43">
        <w:rPr>
          <w:sz w:val="24"/>
          <w:szCs w:val="24"/>
        </w:rPr>
        <w:t xml:space="preserve">younger boy as a pederast </w:t>
      </w:r>
      <w:r>
        <w:rPr>
          <w:sz w:val="24"/>
          <w:szCs w:val="24"/>
        </w:rPr>
        <w:t>or a concubine, however the poor man would not be able to afford such things, needing children and a wife to help with manual labour, especially if he owned a farm</w:t>
      </w:r>
      <w:r w:rsidR="001363BA">
        <w:rPr>
          <w:sz w:val="24"/>
          <w:szCs w:val="24"/>
        </w:rPr>
        <w:t>.</w:t>
      </w:r>
    </w:p>
    <w:p w14:paraId="542321C7" w14:textId="58DEF255" w:rsidR="001363BA" w:rsidRDefault="001363BA" w:rsidP="00E87EE2">
      <w:pPr>
        <w:rPr>
          <w:sz w:val="24"/>
          <w:szCs w:val="24"/>
        </w:rPr>
      </w:pPr>
      <w:r>
        <w:rPr>
          <w:sz w:val="24"/>
          <w:szCs w:val="24"/>
        </w:rPr>
        <w:t>Metics and citizens were barred from marrying one another, this is shown in Demosthenes’ Orations 59; where he states:</w:t>
      </w:r>
    </w:p>
    <w:p w14:paraId="45987A46" w14:textId="0D141B01" w:rsidR="00E87EE2" w:rsidRDefault="001363BA" w:rsidP="00E87EE2">
      <w:pPr>
        <w:rPr>
          <w:sz w:val="24"/>
          <w:szCs w:val="24"/>
        </w:rPr>
      </w:pPr>
      <w:r>
        <w:rPr>
          <w:sz w:val="24"/>
          <w:szCs w:val="24"/>
        </w:rPr>
        <w:t>“</w:t>
      </w:r>
      <w:r w:rsidR="00E87EE2" w:rsidRPr="00E87EE2">
        <w:rPr>
          <w:sz w:val="24"/>
          <w:szCs w:val="24"/>
        </w:rPr>
        <w:t>If an alien shall live as husband with an Athenian woman in any way or manner whatsoever, he may be indicted before the Thesmothetae by anyone who chooses to do so from among the Athenians having the right to bring charges</w:t>
      </w:r>
      <w:r>
        <w:rPr>
          <w:rStyle w:val="FootnoteReference"/>
          <w:sz w:val="24"/>
          <w:szCs w:val="24"/>
        </w:rPr>
        <w:footnoteReference w:id="2"/>
      </w:r>
      <w:r>
        <w:rPr>
          <w:sz w:val="24"/>
          <w:szCs w:val="24"/>
        </w:rPr>
        <w:t>”</w:t>
      </w:r>
      <w:r w:rsidR="00F85E43">
        <w:rPr>
          <w:sz w:val="24"/>
          <w:szCs w:val="24"/>
        </w:rPr>
        <w:t>.</w:t>
      </w:r>
    </w:p>
    <w:p w14:paraId="351D94DB" w14:textId="3742E558" w:rsidR="00553E87" w:rsidRDefault="00913288" w:rsidP="00FE6F4E">
      <w:pPr>
        <w:rPr>
          <w:sz w:val="24"/>
          <w:szCs w:val="24"/>
        </w:rPr>
      </w:pPr>
      <w:r>
        <w:rPr>
          <w:sz w:val="24"/>
          <w:szCs w:val="24"/>
        </w:rPr>
        <w:t>A marriage would be arranged by the guardian</w:t>
      </w:r>
      <w:r w:rsidR="00FE2C62">
        <w:rPr>
          <w:sz w:val="24"/>
          <w:szCs w:val="24"/>
        </w:rPr>
        <w:t xml:space="preserve"> </w:t>
      </w:r>
      <w:r w:rsidR="00FE2C62">
        <w:rPr>
          <w:i/>
          <w:iCs/>
          <w:sz w:val="24"/>
          <w:szCs w:val="24"/>
        </w:rPr>
        <w:t>(kyrios)</w:t>
      </w:r>
      <w:r>
        <w:rPr>
          <w:sz w:val="24"/>
          <w:szCs w:val="24"/>
        </w:rPr>
        <w:t xml:space="preserve"> of the bride, be that the father, brother or uncle</w:t>
      </w:r>
      <w:r w:rsidR="00553E87">
        <w:rPr>
          <w:rStyle w:val="FootnoteReference"/>
          <w:sz w:val="24"/>
          <w:szCs w:val="24"/>
        </w:rPr>
        <w:footnoteReference w:id="3"/>
      </w:r>
      <w:r w:rsidR="00FB3F95">
        <w:rPr>
          <w:sz w:val="24"/>
          <w:szCs w:val="24"/>
        </w:rPr>
        <w:t xml:space="preserve"> and the groom.</w:t>
      </w:r>
      <w:r w:rsidR="00530E6E">
        <w:rPr>
          <w:sz w:val="24"/>
          <w:szCs w:val="24"/>
        </w:rPr>
        <w:t xml:space="preserve"> In this the woman had very little choice, unless she had a particularly liberal guardian who may consider her feelings when making the decision of who she would marry</w:t>
      </w:r>
      <w:r w:rsidR="00530E6E">
        <w:rPr>
          <w:rStyle w:val="FootnoteReference"/>
          <w:sz w:val="24"/>
          <w:szCs w:val="24"/>
        </w:rPr>
        <w:footnoteReference w:id="4"/>
      </w:r>
      <w:r w:rsidR="00530E6E">
        <w:rPr>
          <w:sz w:val="24"/>
          <w:szCs w:val="24"/>
        </w:rPr>
        <w:t>.</w:t>
      </w:r>
      <w:r w:rsidR="00FE2C62">
        <w:rPr>
          <w:sz w:val="24"/>
          <w:szCs w:val="24"/>
        </w:rPr>
        <w:t xml:space="preserve"> When the Guardian would announce the availability of the bride the potential </w:t>
      </w:r>
      <w:r w:rsidR="00D03DFF">
        <w:rPr>
          <w:sz w:val="24"/>
          <w:szCs w:val="24"/>
        </w:rPr>
        <w:t>suitors</w:t>
      </w:r>
      <w:r w:rsidR="00FE2C62">
        <w:rPr>
          <w:sz w:val="24"/>
          <w:szCs w:val="24"/>
        </w:rPr>
        <w:t xml:space="preserve"> would often compete with </w:t>
      </w:r>
      <w:r w:rsidR="00530E6E">
        <w:rPr>
          <w:sz w:val="24"/>
          <w:szCs w:val="24"/>
        </w:rPr>
        <w:t>each other</w:t>
      </w:r>
      <w:r w:rsidR="00D03DFF">
        <w:rPr>
          <w:sz w:val="24"/>
          <w:szCs w:val="24"/>
        </w:rPr>
        <w:t xml:space="preserve"> for the woman’s hand</w:t>
      </w:r>
      <w:r w:rsidR="00FE2C62">
        <w:rPr>
          <w:sz w:val="24"/>
          <w:szCs w:val="24"/>
        </w:rPr>
        <w:t>, bringing lavish gifts, competing</w:t>
      </w:r>
      <w:r w:rsidR="00553E87">
        <w:rPr>
          <w:sz w:val="24"/>
          <w:szCs w:val="24"/>
        </w:rPr>
        <w:t xml:space="preserve"> in physical feats such as wrestling or a race and even singing or dancing.</w:t>
      </w:r>
      <w:r w:rsidR="00FB3F95">
        <w:rPr>
          <w:sz w:val="24"/>
          <w:szCs w:val="24"/>
        </w:rPr>
        <w:t xml:space="preserve"> </w:t>
      </w:r>
    </w:p>
    <w:p w14:paraId="0D1C72E5" w14:textId="1EA5492F" w:rsidR="006B1F87" w:rsidRDefault="006B1F87" w:rsidP="00FE6F4E">
      <w:pPr>
        <w:rPr>
          <w:sz w:val="24"/>
          <w:szCs w:val="24"/>
        </w:rPr>
      </w:pPr>
      <w:r>
        <w:rPr>
          <w:sz w:val="24"/>
          <w:szCs w:val="24"/>
        </w:rPr>
        <w:t>When the right suitor was found, him and the father</w:t>
      </w:r>
      <w:r w:rsidR="0062473B">
        <w:rPr>
          <w:sz w:val="24"/>
          <w:szCs w:val="24"/>
        </w:rPr>
        <w:t xml:space="preserve"> and groom</w:t>
      </w:r>
      <w:r>
        <w:rPr>
          <w:sz w:val="24"/>
          <w:szCs w:val="24"/>
        </w:rPr>
        <w:t xml:space="preserve"> would go through the process known as </w:t>
      </w:r>
      <w:r w:rsidRPr="00F85E43">
        <w:rPr>
          <w:i/>
          <w:iCs/>
          <w:sz w:val="24"/>
          <w:szCs w:val="24"/>
        </w:rPr>
        <w:t>engyesis</w:t>
      </w:r>
      <w:r w:rsidR="0062473B">
        <w:rPr>
          <w:sz w:val="24"/>
          <w:szCs w:val="24"/>
        </w:rPr>
        <w:t>, this was a series of ritualistic phrases and hand shaking. This process was seen as one of the most important phases of the marriage</w:t>
      </w:r>
      <w:r w:rsidR="003605AC">
        <w:rPr>
          <w:sz w:val="24"/>
          <w:szCs w:val="24"/>
        </w:rPr>
        <w:t xml:space="preserve"> for</w:t>
      </w:r>
      <w:r w:rsidR="00D03DFF">
        <w:rPr>
          <w:sz w:val="24"/>
          <w:szCs w:val="24"/>
        </w:rPr>
        <w:t xml:space="preserve"> purposes of</w:t>
      </w:r>
      <w:r w:rsidR="003605AC">
        <w:rPr>
          <w:sz w:val="24"/>
          <w:szCs w:val="24"/>
        </w:rPr>
        <w:t xml:space="preserve"> legitimacy.</w:t>
      </w:r>
      <w:r w:rsidR="00F85E43">
        <w:rPr>
          <w:rStyle w:val="FootnoteReference"/>
          <w:sz w:val="24"/>
          <w:szCs w:val="24"/>
        </w:rPr>
        <w:footnoteReference w:id="5"/>
      </w:r>
    </w:p>
    <w:p w14:paraId="5BE3CB31" w14:textId="4D16D4FD" w:rsidR="000C08C3" w:rsidRPr="00CC19CC" w:rsidRDefault="00553E87" w:rsidP="00FE6F4E">
      <w:pPr>
        <w:rPr>
          <w:sz w:val="24"/>
          <w:szCs w:val="24"/>
        </w:rPr>
      </w:pPr>
      <w:r>
        <w:rPr>
          <w:sz w:val="24"/>
          <w:szCs w:val="24"/>
        </w:rPr>
        <w:t>The Dowry would</w:t>
      </w:r>
      <w:r w:rsidR="00D03DFF">
        <w:rPr>
          <w:sz w:val="24"/>
          <w:szCs w:val="24"/>
        </w:rPr>
        <w:t xml:space="preserve"> then</w:t>
      </w:r>
      <w:r>
        <w:rPr>
          <w:sz w:val="24"/>
          <w:szCs w:val="24"/>
        </w:rPr>
        <w:t xml:space="preserve"> be decide</w:t>
      </w:r>
      <w:r w:rsidR="006B1F87">
        <w:rPr>
          <w:sz w:val="24"/>
          <w:szCs w:val="24"/>
        </w:rPr>
        <w:t>d</w:t>
      </w:r>
      <w:r>
        <w:rPr>
          <w:sz w:val="24"/>
          <w:szCs w:val="24"/>
        </w:rPr>
        <w:t xml:space="preserve"> b</w:t>
      </w:r>
      <w:r w:rsidR="00FB3F95">
        <w:rPr>
          <w:sz w:val="24"/>
          <w:szCs w:val="24"/>
        </w:rPr>
        <w:t>etween the</w:t>
      </w:r>
      <w:r>
        <w:rPr>
          <w:sz w:val="24"/>
          <w:szCs w:val="24"/>
        </w:rPr>
        <w:t xml:space="preserve"> groom and</w:t>
      </w:r>
      <w:r w:rsidR="006B1F87">
        <w:rPr>
          <w:sz w:val="24"/>
          <w:szCs w:val="24"/>
        </w:rPr>
        <w:t xml:space="preserve"> the guardian</w:t>
      </w:r>
      <w:r w:rsidR="00FB3F95">
        <w:rPr>
          <w:sz w:val="24"/>
          <w:szCs w:val="24"/>
        </w:rPr>
        <w:t>, in this sense marriage was more of a business transaction; especially as the wife would never receive the dowry as it was a</w:t>
      </w:r>
      <w:r w:rsidR="006B1F87">
        <w:rPr>
          <w:sz w:val="24"/>
          <w:szCs w:val="24"/>
        </w:rPr>
        <w:t>s</w:t>
      </w:r>
      <w:r w:rsidR="00FB3F95">
        <w:rPr>
          <w:sz w:val="24"/>
          <w:szCs w:val="24"/>
        </w:rPr>
        <w:t xml:space="preserve"> sort of insurance between the </w:t>
      </w:r>
      <w:r w:rsidR="00D03DFF">
        <w:rPr>
          <w:sz w:val="24"/>
          <w:szCs w:val="24"/>
        </w:rPr>
        <w:t>new husband and the guardian</w:t>
      </w:r>
      <w:r w:rsidR="00FB3F95">
        <w:rPr>
          <w:sz w:val="24"/>
          <w:szCs w:val="24"/>
        </w:rPr>
        <w:t xml:space="preserve">. </w:t>
      </w:r>
      <w:r w:rsidR="00530E6E">
        <w:rPr>
          <w:sz w:val="24"/>
          <w:szCs w:val="24"/>
        </w:rPr>
        <w:t xml:space="preserve">If the family was a wealthy one the dowry could have been up to twenty five percent of the wealth of the </w:t>
      </w:r>
      <w:r w:rsidR="00530E6E">
        <w:rPr>
          <w:i/>
          <w:iCs/>
          <w:sz w:val="24"/>
          <w:szCs w:val="24"/>
        </w:rPr>
        <w:t>oikos</w:t>
      </w:r>
      <w:r w:rsidR="00CC19CC">
        <w:rPr>
          <w:rStyle w:val="FootnoteReference"/>
          <w:i/>
          <w:iCs/>
          <w:sz w:val="24"/>
          <w:szCs w:val="24"/>
        </w:rPr>
        <w:footnoteReference w:id="6"/>
      </w:r>
      <w:r w:rsidR="00530E6E">
        <w:rPr>
          <w:sz w:val="24"/>
          <w:szCs w:val="24"/>
        </w:rPr>
        <w:t>. However</w:t>
      </w:r>
      <w:r w:rsidR="00D03DFF">
        <w:rPr>
          <w:sz w:val="24"/>
          <w:szCs w:val="24"/>
        </w:rPr>
        <w:t>,</w:t>
      </w:r>
      <w:r w:rsidR="00530E6E">
        <w:rPr>
          <w:sz w:val="24"/>
          <w:szCs w:val="24"/>
        </w:rPr>
        <w:t xml:space="preserve"> if the</w:t>
      </w:r>
      <w:r w:rsidR="00CC19CC">
        <w:rPr>
          <w:sz w:val="24"/>
          <w:szCs w:val="24"/>
        </w:rPr>
        <w:t xml:space="preserve"> </w:t>
      </w:r>
      <w:r w:rsidR="00CC19CC">
        <w:rPr>
          <w:i/>
          <w:iCs/>
          <w:sz w:val="24"/>
          <w:szCs w:val="24"/>
        </w:rPr>
        <w:t xml:space="preserve">oikos </w:t>
      </w:r>
      <w:r w:rsidR="00CC19CC">
        <w:rPr>
          <w:sz w:val="24"/>
          <w:szCs w:val="24"/>
        </w:rPr>
        <w:t>was less wealthy the dowry would</w:t>
      </w:r>
      <w:r w:rsidR="00D03DFF">
        <w:rPr>
          <w:sz w:val="24"/>
          <w:szCs w:val="24"/>
        </w:rPr>
        <w:t xml:space="preserve"> have</w:t>
      </w:r>
      <w:r w:rsidR="00CC19CC">
        <w:rPr>
          <w:sz w:val="24"/>
          <w:szCs w:val="24"/>
        </w:rPr>
        <w:t xml:space="preserve"> proportionally be</w:t>
      </w:r>
      <w:r w:rsidR="00D03DFF">
        <w:rPr>
          <w:sz w:val="24"/>
          <w:szCs w:val="24"/>
        </w:rPr>
        <w:t>en</w:t>
      </w:r>
      <w:r w:rsidR="00CC19CC">
        <w:rPr>
          <w:sz w:val="24"/>
          <w:szCs w:val="24"/>
        </w:rPr>
        <w:t xml:space="preserve"> far less.</w:t>
      </w:r>
      <w:r w:rsidR="00BF5637">
        <w:rPr>
          <w:sz w:val="24"/>
          <w:szCs w:val="24"/>
        </w:rPr>
        <w:t xml:space="preserve"> In very rare cases a dowry would be disregarded completely, </w:t>
      </w:r>
      <w:r w:rsidR="00BF5637">
        <w:rPr>
          <w:sz w:val="24"/>
          <w:szCs w:val="24"/>
        </w:rPr>
        <w:lastRenderedPageBreak/>
        <w:t xml:space="preserve">this would occur when the families were so rich that a dowry would not concern them, such as the case of Callias and </w:t>
      </w:r>
      <w:r w:rsidR="00BF5637" w:rsidRPr="00BF5637">
        <w:rPr>
          <w:sz w:val="24"/>
          <w:szCs w:val="24"/>
        </w:rPr>
        <w:t>Elpinice</w:t>
      </w:r>
      <w:r w:rsidR="00206CBC">
        <w:rPr>
          <w:sz w:val="24"/>
          <w:szCs w:val="24"/>
        </w:rPr>
        <w:t xml:space="preserve">, where </w:t>
      </w:r>
      <w:r w:rsidR="00206CBC" w:rsidRPr="00206CBC">
        <w:rPr>
          <w:sz w:val="24"/>
          <w:szCs w:val="24"/>
        </w:rPr>
        <w:t>Elpinice</w:t>
      </w:r>
      <w:r w:rsidR="00206CBC">
        <w:rPr>
          <w:sz w:val="24"/>
          <w:szCs w:val="24"/>
        </w:rPr>
        <w:t>’s family was so wealthy that he did was not concerned by the lack of a dowry</w:t>
      </w:r>
      <w:r w:rsidR="00206CBC">
        <w:rPr>
          <w:rStyle w:val="FootnoteReference"/>
          <w:sz w:val="24"/>
          <w:szCs w:val="24"/>
        </w:rPr>
        <w:footnoteReference w:id="7"/>
      </w:r>
      <w:r w:rsidR="00206CBC">
        <w:rPr>
          <w:sz w:val="24"/>
          <w:szCs w:val="24"/>
        </w:rPr>
        <w:t>.</w:t>
      </w:r>
    </w:p>
    <w:p w14:paraId="51257DFA" w14:textId="2B7CC1E9" w:rsidR="00423B6B" w:rsidRDefault="00BE6509" w:rsidP="00FE6F4E">
      <w:pPr>
        <w:rPr>
          <w:sz w:val="24"/>
          <w:szCs w:val="24"/>
        </w:rPr>
      </w:pPr>
      <w:r>
        <w:rPr>
          <w:sz w:val="24"/>
          <w:szCs w:val="24"/>
        </w:rPr>
        <w:t xml:space="preserve">Marriage was also a religious affair, the God of marriage was called </w:t>
      </w:r>
      <w:r w:rsidRPr="00BE6509">
        <w:rPr>
          <w:sz w:val="24"/>
          <w:szCs w:val="24"/>
        </w:rPr>
        <w:t>Hymenaios</w:t>
      </w:r>
      <w:r>
        <w:rPr>
          <w:sz w:val="24"/>
          <w:szCs w:val="24"/>
        </w:rPr>
        <w:t xml:space="preserve">, his name </w:t>
      </w:r>
      <w:r w:rsidR="00936C9F">
        <w:rPr>
          <w:sz w:val="24"/>
          <w:szCs w:val="24"/>
        </w:rPr>
        <w:t xml:space="preserve">originates from </w:t>
      </w:r>
      <w:r w:rsidR="00936C9F" w:rsidRPr="00936C9F">
        <w:rPr>
          <w:i/>
          <w:iCs/>
          <w:sz w:val="24"/>
          <w:szCs w:val="24"/>
        </w:rPr>
        <w:t>hyménaios</w:t>
      </w:r>
      <w:r w:rsidR="00936C9F">
        <w:rPr>
          <w:i/>
          <w:iCs/>
          <w:sz w:val="24"/>
          <w:szCs w:val="24"/>
        </w:rPr>
        <w:t xml:space="preserve">, </w:t>
      </w:r>
      <w:r w:rsidR="00936C9F">
        <w:rPr>
          <w:sz w:val="24"/>
          <w:szCs w:val="24"/>
        </w:rPr>
        <w:t>the word for wedding hymn. This highlights the connection</w:t>
      </w:r>
      <w:r w:rsidR="00257A52">
        <w:rPr>
          <w:sz w:val="24"/>
          <w:szCs w:val="24"/>
        </w:rPr>
        <w:t xml:space="preserve"> the Athenians had with the sanctity of marriage and the Gods. It also shows the importance of orthopraxy as these hymns were religious in nature and were essential to the marriage process. An example of when these hymns would be </w:t>
      </w:r>
      <w:r w:rsidR="00E87EE2">
        <w:rPr>
          <w:sz w:val="24"/>
          <w:szCs w:val="24"/>
        </w:rPr>
        <w:t>su</w:t>
      </w:r>
      <w:r w:rsidR="00257A52">
        <w:rPr>
          <w:sz w:val="24"/>
          <w:szCs w:val="24"/>
        </w:rPr>
        <w:t>ng is during the process of consummation the friends and family of the couple would be outside of the bed chamber singing to the couple inside.</w:t>
      </w:r>
      <w:r w:rsidR="00257A52">
        <w:rPr>
          <w:rStyle w:val="FootnoteReference"/>
          <w:sz w:val="24"/>
          <w:szCs w:val="24"/>
        </w:rPr>
        <w:footnoteReference w:id="8"/>
      </w:r>
    </w:p>
    <w:p w14:paraId="729560D5" w14:textId="411D308C" w:rsidR="00E87EE2" w:rsidRPr="00936C9F" w:rsidRDefault="00E87EE2" w:rsidP="00FE6F4E">
      <w:pPr>
        <w:rPr>
          <w:sz w:val="24"/>
          <w:szCs w:val="24"/>
        </w:rPr>
      </w:pPr>
      <w:r>
        <w:rPr>
          <w:sz w:val="24"/>
          <w:szCs w:val="24"/>
        </w:rPr>
        <w:t>To highlight one of the few rights that women possessed in the marriage, the wife in the marriage had the ability to legitimise any children that the husband had sired with any of his concubines. This would allow any of these children to be legal heirs and inheritors</w:t>
      </w:r>
      <w:r>
        <w:rPr>
          <w:rStyle w:val="FootnoteReference"/>
          <w:sz w:val="24"/>
          <w:szCs w:val="24"/>
        </w:rPr>
        <w:footnoteReference w:id="9"/>
      </w:r>
      <w:r>
        <w:rPr>
          <w:sz w:val="24"/>
          <w:szCs w:val="24"/>
        </w:rPr>
        <w:t xml:space="preserve">. </w:t>
      </w:r>
    </w:p>
    <w:p w14:paraId="275DD5EC" w14:textId="68B778D4" w:rsidR="004D1B7F" w:rsidRDefault="00A048CB" w:rsidP="00FE6F4E">
      <w:pPr>
        <w:rPr>
          <w:sz w:val="24"/>
          <w:szCs w:val="24"/>
        </w:rPr>
      </w:pPr>
      <w:r>
        <w:rPr>
          <w:sz w:val="24"/>
          <w:szCs w:val="24"/>
        </w:rPr>
        <w:t xml:space="preserve">In </w:t>
      </w:r>
      <w:r w:rsidR="004D1B7F">
        <w:rPr>
          <w:sz w:val="24"/>
          <w:szCs w:val="24"/>
        </w:rPr>
        <w:t xml:space="preserve">classical </w:t>
      </w:r>
      <w:r>
        <w:rPr>
          <w:sz w:val="24"/>
          <w:szCs w:val="24"/>
        </w:rPr>
        <w:t>Athens</w:t>
      </w:r>
      <w:r w:rsidR="004D1B7F">
        <w:rPr>
          <w:sz w:val="24"/>
          <w:szCs w:val="24"/>
        </w:rPr>
        <w:t xml:space="preserve"> the process of</w:t>
      </w:r>
      <w:r>
        <w:rPr>
          <w:sz w:val="24"/>
          <w:szCs w:val="24"/>
        </w:rPr>
        <w:t xml:space="preserve"> </w:t>
      </w:r>
      <w:r w:rsidR="001A25BD">
        <w:rPr>
          <w:sz w:val="24"/>
          <w:szCs w:val="24"/>
        </w:rPr>
        <w:t xml:space="preserve">divorce was easy, either the </w:t>
      </w:r>
      <w:r w:rsidR="004D1B7F">
        <w:rPr>
          <w:sz w:val="24"/>
          <w:szCs w:val="24"/>
        </w:rPr>
        <w:t>husband</w:t>
      </w:r>
      <w:r w:rsidR="001A25BD">
        <w:rPr>
          <w:sz w:val="24"/>
          <w:szCs w:val="24"/>
        </w:rPr>
        <w:t xml:space="preserve"> or </w:t>
      </w:r>
      <w:r w:rsidR="004D1B7F">
        <w:rPr>
          <w:sz w:val="24"/>
          <w:szCs w:val="24"/>
        </w:rPr>
        <w:t>the wife</w:t>
      </w:r>
      <w:r w:rsidR="001A25BD">
        <w:rPr>
          <w:sz w:val="24"/>
          <w:szCs w:val="24"/>
        </w:rPr>
        <w:t xml:space="preserve"> could initiate the </w:t>
      </w:r>
      <w:r w:rsidR="004D1B7F">
        <w:rPr>
          <w:sz w:val="24"/>
          <w:szCs w:val="24"/>
        </w:rPr>
        <w:t xml:space="preserve">process of </w:t>
      </w:r>
      <w:r w:rsidR="001A25BD">
        <w:rPr>
          <w:sz w:val="24"/>
          <w:szCs w:val="24"/>
        </w:rPr>
        <w:t>divorce</w:t>
      </w:r>
      <w:r w:rsidR="004D1B7F">
        <w:rPr>
          <w:sz w:val="24"/>
          <w:szCs w:val="24"/>
        </w:rPr>
        <w:t>.</w:t>
      </w:r>
      <w:r w:rsidR="001A25BD">
        <w:rPr>
          <w:sz w:val="24"/>
          <w:szCs w:val="24"/>
        </w:rPr>
        <w:t xml:space="preserve"> </w:t>
      </w:r>
      <w:r w:rsidR="004D1B7F">
        <w:rPr>
          <w:sz w:val="24"/>
          <w:szCs w:val="24"/>
        </w:rPr>
        <w:t>H</w:t>
      </w:r>
      <w:r w:rsidR="001A25BD">
        <w:rPr>
          <w:sz w:val="24"/>
          <w:szCs w:val="24"/>
        </w:rPr>
        <w:t>owever</w:t>
      </w:r>
      <w:r w:rsidR="004D1B7F">
        <w:rPr>
          <w:sz w:val="24"/>
          <w:szCs w:val="24"/>
        </w:rPr>
        <w:t>,</w:t>
      </w:r>
      <w:r w:rsidR="001A25BD">
        <w:rPr>
          <w:sz w:val="24"/>
          <w:szCs w:val="24"/>
        </w:rPr>
        <w:t xml:space="preserve"> </w:t>
      </w:r>
      <w:r w:rsidR="004D1B7F">
        <w:rPr>
          <w:sz w:val="24"/>
          <w:szCs w:val="24"/>
        </w:rPr>
        <w:t xml:space="preserve">the divorce process </w:t>
      </w:r>
      <w:r w:rsidR="001A25BD">
        <w:rPr>
          <w:sz w:val="24"/>
          <w:szCs w:val="24"/>
        </w:rPr>
        <w:t xml:space="preserve">was far easier for the </w:t>
      </w:r>
      <w:r w:rsidR="004D1B7F">
        <w:rPr>
          <w:sz w:val="24"/>
          <w:szCs w:val="24"/>
        </w:rPr>
        <w:t xml:space="preserve">husband to initiate that is was the wife. </w:t>
      </w:r>
    </w:p>
    <w:p w14:paraId="4A227605" w14:textId="75E6455C" w:rsidR="00A048CB" w:rsidRDefault="00A048CB" w:rsidP="00FE1947">
      <w:pPr>
        <w:jc w:val="center"/>
        <w:rPr>
          <w:sz w:val="24"/>
          <w:szCs w:val="24"/>
        </w:rPr>
      </w:pPr>
      <w:r>
        <w:rPr>
          <w:sz w:val="24"/>
          <w:szCs w:val="24"/>
        </w:rPr>
        <w:t>“</w:t>
      </w:r>
      <w:r w:rsidR="00FE1947">
        <w:rPr>
          <w:sz w:val="24"/>
          <w:szCs w:val="24"/>
        </w:rPr>
        <w:t>A</w:t>
      </w:r>
      <w:r>
        <w:rPr>
          <w:sz w:val="24"/>
          <w:szCs w:val="24"/>
        </w:rPr>
        <w:t xml:space="preserve"> rare certainty in our knowledge is the ease with which a husband could terminate marriage. He had only to send his wife away, that is, back to her paternal family, and the marriage was at an end”.</w:t>
      </w:r>
      <w:r>
        <w:rPr>
          <w:rStyle w:val="FootnoteReference"/>
          <w:sz w:val="24"/>
          <w:szCs w:val="24"/>
        </w:rPr>
        <w:footnoteReference w:id="10"/>
      </w:r>
    </w:p>
    <w:p w14:paraId="6F168EDF" w14:textId="1E100337" w:rsidR="00FE1947" w:rsidRDefault="00FE1947" w:rsidP="00FE6F4E">
      <w:pPr>
        <w:rPr>
          <w:sz w:val="24"/>
          <w:szCs w:val="24"/>
        </w:rPr>
      </w:pPr>
      <w:r w:rsidRPr="004D1B7F">
        <w:rPr>
          <w:sz w:val="24"/>
          <w:szCs w:val="24"/>
        </w:rPr>
        <w:t>Cohn-Haft</w:t>
      </w:r>
      <w:r>
        <w:rPr>
          <w:sz w:val="24"/>
          <w:szCs w:val="24"/>
        </w:rPr>
        <w:t xml:space="preserve"> argues that the initiation of the divorce procedure was as simple as the husband dismissing his wife back to her paternal family.</w:t>
      </w:r>
      <w:r>
        <w:rPr>
          <w:sz w:val="24"/>
          <w:szCs w:val="24"/>
        </w:rPr>
        <w:t xml:space="preserve"> </w:t>
      </w:r>
      <w:r w:rsidRPr="004D1B7F">
        <w:rPr>
          <w:sz w:val="24"/>
          <w:szCs w:val="24"/>
        </w:rPr>
        <w:t>Cohn-Haf</w:t>
      </w:r>
      <w:r>
        <w:rPr>
          <w:sz w:val="24"/>
          <w:szCs w:val="24"/>
        </w:rPr>
        <w:t>t then goes on to argue the idea that divorce in classical Athens was “Frequent, even casual”</w:t>
      </w:r>
      <w:r>
        <w:rPr>
          <w:rStyle w:val="FootnoteReference"/>
          <w:sz w:val="24"/>
          <w:szCs w:val="24"/>
        </w:rPr>
        <w:footnoteReference w:id="11"/>
      </w:r>
    </w:p>
    <w:p w14:paraId="3E219823" w14:textId="729D0AF8" w:rsidR="00FE1947" w:rsidRDefault="00720E0D" w:rsidP="00FE6F4E">
      <w:pPr>
        <w:rPr>
          <w:sz w:val="24"/>
          <w:szCs w:val="24"/>
        </w:rPr>
      </w:pPr>
      <w:r>
        <w:rPr>
          <w:sz w:val="24"/>
          <w:szCs w:val="24"/>
        </w:rPr>
        <w:t xml:space="preserve">What was needed for the husband to initiate divorce however was not as simple for the wife. </w:t>
      </w:r>
      <w:r w:rsidR="00FE1947">
        <w:rPr>
          <w:sz w:val="24"/>
          <w:szCs w:val="24"/>
        </w:rPr>
        <w:t xml:space="preserve">For the </w:t>
      </w:r>
      <w:r>
        <w:rPr>
          <w:sz w:val="24"/>
          <w:szCs w:val="24"/>
        </w:rPr>
        <w:t xml:space="preserve">woman in the marriage to divorce her husband the process was far harder and potentially also rather expensive. The woman </w:t>
      </w:r>
      <w:r w:rsidR="00FE1947">
        <w:rPr>
          <w:sz w:val="24"/>
          <w:szCs w:val="24"/>
        </w:rPr>
        <w:t>would h</w:t>
      </w:r>
      <w:r w:rsidR="00423B6B">
        <w:rPr>
          <w:sz w:val="24"/>
          <w:szCs w:val="24"/>
        </w:rPr>
        <w:t>ave needed</w:t>
      </w:r>
      <w:r w:rsidR="00FE1947">
        <w:rPr>
          <w:sz w:val="24"/>
          <w:szCs w:val="24"/>
        </w:rPr>
        <w:t xml:space="preserve"> to appeal to the </w:t>
      </w:r>
      <w:r w:rsidR="00423B6B">
        <w:rPr>
          <w:sz w:val="24"/>
          <w:szCs w:val="24"/>
        </w:rPr>
        <w:t>a</w:t>
      </w:r>
      <w:r w:rsidR="00FE1947">
        <w:rPr>
          <w:sz w:val="24"/>
          <w:szCs w:val="24"/>
        </w:rPr>
        <w:t>rchon</w:t>
      </w:r>
      <w:r w:rsidR="00423B6B">
        <w:rPr>
          <w:sz w:val="24"/>
          <w:szCs w:val="24"/>
        </w:rPr>
        <w:t xml:space="preserve"> of Athens directly.</w:t>
      </w:r>
      <w:r w:rsidR="00FE1947">
        <w:rPr>
          <w:sz w:val="24"/>
          <w:szCs w:val="24"/>
        </w:rPr>
        <w:t xml:space="preserve"> </w:t>
      </w:r>
      <w:r w:rsidR="00423B6B">
        <w:rPr>
          <w:sz w:val="24"/>
          <w:szCs w:val="24"/>
        </w:rPr>
        <w:t>T</w:t>
      </w:r>
      <w:r w:rsidR="00FE1947">
        <w:rPr>
          <w:sz w:val="24"/>
          <w:szCs w:val="24"/>
        </w:rPr>
        <w:t>he</w:t>
      </w:r>
      <w:r w:rsidR="00423B6B">
        <w:rPr>
          <w:sz w:val="24"/>
          <w:szCs w:val="24"/>
        </w:rPr>
        <w:t xml:space="preserve"> archon was the</w:t>
      </w:r>
      <w:r w:rsidR="00FE1947">
        <w:rPr>
          <w:sz w:val="24"/>
          <w:szCs w:val="24"/>
        </w:rPr>
        <w:t xml:space="preserve"> </w:t>
      </w:r>
      <w:r>
        <w:rPr>
          <w:sz w:val="24"/>
          <w:szCs w:val="24"/>
        </w:rPr>
        <w:t>h</w:t>
      </w:r>
      <w:r w:rsidR="00FE1947">
        <w:rPr>
          <w:sz w:val="24"/>
          <w:szCs w:val="24"/>
        </w:rPr>
        <w:t xml:space="preserve">ighest political authority in </w:t>
      </w:r>
      <w:r>
        <w:rPr>
          <w:sz w:val="24"/>
          <w:szCs w:val="24"/>
        </w:rPr>
        <w:t xml:space="preserve">Athens, this </w:t>
      </w:r>
      <w:r w:rsidR="00423B6B">
        <w:rPr>
          <w:sz w:val="24"/>
          <w:szCs w:val="24"/>
        </w:rPr>
        <w:t xml:space="preserve">just further </w:t>
      </w:r>
      <w:r>
        <w:rPr>
          <w:sz w:val="24"/>
          <w:szCs w:val="24"/>
        </w:rPr>
        <w:t xml:space="preserve">highlights how </w:t>
      </w:r>
      <w:r w:rsidR="00423B6B">
        <w:rPr>
          <w:sz w:val="24"/>
          <w:szCs w:val="24"/>
        </w:rPr>
        <w:t xml:space="preserve">much more difficult a </w:t>
      </w:r>
      <w:r>
        <w:rPr>
          <w:sz w:val="24"/>
          <w:szCs w:val="24"/>
        </w:rPr>
        <w:t xml:space="preserve">life </w:t>
      </w:r>
      <w:r w:rsidR="00423B6B">
        <w:rPr>
          <w:sz w:val="24"/>
          <w:szCs w:val="24"/>
        </w:rPr>
        <w:t>of a</w:t>
      </w:r>
      <w:r>
        <w:rPr>
          <w:sz w:val="24"/>
          <w:szCs w:val="24"/>
        </w:rPr>
        <w:t xml:space="preserve"> women in </w:t>
      </w:r>
      <w:r w:rsidR="00423B6B">
        <w:rPr>
          <w:sz w:val="24"/>
          <w:szCs w:val="24"/>
        </w:rPr>
        <w:t xml:space="preserve">classical </w:t>
      </w:r>
      <w:r>
        <w:rPr>
          <w:sz w:val="24"/>
          <w:szCs w:val="24"/>
        </w:rPr>
        <w:t>Athens wa</w:t>
      </w:r>
      <w:r w:rsidR="00423B6B">
        <w:rPr>
          <w:sz w:val="24"/>
          <w:szCs w:val="24"/>
        </w:rPr>
        <w:t>s.</w:t>
      </w:r>
      <w:r>
        <w:rPr>
          <w:sz w:val="24"/>
          <w:szCs w:val="24"/>
        </w:rPr>
        <w:t xml:space="preserve"> </w:t>
      </w:r>
      <w:r w:rsidR="00423B6B">
        <w:rPr>
          <w:sz w:val="24"/>
          <w:szCs w:val="24"/>
        </w:rPr>
        <w:t>E</w:t>
      </w:r>
      <w:r>
        <w:rPr>
          <w:sz w:val="24"/>
          <w:szCs w:val="24"/>
        </w:rPr>
        <w:t>specially</w:t>
      </w:r>
      <w:r w:rsidR="00423B6B">
        <w:rPr>
          <w:sz w:val="24"/>
          <w:szCs w:val="24"/>
        </w:rPr>
        <w:t xml:space="preserve"> as</w:t>
      </w:r>
      <w:r>
        <w:rPr>
          <w:sz w:val="24"/>
          <w:szCs w:val="24"/>
        </w:rPr>
        <w:t xml:space="preserve"> in this case as the</w:t>
      </w:r>
      <w:r w:rsidR="00423B6B">
        <w:rPr>
          <w:sz w:val="24"/>
          <w:szCs w:val="24"/>
        </w:rPr>
        <w:t xml:space="preserve"> women</w:t>
      </w:r>
      <w:r>
        <w:rPr>
          <w:sz w:val="24"/>
          <w:szCs w:val="24"/>
        </w:rPr>
        <w:t xml:space="preserve"> were made to jump through bureaucratic hoops to exercise such a basic social right that men possessed</w:t>
      </w:r>
      <w:r w:rsidR="00423B6B">
        <w:rPr>
          <w:sz w:val="24"/>
          <w:szCs w:val="24"/>
        </w:rPr>
        <w:t xml:space="preserve"> and who could act on very easily comparatively</w:t>
      </w:r>
      <w:r>
        <w:rPr>
          <w:sz w:val="24"/>
          <w:szCs w:val="24"/>
        </w:rPr>
        <w:t>.</w:t>
      </w:r>
    </w:p>
    <w:p w14:paraId="7B44B624" w14:textId="02F9BBED" w:rsidR="00676A4B" w:rsidRPr="00676A4B" w:rsidRDefault="00676A4B" w:rsidP="00FE6F4E">
      <w:pPr>
        <w:rPr>
          <w:sz w:val="24"/>
          <w:szCs w:val="24"/>
        </w:rPr>
      </w:pPr>
      <w:r>
        <w:rPr>
          <w:sz w:val="24"/>
          <w:szCs w:val="24"/>
        </w:rPr>
        <w:t>A combination of modern scholarship and ancient sources reveal to us the inner workings of Classical Athenian marital life</w:t>
      </w:r>
      <w:r w:rsidR="003F14C4">
        <w:rPr>
          <w:sz w:val="24"/>
          <w:szCs w:val="24"/>
        </w:rPr>
        <w:t>, in particular the few rights wives possessed contrasted with the almost complete control Athenian men had over their wives.</w:t>
      </w:r>
    </w:p>
    <w:p w14:paraId="12989BFA" w14:textId="75ACA50C" w:rsidR="00553E87" w:rsidRPr="00553E87" w:rsidRDefault="00553E87" w:rsidP="00FE6F4E">
      <w:pPr>
        <w:rPr>
          <w:sz w:val="24"/>
          <w:szCs w:val="24"/>
          <w:u w:val="single"/>
        </w:rPr>
      </w:pPr>
      <w:r w:rsidRPr="00553E87">
        <w:rPr>
          <w:sz w:val="24"/>
          <w:szCs w:val="24"/>
          <w:u w:val="single"/>
        </w:rPr>
        <w:t>Bibliography</w:t>
      </w:r>
    </w:p>
    <w:p w14:paraId="46807A89" w14:textId="77777777" w:rsidR="00676A4B" w:rsidRPr="00676A4B" w:rsidRDefault="001363BA" w:rsidP="00FE6F4E">
      <w:pPr>
        <w:rPr>
          <w:sz w:val="24"/>
          <w:szCs w:val="24"/>
          <w:u w:val="single"/>
        </w:rPr>
      </w:pPr>
      <w:r w:rsidRPr="00676A4B">
        <w:rPr>
          <w:sz w:val="24"/>
          <w:szCs w:val="24"/>
          <w:u w:val="single"/>
        </w:rPr>
        <w:lastRenderedPageBreak/>
        <w:t>Ancient sources.</w:t>
      </w:r>
    </w:p>
    <w:p w14:paraId="09C7793E" w14:textId="1F7F98FB" w:rsidR="00FB3F95" w:rsidRPr="00F85E43" w:rsidRDefault="001363BA" w:rsidP="00FE6F4E">
      <w:pPr>
        <w:rPr>
          <w:rFonts w:cstheme="minorHAnsi"/>
          <w:sz w:val="24"/>
          <w:szCs w:val="24"/>
        </w:rPr>
      </w:pPr>
      <w:r>
        <w:rPr>
          <w:sz w:val="24"/>
          <w:szCs w:val="24"/>
        </w:rPr>
        <w:br/>
      </w:r>
      <w:r w:rsidRPr="00F85E43">
        <w:rPr>
          <w:rStyle w:val="bibliographicauthorname"/>
          <w:rFonts w:cstheme="minorHAnsi"/>
          <w:sz w:val="24"/>
          <w:szCs w:val="24"/>
        </w:rPr>
        <w:t>Demosthenes</w:t>
      </w:r>
      <w:r w:rsidRPr="00F85E43">
        <w:rPr>
          <w:rFonts w:cstheme="minorHAnsi"/>
          <w:sz w:val="24"/>
          <w:szCs w:val="24"/>
          <w:shd w:val="clear" w:color="auto" w:fill="FFFFFF"/>
        </w:rPr>
        <w:t xml:space="preserve">. </w:t>
      </w:r>
      <w:r w:rsidRPr="00F85E43">
        <w:rPr>
          <w:rFonts w:cstheme="minorHAnsi"/>
          <w:i/>
          <w:iCs/>
          <w:sz w:val="24"/>
          <w:szCs w:val="24"/>
        </w:rPr>
        <w:t>Orations, Volume VI: Orations 50-59</w:t>
      </w:r>
      <w:r w:rsidR="00676A4B" w:rsidRPr="00F85E43">
        <w:rPr>
          <w:rStyle w:val="contributorname"/>
          <w:rFonts w:cstheme="minorHAnsi"/>
          <w:sz w:val="24"/>
          <w:szCs w:val="24"/>
        </w:rPr>
        <w:t xml:space="preserve"> </w:t>
      </w:r>
      <w:r w:rsidR="00676A4B" w:rsidRPr="00F85E43">
        <w:rPr>
          <w:rStyle w:val="contributorname"/>
          <w:rFonts w:cstheme="minorHAnsi"/>
          <w:sz w:val="24"/>
          <w:szCs w:val="24"/>
        </w:rPr>
        <w:t>A. T. Murray</w:t>
      </w:r>
      <w:r w:rsidR="00676A4B" w:rsidRPr="00F85E43">
        <w:rPr>
          <w:rStyle w:val="translators"/>
          <w:rFonts w:cstheme="minorHAnsi"/>
          <w:sz w:val="24"/>
          <w:szCs w:val="24"/>
        </w:rPr>
        <w:t xml:space="preserve"> </w:t>
      </w:r>
      <w:r w:rsidR="00676A4B" w:rsidRPr="00F85E43">
        <w:rPr>
          <w:rStyle w:val="translators"/>
          <w:rFonts w:cstheme="minorHAnsi"/>
          <w:sz w:val="24"/>
          <w:szCs w:val="24"/>
        </w:rPr>
        <w:t>(Trans). 1939</w:t>
      </w:r>
      <w:r w:rsidRPr="00F85E43">
        <w:rPr>
          <w:rFonts w:cstheme="minorHAnsi"/>
          <w:sz w:val="24"/>
          <w:szCs w:val="24"/>
          <w:shd w:val="clear" w:color="auto" w:fill="FFFFFF"/>
        </w:rPr>
        <w:t xml:space="preserve"> Cambridge, MA: Harvard University Press</w:t>
      </w:r>
      <w:r w:rsidRPr="00F85E43">
        <w:rPr>
          <w:rFonts w:cstheme="minorHAnsi"/>
          <w:sz w:val="24"/>
          <w:szCs w:val="24"/>
          <w:shd w:val="clear" w:color="auto" w:fill="FFFFFF"/>
        </w:rPr>
        <w:br/>
      </w:r>
    </w:p>
    <w:p w14:paraId="395B8ACE" w14:textId="684CA485" w:rsidR="001363BA" w:rsidRPr="00F85E43" w:rsidRDefault="001363BA" w:rsidP="00FE6F4E">
      <w:pPr>
        <w:rPr>
          <w:rFonts w:cstheme="minorHAnsi"/>
          <w:sz w:val="24"/>
          <w:szCs w:val="24"/>
          <w:u w:val="single"/>
        </w:rPr>
      </w:pPr>
      <w:r w:rsidRPr="00F85E43">
        <w:rPr>
          <w:rFonts w:cstheme="minorHAnsi"/>
          <w:sz w:val="24"/>
          <w:szCs w:val="24"/>
          <w:u w:val="single"/>
          <w:shd w:val="clear" w:color="auto" w:fill="FFFFFF"/>
        </w:rPr>
        <w:t>Modern scholarship.</w:t>
      </w:r>
    </w:p>
    <w:p w14:paraId="3475383B" w14:textId="37A66C92" w:rsidR="00BE6509" w:rsidRDefault="00BE6509" w:rsidP="00BE6509">
      <w:pPr>
        <w:rPr>
          <w:sz w:val="24"/>
          <w:szCs w:val="24"/>
        </w:rPr>
      </w:pPr>
      <w:r w:rsidRPr="00BE6509">
        <w:rPr>
          <w:sz w:val="24"/>
          <w:szCs w:val="24"/>
        </w:rPr>
        <w:t xml:space="preserve">Bremmer, Jan N. (Groningen), “Hymenaios”, in: Brill’s New Pauly, Antiquity volumes edited by: Hubert Cancik and , Helmuth Schneider, English Edition by: Christine F. Salazar, Classical Tradition volumes edited by: Manfred Landfester, English Edition by: Francis G. Gentry. </w:t>
      </w:r>
    </w:p>
    <w:p w14:paraId="069FDC95" w14:textId="070550EA" w:rsidR="00676A4B" w:rsidRDefault="00676A4B" w:rsidP="00BE6509">
      <w:pPr>
        <w:rPr>
          <w:sz w:val="24"/>
          <w:szCs w:val="24"/>
        </w:rPr>
      </w:pPr>
      <w:r w:rsidRPr="00CC19CC">
        <w:rPr>
          <w:sz w:val="24"/>
          <w:szCs w:val="24"/>
        </w:rPr>
        <w:t>Cantarella</w:t>
      </w:r>
      <w:r>
        <w:rPr>
          <w:sz w:val="24"/>
          <w:szCs w:val="24"/>
        </w:rPr>
        <w:t>.</w:t>
      </w:r>
      <w:r w:rsidRPr="00CC19CC">
        <w:rPr>
          <w:sz w:val="24"/>
          <w:szCs w:val="24"/>
        </w:rPr>
        <w:t xml:space="preserve"> E</w:t>
      </w:r>
      <w:r>
        <w:rPr>
          <w:sz w:val="24"/>
          <w:szCs w:val="24"/>
        </w:rPr>
        <w:t>.</w:t>
      </w:r>
      <w:r w:rsidRPr="00CC19CC">
        <w:rPr>
          <w:sz w:val="24"/>
          <w:szCs w:val="24"/>
        </w:rPr>
        <w:t xml:space="preserve"> (2005). "Gender, Sexuality, and Law". In Gagarin, Michael; Cohen, David (eds.). The Cambridge Companion to Greek Law. Cambridge: Cambridge University Press.</w:t>
      </w:r>
    </w:p>
    <w:p w14:paraId="3AF33954" w14:textId="77777777" w:rsidR="00F85E43" w:rsidRDefault="00F85E43" w:rsidP="00F85E43">
      <w:pPr>
        <w:rPr>
          <w:sz w:val="24"/>
          <w:szCs w:val="24"/>
        </w:rPr>
      </w:pPr>
      <w:r w:rsidRPr="00553E87">
        <w:rPr>
          <w:sz w:val="24"/>
          <w:szCs w:val="24"/>
        </w:rPr>
        <w:t>Flaceliere.</w:t>
      </w:r>
      <w:r>
        <w:rPr>
          <w:sz w:val="24"/>
          <w:szCs w:val="24"/>
        </w:rPr>
        <w:t xml:space="preserve"> R</w:t>
      </w:r>
      <w:r w:rsidRPr="00553E87">
        <w:rPr>
          <w:sz w:val="24"/>
          <w:szCs w:val="24"/>
        </w:rPr>
        <w:t xml:space="preserve"> (1974). Daily Life in Greece. New York: Macmillan Publishing Co.</w:t>
      </w:r>
    </w:p>
    <w:p w14:paraId="1189BD68" w14:textId="5A6A3A96" w:rsidR="00530E6E" w:rsidRDefault="00530E6E" w:rsidP="00BE6509">
      <w:pPr>
        <w:rPr>
          <w:sz w:val="24"/>
          <w:szCs w:val="24"/>
        </w:rPr>
      </w:pPr>
      <w:r w:rsidRPr="00530E6E">
        <w:rPr>
          <w:sz w:val="24"/>
          <w:szCs w:val="24"/>
        </w:rPr>
        <w:t>Lyons</w:t>
      </w:r>
      <w:r w:rsidR="001363BA">
        <w:rPr>
          <w:sz w:val="24"/>
          <w:szCs w:val="24"/>
        </w:rPr>
        <w:t>.</w:t>
      </w:r>
      <w:r w:rsidRPr="00530E6E">
        <w:rPr>
          <w:sz w:val="24"/>
          <w:szCs w:val="24"/>
        </w:rPr>
        <w:t xml:space="preserve"> D</w:t>
      </w:r>
      <w:r w:rsidR="001363BA">
        <w:rPr>
          <w:sz w:val="24"/>
          <w:szCs w:val="24"/>
        </w:rPr>
        <w:t>.</w:t>
      </w:r>
      <w:r w:rsidRPr="00530E6E">
        <w:rPr>
          <w:sz w:val="24"/>
          <w:szCs w:val="24"/>
        </w:rPr>
        <w:t xml:space="preserve"> (2003). "Dangerous Gifts: Ideologies of Marriage and Exchange in Ancient Greece". Classical Antiquity. 22</w:t>
      </w:r>
    </w:p>
    <w:p w14:paraId="4394908A" w14:textId="77777777" w:rsidR="00C3677E" w:rsidRDefault="00C3677E" w:rsidP="00C3677E">
      <w:pPr>
        <w:rPr>
          <w:sz w:val="24"/>
          <w:szCs w:val="24"/>
        </w:rPr>
      </w:pPr>
      <w:r w:rsidRPr="00676A4B">
        <w:rPr>
          <w:sz w:val="24"/>
          <w:szCs w:val="24"/>
        </w:rPr>
        <w:t>Louis Cohn-Haft. (1995). Divorce in Classical Athens. The Journal of Hellenic Studies, 115, 1-14.</w:t>
      </w:r>
    </w:p>
    <w:p w14:paraId="2C899D74" w14:textId="4A71F880" w:rsidR="00E87EE2" w:rsidRDefault="00E87EE2" w:rsidP="00BE6509">
      <w:pPr>
        <w:rPr>
          <w:sz w:val="24"/>
          <w:szCs w:val="24"/>
        </w:rPr>
      </w:pPr>
      <w:r w:rsidRPr="00E87EE2">
        <w:rPr>
          <w:sz w:val="24"/>
          <w:szCs w:val="24"/>
        </w:rPr>
        <w:t>Powers. J. (1997) Greek Weddings: The History of Marriage." SUNY Albany</w:t>
      </w:r>
      <w:r>
        <w:rPr>
          <w:sz w:val="24"/>
          <w:szCs w:val="24"/>
        </w:rPr>
        <w:t>.</w:t>
      </w:r>
    </w:p>
    <w:p w14:paraId="3DFA23CE" w14:textId="2C826432" w:rsidR="00F85E43" w:rsidRPr="00FE6F4E" w:rsidRDefault="00C3677E" w:rsidP="00BE6509">
      <w:pPr>
        <w:rPr>
          <w:sz w:val="24"/>
          <w:szCs w:val="24"/>
        </w:rPr>
      </w:pPr>
      <w:r w:rsidRPr="00C3677E">
        <w:rPr>
          <w:sz w:val="24"/>
          <w:szCs w:val="24"/>
        </w:rPr>
        <w:t>Roberts, J. (2007). The Oxford Dictionary of the Classical World, Oxford, Oxford University Press</w:t>
      </w:r>
      <w:r>
        <w:rPr>
          <w:sz w:val="24"/>
          <w:szCs w:val="24"/>
        </w:rPr>
        <w:t>.</w:t>
      </w:r>
      <w:bookmarkStart w:id="0" w:name="_GoBack"/>
      <w:bookmarkEnd w:id="0"/>
    </w:p>
    <w:sectPr w:rsidR="00F85E43" w:rsidRPr="00FE6F4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AD6A2" w14:textId="77777777" w:rsidR="00FE2C62" w:rsidRDefault="00FE2C62" w:rsidP="00FE2C62">
      <w:pPr>
        <w:spacing w:after="0" w:line="240" w:lineRule="auto"/>
      </w:pPr>
      <w:r>
        <w:separator/>
      </w:r>
    </w:p>
  </w:endnote>
  <w:endnote w:type="continuationSeparator" w:id="0">
    <w:p w14:paraId="43DEF073" w14:textId="77777777" w:rsidR="00FE2C62" w:rsidRDefault="00FE2C62" w:rsidP="00FE2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1DC8C" w14:textId="77777777" w:rsidR="00FE2C62" w:rsidRDefault="00FE2C62" w:rsidP="00FE2C62">
      <w:pPr>
        <w:spacing w:after="0" w:line="240" w:lineRule="auto"/>
      </w:pPr>
      <w:r>
        <w:separator/>
      </w:r>
    </w:p>
  </w:footnote>
  <w:footnote w:type="continuationSeparator" w:id="0">
    <w:p w14:paraId="62EDDD95" w14:textId="77777777" w:rsidR="00FE2C62" w:rsidRDefault="00FE2C62" w:rsidP="00FE2C62">
      <w:pPr>
        <w:spacing w:after="0" w:line="240" w:lineRule="auto"/>
      </w:pPr>
      <w:r>
        <w:continuationSeparator/>
      </w:r>
    </w:p>
  </w:footnote>
  <w:footnote w:id="1">
    <w:p w14:paraId="45C49021" w14:textId="573129EE" w:rsidR="00530E6E" w:rsidRDefault="00530E6E">
      <w:pPr>
        <w:pStyle w:val="FootnoteText"/>
      </w:pPr>
      <w:r>
        <w:rPr>
          <w:rStyle w:val="FootnoteReference"/>
        </w:rPr>
        <w:footnoteRef/>
      </w:r>
      <w:r>
        <w:t xml:space="preserve"> Lyons. 2003. p22</w:t>
      </w:r>
      <w:r w:rsidR="00206CBC">
        <w:t>.</w:t>
      </w:r>
    </w:p>
  </w:footnote>
  <w:footnote w:id="2">
    <w:p w14:paraId="42434ABA" w14:textId="025DDDD3" w:rsidR="001363BA" w:rsidRDefault="001363BA">
      <w:pPr>
        <w:pStyle w:val="FootnoteText"/>
      </w:pPr>
      <w:r>
        <w:rPr>
          <w:rStyle w:val="FootnoteReference"/>
        </w:rPr>
        <w:footnoteRef/>
      </w:r>
      <w:r>
        <w:t xml:space="preserve"> Dem: 59. 16.</w:t>
      </w:r>
    </w:p>
  </w:footnote>
  <w:footnote w:id="3">
    <w:p w14:paraId="60E8CAC0" w14:textId="77777777" w:rsidR="00553E87" w:rsidRDefault="00553E87" w:rsidP="00553E87">
      <w:pPr>
        <w:pStyle w:val="FootnoteText"/>
      </w:pPr>
      <w:r>
        <w:rPr>
          <w:rStyle w:val="FootnoteReference"/>
        </w:rPr>
        <w:footnoteRef/>
      </w:r>
      <w:r>
        <w:t xml:space="preserve"> </w:t>
      </w:r>
      <w:r w:rsidRPr="00FE2C62">
        <w:t>Flaceliere.</w:t>
      </w:r>
      <w:r>
        <w:t xml:space="preserve"> 1974, p</w:t>
      </w:r>
      <w:r w:rsidRPr="00FE2C62">
        <w:t>57.</w:t>
      </w:r>
    </w:p>
  </w:footnote>
  <w:footnote w:id="4">
    <w:p w14:paraId="7568FC12" w14:textId="683F15B8" w:rsidR="00530E6E" w:rsidRDefault="00530E6E">
      <w:pPr>
        <w:pStyle w:val="FootnoteText"/>
      </w:pPr>
      <w:r>
        <w:rPr>
          <w:rStyle w:val="FootnoteReference"/>
        </w:rPr>
        <w:footnoteRef/>
      </w:r>
      <w:r>
        <w:t xml:space="preserve"> Bakewell. 2008. p104</w:t>
      </w:r>
      <w:r w:rsidR="00206CBC">
        <w:t>.</w:t>
      </w:r>
    </w:p>
  </w:footnote>
  <w:footnote w:id="5">
    <w:p w14:paraId="45F55DB4" w14:textId="378B3870" w:rsidR="00F85E43" w:rsidRDefault="00F85E43">
      <w:pPr>
        <w:pStyle w:val="FootnoteText"/>
      </w:pPr>
      <w:r>
        <w:rPr>
          <w:rStyle w:val="FootnoteReference"/>
        </w:rPr>
        <w:footnoteRef/>
      </w:r>
      <w:r>
        <w:t xml:space="preserve"> Roberts. 2007. p452.</w:t>
      </w:r>
    </w:p>
  </w:footnote>
  <w:footnote w:id="6">
    <w:p w14:paraId="4A5FDB35" w14:textId="1424F105" w:rsidR="00CC19CC" w:rsidRDefault="00CC19CC">
      <w:pPr>
        <w:pStyle w:val="FootnoteText"/>
      </w:pPr>
      <w:r>
        <w:rPr>
          <w:rStyle w:val="FootnoteReference"/>
        </w:rPr>
        <w:footnoteRef/>
      </w:r>
      <w:r>
        <w:t xml:space="preserve"> </w:t>
      </w:r>
      <w:r w:rsidRPr="00CC19CC">
        <w:t>Cantarella</w:t>
      </w:r>
      <w:r>
        <w:t>. 2005</w:t>
      </w:r>
      <w:r w:rsidR="00206CBC">
        <w:t>.</w:t>
      </w:r>
    </w:p>
  </w:footnote>
  <w:footnote w:id="7">
    <w:p w14:paraId="7FF5D994" w14:textId="6753C7CD" w:rsidR="00206CBC" w:rsidRDefault="00206CBC">
      <w:pPr>
        <w:pStyle w:val="FootnoteText"/>
      </w:pPr>
      <w:r>
        <w:rPr>
          <w:rStyle w:val="FootnoteReference"/>
        </w:rPr>
        <w:footnoteRef/>
      </w:r>
      <w:r>
        <w:t xml:space="preserve"> Pomeroy. 1994.</w:t>
      </w:r>
    </w:p>
  </w:footnote>
  <w:footnote w:id="8">
    <w:p w14:paraId="71909D5F" w14:textId="7EC09863" w:rsidR="00257A52" w:rsidRDefault="00257A52">
      <w:pPr>
        <w:pStyle w:val="FootnoteText"/>
      </w:pPr>
      <w:r>
        <w:rPr>
          <w:rStyle w:val="FootnoteReference"/>
        </w:rPr>
        <w:footnoteRef/>
      </w:r>
      <w:r>
        <w:t xml:space="preserve"> Roberts. 2007, p451.</w:t>
      </w:r>
    </w:p>
  </w:footnote>
  <w:footnote w:id="9">
    <w:p w14:paraId="17DC3604" w14:textId="729EDBA2" w:rsidR="00E87EE2" w:rsidRDefault="00E87EE2">
      <w:pPr>
        <w:pStyle w:val="FootnoteText"/>
      </w:pPr>
      <w:r>
        <w:rPr>
          <w:rStyle w:val="FootnoteReference"/>
        </w:rPr>
        <w:footnoteRef/>
      </w:r>
      <w:r>
        <w:t xml:space="preserve"> Powers. 1997.</w:t>
      </w:r>
    </w:p>
  </w:footnote>
  <w:footnote w:id="10">
    <w:p w14:paraId="5F8CEEF0" w14:textId="6A84148B" w:rsidR="00A048CB" w:rsidRDefault="00A048CB">
      <w:pPr>
        <w:pStyle w:val="FootnoteText"/>
      </w:pPr>
      <w:r>
        <w:rPr>
          <w:rStyle w:val="FootnoteReference"/>
        </w:rPr>
        <w:footnoteRef/>
      </w:r>
      <w:r>
        <w:t xml:space="preserve"> Cohn-Haft. 1995. p1</w:t>
      </w:r>
    </w:p>
  </w:footnote>
  <w:footnote w:id="11">
    <w:p w14:paraId="3D6041A4" w14:textId="77777777" w:rsidR="00FE1947" w:rsidRDefault="00FE1947" w:rsidP="00FE1947">
      <w:pPr>
        <w:pStyle w:val="FootnoteText"/>
      </w:pPr>
      <w:r>
        <w:rPr>
          <w:rStyle w:val="FootnoteReference"/>
        </w:rPr>
        <w:footnoteRef/>
      </w:r>
      <w:r>
        <w:t xml:space="preserve"> </w:t>
      </w:r>
      <w:r>
        <w:t>Cohn-Haft. 1995. p1</w:t>
      </w:r>
    </w:p>
    <w:p w14:paraId="2312D307" w14:textId="5A930904" w:rsidR="00FE1947" w:rsidRDefault="00FE1947">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F4E"/>
    <w:rsid w:val="000C08C3"/>
    <w:rsid w:val="001363BA"/>
    <w:rsid w:val="001A25BD"/>
    <w:rsid w:val="00206CBC"/>
    <w:rsid w:val="00257A52"/>
    <w:rsid w:val="003605AC"/>
    <w:rsid w:val="003F14C4"/>
    <w:rsid w:val="00423B6B"/>
    <w:rsid w:val="004D1B7F"/>
    <w:rsid w:val="00530E6E"/>
    <w:rsid w:val="00553E87"/>
    <w:rsid w:val="0062473B"/>
    <w:rsid w:val="00676A4B"/>
    <w:rsid w:val="006B1F87"/>
    <w:rsid w:val="00720E0D"/>
    <w:rsid w:val="00913288"/>
    <w:rsid w:val="00936C9F"/>
    <w:rsid w:val="009853E6"/>
    <w:rsid w:val="00A048CB"/>
    <w:rsid w:val="00BE6509"/>
    <w:rsid w:val="00BF5637"/>
    <w:rsid w:val="00C3677E"/>
    <w:rsid w:val="00CC19CC"/>
    <w:rsid w:val="00D03DFF"/>
    <w:rsid w:val="00E87EE2"/>
    <w:rsid w:val="00F85E43"/>
    <w:rsid w:val="00FB3F95"/>
    <w:rsid w:val="00FE1947"/>
    <w:rsid w:val="00FE2C62"/>
    <w:rsid w:val="00FE6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6690"/>
  <w15:chartTrackingRefBased/>
  <w15:docId w15:val="{64418BEF-1E10-4876-87B0-2103E638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E2C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2C62"/>
    <w:rPr>
      <w:sz w:val="20"/>
      <w:szCs w:val="20"/>
    </w:rPr>
  </w:style>
  <w:style w:type="character" w:styleId="FootnoteReference">
    <w:name w:val="footnote reference"/>
    <w:basedOn w:val="DefaultParagraphFont"/>
    <w:uiPriority w:val="99"/>
    <w:semiHidden/>
    <w:unhideWhenUsed/>
    <w:rsid w:val="00FE2C62"/>
    <w:rPr>
      <w:vertAlign w:val="superscript"/>
    </w:rPr>
  </w:style>
  <w:style w:type="character" w:customStyle="1" w:styleId="bibliographicauthorname">
    <w:name w:val="bibliographicauthorname"/>
    <w:basedOn w:val="DefaultParagraphFont"/>
    <w:rsid w:val="001363BA"/>
  </w:style>
  <w:style w:type="character" w:customStyle="1" w:styleId="translators">
    <w:name w:val="translators"/>
    <w:basedOn w:val="DefaultParagraphFont"/>
    <w:rsid w:val="001363BA"/>
  </w:style>
  <w:style w:type="character" w:customStyle="1" w:styleId="contributorname">
    <w:name w:val="contributorname"/>
    <w:basedOn w:val="DefaultParagraphFont"/>
    <w:rsid w:val="00136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AADA8-833F-4A41-8C3D-D751ACE8E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Lazenby (1902162)</dc:creator>
  <cp:keywords/>
  <dc:description/>
  <cp:lastModifiedBy>Ioan Lazenby (1902162)</cp:lastModifiedBy>
  <cp:revision>3</cp:revision>
  <cp:lastPrinted>2019-10-13T22:02:00Z</cp:lastPrinted>
  <dcterms:created xsi:type="dcterms:W3CDTF">2019-10-13T22:02:00Z</dcterms:created>
  <dcterms:modified xsi:type="dcterms:W3CDTF">2019-10-13T22:18:00Z</dcterms:modified>
</cp:coreProperties>
</file>