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D69584" w14:textId="4CAFB683" w:rsidR="00753216" w:rsidRDefault="008A2816">
      <w:r>
        <w:t xml:space="preserve">Name. Nageen Khan </w:t>
      </w:r>
    </w:p>
    <w:p w14:paraId="01C4DF88" w14:textId="13AD9706" w:rsidR="008A2816" w:rsidRDefault="008A2816">
      <w:r>
        <w:t>Student Number. 2424667</w:t>
      </w:r>
    </w:p>
    <w:p w14:paraId="3C16DA3A" w14:textId="6D4E3CFB" w:rsidR="008A2816" w:rsidRDefault="008A2816">
      <w:r>
        <w:t>Programme. BSc Health and Social Care</w:t>
      </w:r>
    </w:p>
    <w:p w14:paraId="554995F2" w14:textId="70DCB91F" w:rsidR="008A2816" w:rsidRDefault="008A2816">
      <w:r>
        <w:t>Module. Principles of Health and Social Care Practice</w:t>
      </w:r>
    </w:p>
    <w:p w14:paraId="28499495" w14:textId="625FC81A" w:rsidR="008A2816" w:rsidRDefault="008A2816">
      <w:r>
        <w:t>Module code. BMHP5016</w:t>
      </w:r>
    </w:p>
    <w:p w14:paraId="186EB824" w14:textId="447AB973" w:rsidR="008A2816" w:rsidRDefault="008A2816">
      <w:r>
        <w:t xml:space="preserve">Lecturer. Precious </w:t>
      </w:r>
      <w:proofErr w:type="spellStart"/>
      <w:r>
        <w:t>Igbinigie</w:t>
      </w:r>
      <w:proofErr w:type="spellEnd"/>
      <w:r>
        <w:t xml:space="preserve"> </w:t>
      </w:r>
    </w:p>
    <w:p w14:paraId="2CB5C929" w14:textId="566CDE2C" w:rsidR="008A2816" w:rsidRDefault="008A2816">
      <w:r>
        <w:t xml:space="preserve">Internal Verifier. Chloe Harries </w:t>
      </w:r>
    </w:p>
    <w:p w14:paraId="3393521B" w14:textId="33294107" w:rsidR="008A2816" w:rsidRDefault="008A2816">
      <w:r>
        <w:t xml:space="preserve">Assignment Title. Component 1. Written Assignment (Reflective Report).  </w:t>
      </w:r>
    </w:p>
    <w:p w14:paraId="1E2BBE18" w14:textId="77777777" w:rsidR="008A2816" w:rsidRDefault="008A2816"/>
    <w:p w14:paraId="1DA04364" w14:textId="77777777" w:rsidR="008A2816" w:rsidRDefault="008A2816"/>
    <w:p w14:paraId="25E3CBF1" w14:textId="77777777" w:rsidR="008A2816" w:rsidRDefault="008A2816"/>
    <w:p w14:paraId="2234CCE8" w14:textId="77777777" w:rsidR="008A2816" w:rsidRDefault="008A2816"/>
    <w:p w14:paraId="1563BA23" w14:textId="77777777" w:rsidR="008A2816" w:rsidRDefault="008A2816"/>
    <w:p w14:paraId="4DB96B3D" w14:textId="77777777" w:rsidR="008A2816" w:rsidRDefault="008A2816"/>
    <w:p w14:paraId="74694525" w14:textId="77777777" w:rsidR="008A2816" w:rsidRDefault="008A2816"/>
    <w:p w14:paraId="49532C2D" w14:textId="77777777" w:rsidR="008A2816" w:rsidRDefault="008A2816"/>
    <w:p w14:paraId="27F06296" w14:textId="77777777" w:rsidR="008A2816" w:rsidRDefault="008A2816"/>
    <w:p w14:paraId="230E97A3" w14:textId="77777777" w:rsidR="008A2816" w:rsidRDefault="008A2816"/>
    <w:p w14:paraId="71BD8B2A" w14:textId="77777777" w:rsidR="008A2816" w:rsidRDefault="008A2816"/>
    <w:p w14:paraId="4015E0BB" w14:textId="77777777" w:rsidR="008A2816" w:rsidRDefault="008A2816"/>
    <w:p w14:paraId="20C18B14" w14:textId="77777777" w:rsidR="008A2816" w:rsidRDefault="008A2816"/>
    <w:p w14:paraId="18D4CA0C" w14:textId="77777777" w:rsidR="008A2816" w:rsidRDefault="008A2816"/>
    <w:p w14:paraId="64E43BE3" w14:textId="77777777" w:rsidR="008A2816" w:rsidRDefault="008A2816"/>
    <w:p w14:paraId="2D24CBE1" w14:textId="77777777" w:rsidR="008A2816" w:rsidRDefault="008A2816"/>
    <w:p w14:paraId="720055D8" w14:textId="77777777" w:rsidR="008A2816" w:rsidRDefault="008A2816"/>
    <w:p w14:paraId="61FE4237" w14:textId="77777777" w:rsidR="008A2816" w:rsidRDefault="008A2816"/>
    <w:p w14:paraId="787058E6" w14:textId="77777777" w:rsidR="008A2816" w:rsidRDefault="008A2816"/>
    <w:p w14:paraId="2DF4D19B" w14:textId="77777777" w:rsidR="008A2816" w:rsidRDefault="008A2816"/>
    <w:p w14:paraId="7948388B" w14:textId="57D13463" w:rsidR="008A2816" w:rsidRDefault="008A2816">
      <w:r>
        <w:lastRenderedPageBreak/>
        <w:t xml:space="preserve">Table of Contents. </w:t>
      </w:r>
    </w:p>
    <w:p w14:paraId="459A57D3" w14:textId="77777777" w:rsidR="008A2816" w:rsidRDefault="008A2816"/>
    <w:p w14:paraId="139AD04E" w14:textId="3EC4433D" w:rsidR="008A2816" w:rsidRDefault="008A2816">
      <w:r>
        <w:t xml:space="preserve">Task 1 </w:t>
      </w:r>
    </w:p>
    <w:p w14:paraId="614AA74A" w14:textId="2A706924" w:rsidR="008A2816" w:rsidRDefault="008A2816">
      <w:r>
        <w:t>Reflective on person-centred care</w:t>
      </w:r>
    </w:p>
    <w:p w14:paraId="4C140852" w14:textId="7E40B075" w:rsidR="008A2816" w:rsidRDefault="008A2816">
      <w:r>
        <w:t>Introduction</w:t>
      </w:r>
    </w:p>
    <w:p w14:paraId="4725C8AF" w14:textId="07113BBF" w:rsidR="00B90676" w:rsidRDefault="008A2816">
      <w:r>
        <w:t>The Importance of Key Principles Within Health and Social Care</w:t>
      </w:r>
      <w:r w:rsidR="006A6994">
        <w:t xml:space="preserve"> </w:t>
      </w:r>
    </w:p>
    <w:p w14:paraId="3F333A84" w14:textId="77777777" w:rsidR="00B90676" w:rsidRDefault="00B90676"/>
    <w:p w14:paraId="03C2B243" w14:textId="76B6BD41" w:rsidR="00B90676" w:rsidRDefault="00B90676">
      <w:r>
        <w:t xml:space="preserve">Task 2 </w:t>
      </w:r>
    </w:p>
    <w:p w14:paraId="4A8DE889" w14:textId="2B025F52" w:rsidR="00B90676" w:rsidRDefault="00B90676">
      <w:r>
        <w:t xml:space="preserve">Robyn’s story </w:t>
      </w:r>
    </w:p>
    <w:p w14:paraId="7543A8E0" w14:textId="0062C916" w:rsidR="00B90676" w:rsidRDefault="00B90676">
      <w:r>
        <w:t>Person-Centred Care in Practice</w:t>
      </w:r>
    </w:p>
    <w:p w14:paraId="04E52871" w14:textId="12B6BFBB" w:rsidR="00B90676" w:rsidRDefault="00B90676">
      <w:r>
        <w:t>Partnership Working and Collaborative Practice</w:t>
      </w:r>
    </w:p>
    <w:p w14:paraId="487403A1" w14:textId="71BB875B" w:rsidR="004B37C8" w:rsidRPr="000952DD" w:rsidRDefault="00B90676">
      <w:r>
        <w:t xml:space="preserve">Ethical Considerations </w:t>
      </w:r>
    </w:p>
    <w:p w14:paraId="386AD249" w14:textId="77777777" w:rsidR="004B37C8" w:rsidRDefault="004B37C8">
      <w:pPr>
        <w:rPr>
          <w:rFonts w:ascii="Arial" w:hAnsi="Arial" w:cs="Arial"/>
          <w:sz w:val="22"/>
          <w:szCs w:val="22"/>
        </w:rPr>
      </w:pPr>
    </w:p>
    <w:p w14:paraId="528CB49E" w14:textId="0F1AC5E2" w:rsidR="004B37C8" w:rsidRDefault="004B37C8">
      <w:pPr>
        <w:rPr>
          <w:rFonts w:ascii="Arial" w:hAnsi="Arial" w:cs="Arial"/>
          <w:sz w:val="22"/>
          <w:szCs w:val="22"/>
        </w:rPr>
      </w:pPr>
      <w:r>
        <w:rPr>
          <w:rFonts w:ascii="Arial" w:hAnsi="Arial" w:cs="Arial"/>
          <w:sz w:val="22"/>
          <w:szCs w:val="22"/>
        </w:rPr>
        <w:t xml:space="preserve">Task 3. </w:t>
      </w:r>
    </w:p>
    <w:p w14:paraId="0231151A" w14:textId="1CFAF5D8" w:rsidR="004B37C8" w:rsidRDefault="004B37C8">
      <w:pPr>
        <w:rPr>
          <w:rFonts w:ascii="Arial" w:hAnsi="Arial" w:cs="Arial"/>
          <w:sz w:val="22"/>
          <w:szCs w:val="22"/>
        </w:rPr>
      </w:pPr>
      <w:r>
        <w:rPr>
          <w:rFonts w:ascii="Arial" w:hAnsi="Arial" w:cs="Arial"/>
          <w:sz w:val="22"/>
          <w:szCs w:val="22"/>
        </w:rPr>
        <w:t xml:space="preserve">Reflection Using Gibbs Reflective Cycle. </w:t>
      </w:r>
    </w:p>
    <w:p w14:paraId="7DB40313" w14:textId="330137EF" w:rsidR="004B37C8" w:rsidRDefault="004B37C8">
      <w:pPr>
        <w:rPr>
          <w:rFonts w:ascii="Arial" w:hAnsi="Arial" w:cs="Arial"/>
          <w:sz w:val="22"/>
          <w:szCs w:val="22"/>
        </w:rPr>
      </w:pPr>
      <w:r>
        <w:rPr>
          <w:rFonts w:ascii="Arial" w:hAnsi="Arial" w:cs="Arial"/>
          <w:sz w:val="22"/>
          <w:szCs w:val="22"/>
        </w:rPr>
        <w:t xml:space="preserve">Description </w:t>
      </w:r>
    </w:p>
    <w:p w14:paraId="2FD01A3C" w14:textId="797AD035" w:rsidR="004B37C8" w:rsidRDefault="004B37C8">
      <w:pPr>
        <w:rPr>
          <w:rFonts w:ascii="Arial" w:hAnsi="Arial" w:cs="Arial"/>
          <w:sz w:val="22"/>
          <w:szCs w:val="22"/>
        </w:rPr>
      </w:pPr>
      <w:r>
        <w:rPr>
          <w:rFonts w:ascii="Arial" w:hAnsi="Arial" w:cs="Arial"/>
          <w:sz w:val="22"/>
          <w:szCs w:val="22"/>
        </w:rPr>
        <w:t xml:space="preserve">Feelings </w:t>
      </w:r>
    </w:p>
    <w:p w14:paraId="4B96EA94" w14:textId="412A1592" w:rsidR="004B37C8" w:rsidRDefault="004B37C8">
      <w:pPr>
        <w:rPr>
          <w:rFonts w:ascii="Arial" w:hAnsi="Arial" w:cs="Arial"/>
          <w:sz w:val="22"/>
          <w:szCs w:val="22"/>
        </w:rPr>
      </w:pPr>
      <w:r>
        <w:rPr>
          <w:rFonts w:ascii="Arial" w:hAnsi="Arial" w:cs="Arial"/>
          <w:sz w:val="22"/>
          <w:szCs w:val="22"/>
        </w:rPr>
        <w:t>Evaluation</w:t>
      </w:r>
    </w:p>
    <w:p w14:paraId="022D985C" w14:textId="3435BC64" w:rsidR="004B37C8" w:rsidRDefault="004B37C8">
      <w:pPr>
        <w:rPr>
          <w:rFonts w:ascii="Arial" w:hAnsi="Arial" w:cs="Arial"/>
          <w:sz w:val="22"/>
          <w:szCs w:val="22"/>
        </w:rPr>
      </w:pPr>
      <w:r>
        <w:rPr>
          <w:rFonts w:ascii="Arial" w:hAnsi="Arial" w:cs="Arial"/>
          <w:sz w:val="22"/>
          <w:szCs w:val="22"/>
        </w:rPr>
        <w:t>Analysis</w:t>
      </w:r>
    </w:p>
    <w:p w14:paraId="0304E7E7" w14:textId="6F962337" w:rsidR="004B37C8" w:rsidRDefault="004B37C8">
      <w:pPr>
        <w:rPr>
          <w:rFonts w:ascii="Arial" w:hAnsi="Arial" w:cs="Arial"/>
          <w:sz w:val="22"/>
          <w:szCs w:val="22"/>
        </w:rPr>
      </w:pPr>
      <w:r>
        <w:rPr>
          <w:rFonts w:ascii="Arial" w:hAnsi="Arial" w:cs="Arial"/>
          <w:sz w:val="22"/>
          <w:szCs w:val="22"/>
        </w:rPr>
        <w:t>Conclusion of Reflection</w:t>
      </w:r>
    </w:p>
    <w:p w14:paraId="2A983F2C" w14:textId="0E6EE054" w:rsidR="004B37C8" w:rsidRDefault="004B37C8">
      <w:pPr>
        <w:rPr>
          <w:rFonts w:ascii="Arial" w:hAnsi="Arial" w:cs="Arial"/>
          <w:sz w:val="22"/>
          <w:szCs w:val="22"/>
        </w:rPr>
      </w:pPr>
      <w:r>
        <w:rPr>
          <w:rFonts w:ascii="Arial" w:hAnsi="Arial" w:cs="Arial"/>
          <w:sz w:val="22"/>
          <w:szCs w:val="22"/>
        </w:rPr>
        <w:t xml:space="preserve">Action Plan </w:t>
      </w:r>
    </w:p>
    <w:p w14:paraId="05C5BA04" w14:textId="60B30DA0" w:rsidR="004B37C8" w:rsidRDefault="004B37C8">
      <w:pPr>
        <w:rPr>
          <w:rFonts w:ascii="Arial" w:hAnsi="Arial" w:cs="Arial"/>
          <w:sz w:val="22"/>
          <w:szCs w:val="22"/>
        </w:rPr>
      </w:pPr>
      <w:r>
        <w:rPr>
          <w:rFonts w:ascii="Arial" w:hAnsi="Arial" w:cs="Arial"/>
          <w:sz w:val="22"/>
          <w:szCs w:val="22"/>
        </w:rPr>
        <w:t xml:space="preserve">Conclusion </w:t>
      </w:r>
    </w:p>
    <w:p w14:paraId="420C6F22" w14:textId="3C042B9D" w:rsidR="004B37C8" w:rsidRPr="004B37C8" w:rsidRDefault="004B37C8">
      <w:pPr>
        <w:rPr>
          <w:rFonts w:ascii="Arial" w:hAnsi="Arial" w:cs="Arial"/>
          <w:sz w:val="22"/>
          <w:szCs w:val="22"/>
        </w:rPr>
      </w:pPr>
      <w:r>
        <w:rPr>
          <w:rFonts w:ascii="Arial" w:hAnsi="Arial" w:cs="Arial"/>
          <w:sz w:val="22"/>
          <w:szCs w:val="22"/>
        </w:rPr>
        <w:t xml:space="preserve">Reference list. </w:t>
      </w:r>
    </w:p>
    <w:p w14:paraId="2D6CE234" w14:textId="77777777" w:rsidR="006A6994" w:rsidRDefault="006A6994"/>
    <w:p w14:paraId="2A52A065" w14:textId="77777777" w:rsidR="006A6994" w:rsidRDefault="006A6994"/>
    <w:p w14:paraId="0EA10063" w14:textId="77777777" w:rsidR="006A6994" w:rsidRDefault="006A6994"/>
    <w:p w14:paraId="665E88E2" w14:textId="77777777" w:rsidR="006A6994" w:rsidRDefault="006A6994"/>
    <w:p w14:paraId="0D251007" w14:textId="77777777" w:rsidR="006A6994" w:rsidRDefault="006A6994"/>
    <w:p w14:paraId="5204F487" w14:textId="77777777" w:rsidR="006A6994" w:rsidRDefault="006A6994"/>
    <w:p w14:paraId="78402ADB" w14:textId="77777777" w:rsidR="00A84558" w:rsidRDefault="00A84558" w:rsidP="00A84558">
      <w:r>
        <w:lastRenderedPageBreak/>
        <w:t>Introduction</w:t>
      </w:r>
    </w:p>
    <w:p w14:paraId="50B90E4A" w14:textId="77777777" w:rsidR="00A84558" w:rsidRDefault="00A84558" w:rsidP="00A84558"/>
    <w:p w14:paraId="0FB69970" w14:textId="1BFD0520" w:rsidR="006A6994" w:rsidRDefault="00A84558" w:rsidP="00A84558">
      <w:r>
        <w:t xml:space="preserve">The provision of high-quality health and social care finds its basis on a triad of interconnected principles in the UK, namely person-centredness, partnership working and ethical practice. Modern-day legislation of health care, such as the Care Act 2014 and Health and Social Care Act 2012, specify that these values form the foundation for every aspect of care delivery – acknowledging their significance in encouraging respect, independence and successful outcomes among those using services. This essay will critically analyse the theoretical value of these tenets and </w:t>
      </w:r>
      <w:proofErr w:type="gramStart"/>
      <w:r>
        <w:t>then,</w:t>
      </w:r>
      <w:proofErr w:type="gramEnd"/>
      <w:r>
        <w:t xml:space="preserve"> to illustrate their use in professional practice, Gibbs' Reflective Cycle (1988) will be employed to reflect on the author's capacities as a health care provider.</w:t>
      </w:r>
      <w:r w:rsidR="00E0479D">
        <w:t xml:space="preserve"> </w:t>
      </w:r>
    </w:p>
    <w:p w14:paraId="0A3B2BA6" w14:textId="77777777" w:rsidR="00E0479D" w:rsidRDefault="00E0479D" w:rsidP="00A84558"/>
    <w:p w14:paraId="137E11D3" w14:textId="752C386F" w:rsidR="003433C0" w:rsidRDefault="003433C0" w:rsidP="003433C0">
      <w:r>
        <w:t>Task 1: The Importance of Key Principles Within Health and Social Care</w:t>
      </w:r>
      <w:r w:rsidR="00321AD3">
        <w:t xml:space="preserve">. </w:t>
      </w:r>
    </w:p>
    <w:p w14:paraId="667E7C34" w14:textId="77777777" w:rsidR="003433C0" w:rsidRDefault="003433C0" w:rsidP="003433C0"/>
    <w:p w14:paraId="1D6FCBB5" w14:textId="77777777" w:rsidR="003433C0" w:rsidRDefault="003433C0" w:rsidP="003433C0">
      <w:r>
        <w:t>Quality health and social care provision in the UK is based on values such as person-centred care, partnership working and ethics. These interrelated principles work together to provide an empowered, responsive, and comprehensive response that uphold the dignity as well as autonomy of all people allowing them to achieve their full potential.</w:t>
      </w:r>
    </w:p>
    <w:p w14:paraId="64E6990C" w14:textId="77777777" w:rsidR="003433C0" w:rsidRDefault="003433C0" w:rsidP="003433C0"/>
    <w:p w14:paraId="7D8A4755" w14:textId="77777777" w:rsidR="003433C0" w:rsidRDefault="003433C0" w:rsidP="003433C0">
      <w:r>
        <w:t xml:space="preserve">According to Rogers (1961) theory, person-centred care shifts the power base of treatment and care decisions from the professional to the individual by acknowledging their values, personal preferences and life experiences. This is done by a departure from the typical paternalistic model in health care towards a shared </w:t>
      </w:r>
      <w:proofErr w:type="gramStart"/>
      <w:r>
        <w:t>decision making</w:t>
      </w:r>
      <w:proofErr w:type="gramEnd"/>
      <w:r>
        <w:t xml:space="preserve"> framework where service users are active rather than passive consumers (Health </w:t>
      </w:r>
      <w:proofErr w:type="gramStart"/>
      <w:r>
        <w:t>Foundation ,</w:t>
      </w:r>
      <w:proofErr w:type="gramEnd"/>
      <w:r>
        <w:t xml:space="preserve"> 2016). The subject of this can be seen as a guiding principle for UK law, which makes it a requirement that people be included in decisions made about their care and support (Care Act 2014). The quality of care is increased with person-centred approaches by an adherence to treatment plans, satisfaction and promoting independence and well-being (Santana et al., 2018).</w:t>
      </w:r>
    </w:p>
    <w:p w14:paraId="3CDF9040" w14:textId="77777777" w:rsidR="003433C0" w:rsidRDefault="003433C0" w:rsidP="003433C0"/>
    <w:p w14:paraId="67ADB134" w14:textId="77777777" w:rsidR="003433C0" w:rsidRDefault="003433C0" w:rsidP="003433C0">
      <w:r>
        <w:t xml:space="preserve">Partnership working involves the joint participation of service users, their families and carers along with a variety of professionals to work together towards common objectives. The model for interdisciplinary collaboration developed by Bronstein (2003) includes five features: interdependence, newly generated professional activities, flexibility, taking collective ownership of the goals and reflecting on process. Good </w:t>
      </w:r>
      <w:r>
        <w:lastRenderedPageBreak/>
        <w:t>partnership working helps to minimise fragmentation, duplication of services and lack of comprehensive assessment and intervention (Glasby &amp; Dickinson, 2014). The NHS Long Term Plan (2019) gives precedence to integrated care systems, which cut across organisational and professional boundaries.</w:t>
      </w:r>
    </w:p>
    <w:p w14:paraId="0D73FC73" w14:textId="77777777" w:rsidR="003433C0" w:rsidRDefault="003433C0" w:rsidP="003433C0"/>
    <w:p w14:paraId="35A8721D" w14:textId="158FAC25" w:rsidR="003433C0" w:rsidRDefault="003433C0" w:rsidP="003433C0">
      <w:r>
        <w:t xml:space="preserve">Science tells us the implications, mechanism and </w:t>
      </w:r>
      <w:r w:rsidR="00A4524D">
        <w:t>morbidity. And</w:t>
      </w:r>
      <w:r>
        <w:t xml:space="preserve"> ethics the axiological principles on which to base conduct</w:t>
      </w:r>
      <w:r w:rsidR="00913929">
        <w:t xml:space="preserve"> professionally</w:t>
      </w:r>
      <w:r>
        <w:t xml:space="preserve"> decision-making on healthcare. Beauchamp and Childress’ (2019) four principles — autonomy, beneficence, non- maleficence and justice </w:t>
      </w:r>
      <w:r>
        <w:rPr>
          <w:rFonts w:ascii="Aptos" w:hAnsi="Aptos" w:cs="Aptos"/>
        </w:rPr>
        <w:t>—</w:t>
      </w:r>
      <w:r>
        <w:t xml:space="preserve"> provide practitioners with an organised method of managing the complex issues inherent to ethical paradoxes. These ethical concepts are central to the Nursing and Midwifery Council (2018) Code and other professional standards in that they require practitioners to negotiate between challenging interests while protecting vulnerable people.</w:t>
      </w:r>
    </w:p>
    <w:p w14:paraId="1A2E8E11" w14:textId="77777777" w:rsidR="003433C0" w:rsidRDefault="003433C0" w:rsidP="003433C0"/>
    <w:p w14:paraId="56642503" w14:textId="34052B27" w:rsidR="00E0479D" w:rsidRDefault="003433C0" w:rsidP="003433C0">
      <w:r>
        <w:t xml:space="preserve">These 3 principles are interdependent: person-centred care is impossible without ethical practice which respects autonomy; partnership working requires ethical dedication to shared decision-making; quality care requires teamwork that is sensitive to the individual’s preferences and values. They form a system that encourages dignity, safety, and integrity in care. While the Health and Social Care Act 2012 </w:t>
      </w:r>
      <w:proofErr w:type="gramStart"/>
      <w:r>
        <w:t>promotes</w:t>
      </w:r>
      <w:proofErr w:type="gramEnd"/>
      <w:r>
        <w:t xml:space="preserve"> integration and quality improvement, these elements are as crucial today to ensure that UK services continue to embody compassionate, relevant services for a wide range of needs.</w:t>
      </w:r>
      <w:r w:rsidR="00321AD3">
        <w:t xml:space="preserve">  </w:t>
      </w:r>
      <w:r w:rsidR="00B90676">
        <w:t xml:space="preserve"> </w:t>
      </w:r>
    </w:p>
    <w:p w14:paraId="710999D3" w14:textId="77777777" w:rsidR="00B90676" w:rsidRDefault="00B90676" w:rsidP="003433C0"/>
    <w:p w14:paraId="14C2E800" w14:textId="4F126E60" w:rsidR="00B90676" w:rsidRDefault="00B90676" w:rsidP="003433C0">
      <w:r>
        <w:t xml:space="preserve">Task 2 Robyn’s Story.  </w:t>
      </w:r>
    </w:p>
    <w:p w14:paraId="44246B50" w14:textId="77777777" w:rsidR="00B90676" w:rsidRDefault="00B90676" w:rsidP="003433C0"/>
    <w:p w14:paraId="65BD008F" w14:textId="77777777" w:rsidR="00B90676" w:rsidRDefault="00B90676" w:rsidP="00B90676">
      <w:r>
        <w:t>Person-Centred Care in Practice</w:t>
      </w:r>
    </w:p>
    <w:p w14:paraId="1ECB592D" w14:textId="77777777" w:rsidR="00B90676" w:rsidRDefault="00B90676" w:rsidP="00B90676"/>
    <w:p w14:paraId="5BC10E64" w14:textId="5B6FBC33" w:rsidR="00B90676" w:rsidRDefault="00B90676" w:rsidP="00B90676">
      <w:r>
        <w:t>Robyn transition to a personal health budget illustrates person centred care reflecting her individual plan that reflects her own needs and aspirations. The National Institute for Health and Care Excellence (2024)</w:t>
      </w:r>
      <w:r w:rsidR="000E064E">
        <w:t xml:space="preserve"> emphasises that person-centred care must prioritise individual preferences, with care plans reflecting what matters most to the person</w:t>
      </w:r>
      <w:r>
        <w:t>.</w:t>
      </w:r>
      <w:r w:rsidR="000E064E">
        <w:t xml:space="preserve"> Robyn’s ability to employ personal assistants who accommodate her animal-centred lifestyle exemplifies this principle, contrasting sharply with the agency’s provision of staff with animal allergies or driving limitations. </w:t>
      </w:r>
      <w:r>
        <w:t>The Health Foundation (2016) highlights the importance of meaningful person-centred models where people have choice and control with Robyn</w:t>
      </w:r>
      <w:r>
        <w:rPr>
          <w:rFonts w:ascii="Aptos" w:hAnsi="Aptos" w:cs="Aptos"/>
        </w:rPr>
        <w:t>’</w:t>
      </w:r>
      <w:r>
        <w:t xml:space="preserve">s reduction to just a handful and reduction in </w:t>
      </w:r>
      <w:r>
        <w:lastRenderedPageBreak/>
        <w:t>happy accidents. Her re-crafting of the plan could be seen as true co-production, and consistent with NHS England</w:t>
      </w:r>
      <w:r>
        <w:rPr>
          <w:rFonts w:ascii="Aptos" w:hAnsi="Aptos" w:cs="Aptos"/>
        </w:rPr>
        <w:t>’</w:t>
      </w:r>
      <w:r>
        <w:t xml:space="preserve">s (2019) Comprehensive Model for Personalised Care that calls for shared decision- making which addresses the whole person rather than just their clinical needs. </w:t>
      </w:r>
    </w:p>
    <w:p w14:paraId="5E323E17" w14:textId="77777777" w:rsidR="00B90676" w:rsidRDefault="00B90676" w:rsidP="00B90676"/>
    <w:p w14:paraId="0D5630EC" w14:textId="77777777" w:rsidR="00B90676" w:rsidRDefault="00B90676" w:rsidP="00B90676">
      <w:r>
        <w:t>Partnership Working and Collaborative Practice</w:t>
      </w:r>
    </w:p>
    <w:p w14:paraId="3E9F76B8" w14:textId="77777777" w:rsidR="00B90676" w:rsidRDefault="00B90676" w:rsidP="00B90676"/>
    <w:p w14:paraId="2A0D9F03" w14:textId="41BB09F5" w:rsidR="00B90676" w:rsidRDefault="00B90676" w:rsidP="00B90676">
      <w:r>
        <w:t xml:space="preserve">The collaborative infrastructure underpinning Robyn’s PHB is an example of partnership working across organisations. NHS England (2019) highlights that the provision of personalised care is dependent on effective partnership working between health, social care and the third sector. Robyn's multidisciplinary team included the Continuing Health Care teams of local authority services, along with the adding in of both the Personal Health Budget Nurse and then also the Personal Budget Support Service, this model is subsequently an example of integration across multiple agencies which </w:t>
      </w:r>
      <w:proofErr w:type="gramStart"/>
      <w:r>
        <w:t>has to</w:t>
      </w:r>
      <w:proofErr w:type="gramEnd"/>
      <w:r>
        <w:t xml:space="preserve"> be addressed for complex care packages. The Skills for Care (2022) framework insists that partnership working should supply steadfast support in implementation at all levels, yet Robyn’s </w:t>
      </w:r>
      <w:proofErr w:type="gramStart"/>
      <w:r>
        <w:t>eighteen month</w:t>
      </w:r>
      <w:proofErr w:type="gramEnd"/>
      <w:r>
        <w:t xml:space="preserve"> journey and communication deficits provides areas in need of improvement. Her continued work with the Strategic Co-Production Group and NHS England Personalised Care Group epitomises co-production in action, where experts of lived experience help inform policy rather than the traditional model that attempts to flip power dynamics within healthcare relationships. </w:t>
      </w:r>
      <w:r w:rsidR="000952DD">
        <w:t xml:space="preserve"> </w:t>
      </w:r>
    </w:p>
    <w:p w14:paraId="40F94689" w14:textId="77777777" w:rsidR="000952DD" w:rsidRDefault="000952DD" w:rsidP="00B90676"/>
    <w:p w14:paraId="1F53BE20" w14:textId="00082414" w:rsidR="00B90676" w:rsidRDefault="000952DD" w:rsidP="00B90676">
      <w:r>
        <w:t xml:space="preserve">Ethical Considerations. </w:t>
      </w:r>
    </w:p>
    <w:p w14:paraId="2695177A" w14:textId="77777777" w:rsidR="000952DD" w:rsidRDefault="000952DD" w:rsidP="00B90676"/>
    <w:p w14:paraId="2C5EE20A" w14:textId="77EDA529" w:rsidR="00B90676" w:rsidRDefault="003C33CF" w:rsidP="003433C0">
      <w:r w:rsidRPr="003C33CF">
        <w:t xml:space="preserve">For Robyn complex ethical issues arise about autonomy and human dignity as well as professional duty of care. The dominant agency model, premised on balancing risk and safety over the pursuit of a good life, also seems at odds with the ethical underpinning of the Care Act 2014 which advocates not only for an individual’s minimal life needs to be met but also for their more general </w:t>
      </w:r>
      <w:proofErr w:type="spellStart"/>
      <w:r w:rsidRPr="003C33CF">
        <w:t>well being</w:t>
      </w:r>
      <w:proofErr w:type="spellEnd"/>
      <w:r w:rsidRPr="003C33CF">
        <w:t>. In contrast, when Robyn’s independent living was restored through self-directed support the consideration of fundamental human rights around dignity and autonomy were upheld. Moreover, integrating features, like employer insurance and collegiate control for payroll management to guarantee limited autonomy and safety net</w:t>
      </w:r>
      <w:r w:rsidR="004D567E">
        <w:t xml:space="preserve"> </w:t>
      </w:r>
      <w:r w:rsidRPr="003C33CF">
        <w:t>are already reali</w:t>
      </w:r>
      <w:r w:rsidR="004D567E">
        <w:t>s</w:t>
      </w:r>
      <w:r w:rsidRPr="003C33CF">
        <w:t>ed in several devices mentioned above.</w:t>
      </w:r>
      <w:r>
        <w:t xml:space="preserve"> </w:t>
      </w:r>
    </w:p>
    <w:p w14:paraId="13E50202" w14:textId="77777777" w:rsidR="00321AD3" w:rsidRDefault="00321AD3" w:rsidP="003433C0"/>
    <w:p w14:paraId="42B09DE4" w14:textId="48DD3A92" w:rsidR="00F0140C" w:rsidRDefault="00F0140C" w:rsidP="00F0140C">
      <w:r>
        <w:lastRenderedPageBreak/>
        <w:t>Task 3: Reflection Using Gibbs Reflective Cycle</w:t>
      </w:r>
      <w:r w:rsidR="004B37C8">
        <w:t xml:space="preserve">. </w:t>
      </w:r>
    </w:p>
    <w:p w14:paraId="0CA617A3" w14:textId="77777777" w:rsidR="00F0140C" w:rsidRDefault="00F0140C" w:rsidP="00F0140C"/>
    <w:p w14:paraId="5AE57997" w14:textId="77777777" w:rsidR="00F0140C" w:rsidRDefault="00F0140C" w:rsidP="00F0140C">
      <w:r>
        <w:t>Description</w:t>
      </w:r>
    </w:p>
    <w:p w14:paraId="30768A98" w14:textId="77777777" w:rsidR="00F0140C" w:rsidRDefault="00F0140C" w:rsidP="00F0140C"/>
    <w:p w14:paraId="0F9CC5F5" w14:textId="7E77850C" w:rsidR="00321AD3" w:rsidRDefault="00F0140C" w:rsidP="00F0140C">
      <w:r>
        <w:t>The person-centred approach, partnership-working and ethics are concepts that I encounter on a regular basis as a health and social care practitioner based in the community who works within the community mental health team. Most recently I was involved in the case of Mrs. Ahmed, a 67-year-old woman with dementia and diabetes who had her family split over her care. Her daughter felt she should be placed in residential care; her son believed she should stay home with assistance. This tension required the complex juggling of competing perspectives, whilst maintaining a central focus on Mrs. Ahmed and her voice in decisions that pertained to her future.</w:t>
      </w:r>
      <w:r w:rsidR="00527A7F">
        <w:t xml:space="preserve"> </w:t>
      </w:r>
    </w:p>
    <w:p w14:paraId="65741366" w14:textId="77777777" w:rsidR="00527A7F" w:rsidRDefault="00527A7F" w:rsidP="00F0140C"/>
    <w:p w14:paraId="0FD13673" w14:textId="77777777" w:rsidR="00E40251" w:rsidRDefault="00E40251" w:rsidP="00E40251">
      <w:r>
        <w:t>Feelings</w:t>
      </w:r>
    </w:p>
    <w:p w14:paraId="68228C81" w14:textId="77777777" w:rsidR="00E40251" w:rsidRDefault="00E40251" w:rsidP="00E40251"/>
    <w:p w14:paraId="2DC4CC81" w14:textId="31639C3A" w:rsidR="00527A7F" w:rsidRDefault="00E40251" w:rsidP="00E40251">
      <w:r>
        <w:t>At first, I was daunted by the complexity of comparisons between conflicting family dynamics on one hand and Mrs Ahmed’s fluctuating abilities and best interests on the other. I was both</w:t>
      </w:r>
      <w:r w:rsidR="00867185">
        <w:t xml:space="preserve"> </w:t>
      </w:r>
      <w:r>
        <w:t xml:space="preserve">anxious not to upset their family and so Mrs Ahmed's wishes would be heard &amp; respected though I felt quite resolved. The highly charged nature of the family dispute created pressure to accede to a quick settlement, but I understood that ethical decisions call for careful consideration rather than convenient compromise. </w:t>
      </w:r>
    </w:p>
    <w:p w14:paraId="34B53B05" w14:textId="77777777" w:rsidR="00E40251" w:rsidRDefault="00E40251" w:rsidP="00E40251"/>
    <w:p w14:paraId="4D83A3C7" w14:textId="77777777" w:rsidR="00A9103E" w:rsidRDefault="00A9103E" w:rsidP="00A9103E">
      <w:r>
        <w:t>Evaluation</w:t>
      </w:r>
    </w:p>
    <w:p w14:paraId="4E2EDC03" w14:textId="77777777" w:rsidR="00A9103E" w:rsidRDefault="00A9103E" w:rsidP="00A9103E"/>
    <w:p w14:paraId="76BB4D4E" w14:textId="73597C01" w:rsidR="00A9103E" w:rsidRDefault="00A9103E" w:rsidP="00A9103E">
      <w:r>
        <w:t xml:space="preserve">Some things about my practice went great. I employed the framework of the Mental Capacity Act 2005 to measure </w:t>
      </w:r>
      <w:r w:rsidR="007B0C45">
        <w:t>Mrs. Ahmed’s</w:t>
      </w:r>
      <w:r>
        <w:t xml:space="preserve"> </w:t>
      </w:r>
      <w:proofErr w:type="gramStart"/>
      <w:r>
        <w:t>capacity  certain</w:t>
      </w:r>
      <w:proofErr w:type="gramEnd"/>
      <w:r>
        <w:t xml:space="preserve"> care decisions bearing in mind that the capacity is decision and time specific and not global (Department of Health, 2005). At times of lucidity, she had indicated that she would prefer to stay at home, something I meticulously recorded. I chaired an interdisciplinary meeting with the occupational therapist, district nurse, social worker, GP and both family member in attendance reflecting partnership working as recommended by the Care Quality Commission (2018).</w:t>
      </w:r>
    </w:p>
    <w:p w14:paraId="0A91B0F6" w14:textId="77777777" w:rsidR="00A9103E" w:rsidRDefault="00A9103E" w:rsidP="00A9103E"/>
    <w:p w14:paraId="263F96DF" w14:textId="54E16B70" w:rsidR="00E40251" w:rsidRDefault="00734CD2" w:rsidP="00A9103E">
      <w:r>
        <w:lastRenderedPageBreak/>
        <w:t xml:space="preserve">However, I identified areas </w:t>
      </w:r>
      <w:r w:rsidR="009556E4">
        <w:t xml:space="preserve">requiring improvement, Initially, I focused </w:t>
      </w:r>
      <w:r w:rsidR="00225A72">
        <w:t xml:space="preserve">primarily on the family’s </w:t>
      </w:r>
      <w:r w:rsidR="008E1468">
        <w:t xml:space="preserve">perspectives rather than </w:t>
      </w:r>
      <w:r w:rsidR="006C4850">
        <w:t xml:space="preserve">adequately </w:t>
      </w:r>
      <w:proofErr w:type="gramStart"/>
      <w:r w:rsidR="006C4850">
        <w:t xml:space="preserve">exploring </w:t>
      </w:r>
      <w:r w:rsidR="00A9103E">
        <w:t xml:space="preserve"> Mrs.</w:t>
      </w:r>
      <w:proofErr w:type="gramEnd"/>
      <w:r w:rsidR="00A9103E">
        <w:t xml:space="preserve"> Ahmed's communication through non-verbal signs and actions which are emphasized by </w:t>
      </w:r>
      <w:proofErr w:type="spellStart"/>
      <w:r w:rsidR="00A9103E">
        <w:t>Kitwood's</w:t>
      </w:r>
      <w:proofErr w:type="spellEnd"/>
      <w:r w:rsidR="00A9103E">
        <w:t xml:space="preserve"> (1997) person-centred dementia care framework. Furthermore, although I used my knowledge of the ethical principles that Beauchamp and Childress (2019) outline, I found it particularly hard to balance between autonomy and beneficial when Mrs. Ahmed's ability to make decisions changed over time." </w:t>
      </w:r>
    </w:p>
    <w:p w14:paraId="000D375B" w14:textId="77777777" w:rsidR="00A9103E" w:rsidRDefault="00A9103E" w:rsidP="00A9103E"/>
    <w:p w14:paraId="348378D7" w14:textId="77777777" w:rsidR="00727B05" w:rsidRDefault="00727B05" w:rsidP="00727B05">
      <w:r>
        <w:t>Analysis</w:t>
      </w:r>
    </w:p>
    <w:p w14:paraId="32BF9B8F" w14:textId="77777777" w:rsidR="00727B05" w:rsidRDefault="00727B05" w:rsidP="00727B05"/>
    <w:p w14:paraId="7BBF936A" w14:textId="77777777" w:rsidR="00727B05" w:rsidRDefault="00727B05" w:rsidP="00727B05">
      <w:r>
        <w:t>Theoretical frameworks illuminate this experience. The Health Foundation (2016) argues that person-centred approaches to care of people with dementia necessitate creative communication and a willingness to connect and comprehend where someone is coming from even if their words fail them. I devalued the person as a whole and his/her psychological needs and personhood.</w:t>
      </w:r>
    </w:p>
    <w:p w14:paraId="7F873ADF" w14:textId="77777777" w:rsidR="00727B05" w:rsidRDefault="00727B05" w:rsidP="00727B05"/>
    <w:p w14:paraId="01EA7679" w14:textId="77777777" w:rsidR="00727B05" w:rsidRDefault="00727B05" w:rsidP="00727B05">
      <w:r>
        <w:t xml:space="preserve">Collaboration working effectively but not easily Partnership working was found to be crucial but also demanding. Bronstein (2003) emphasizes reflection on process is that of successful working together — something I initially neglected. The meeting I facilitated was an example of interdependency and shared ownership for goals, but also initially lacked the flexibility to meet in Mrs. Ahmed's zone of proximal development for communication. Person-centred coordinated care is about </w:t>
      </w:r>
      <w:r>
        <w:rPr>
          <w:rFonts w:ascii="Aptos" w:hAnsi="Aptos" w:cs="Aptos"/>
        </w:rPr>
        <w:t>“</w:t>
      </w:r>
      <w:r>
        <w:t>what matters to you</w:t>
      </w:r>
      <w:r>
        <w:rPr>
          <w:rFonts w:ascii="Aptos" w:hAnsi="Aptos" w:cs="Aptos"/>
        </w:rPr>
        <w:t>”</w:t>
      </w:r>
      <w:r>
        <w:t xml:space="preserve"> not </w:t>
      </w:r>
      <w:r>
        <w:rPr>
          <w:rFonts w:ascii="Aptos" w:hAnsi="Aptos" w:cs="Aptos"/>
        </w:rPr>
        <w:t>“</w:t>
      </w:r>
      <w:r>
        <w:t>what’s the matter with you”—a dichotomy that I had to do more deliberate work to embed.</w:t>
      </w:r>
    </w:p>
    <w:p w14:paraId="1ACFC45F" w14:textId="77777777" w:rsidR="00727B05" w:rsidRDefault="00727B05" w:rsidP="00727B05"/>
    <w:p w14:paraId="3337F203" w14:textId="23E1E148" w:rsidR="00A9103E" w:rsidRDefault="00727B05" w:rsidP="00727B05">
      <w:r>
        <w:t xml:space="preserve">Morally, the case was a conflict between autonomy and beneficence. Banks (2016) considers the potential value of care ethics, which focuses on interconnectedness and relationships to complement </w:t>
      </w:r>
      <w:r w:rsidR="00431EE5">
        <w:t>principles</w:t>
      </w:r>
      <w:r>
        <w:t xml:space="preserve"> in these familiar settings. Statutory guidance to the Care Act 20145 highlights how workers should (t) empower individuals and support communities – focusing on their strengths, assets and capacities, helping people and communities to take control of their lives. </w:t>
      </w:r>
    </w:p>
    <w:p w14:paraId="6CF6E80D" w14:textId="77777777" w:rsidR="00727B05" w:rsidRDefault="00727B05" w:rsidP="00727B05"/>
    <w:p w14:paraId="0F08E260" w14:textId="77777777" w:rsidR="002B0226" w:rsidRDefault="002B0226" w:rsidP="002B0226">
      <w:r>
        <w:t>Conclusion of Reflection</w:t>
      </w:r>
    </w:p>
    <w:p w14:paraId="62E13419" w14:textId="77777777" w:rsidR="002B0226" w:rsidRDefault="002B0226" w:rsidP="002B0226"/>
    <w:p w14:paraId="150D9AAD" w14:textId="43032285" w:rsidR="00727B05" w:rsidRDefault="002B0226" w:rsidP="002B0226">
      <w:r>
        <w:lastRenderedPageBreak/>
        <w:t xml:space="preserve">This served as a reminder that person-centred care, collaboration and ethics are more than just abstract ideas but important imperatives which need to be practiced daily and worked upon. Good practice requires that we go further than mere procedural compliance and engage with the lives, values, and relationships of people. I am particularly good at ensuring everyone who should be consulted is involved in the decision-making process, </w:t>
      </w:r>
      <w:r w:rsidR="00235900">
        <w:t>applying</w:t>
      </w:r>
      <w:r>
        <w:t xml:space="preserve"> legal frameworks and convening a multidisciplinary approach. But I need better training in communication with such patients and much more confidence when it comes to ethical complexity. </w:t>
      </w:r>
    </w:p>
    <w:p w14:paraId="1ED3AEDC" w14:textId="77777777" w:rsidR="00235900" w:rsidRDefault="00235900" w:rsidP="002B0226"/>
    <w:p w14:paraId="46F126EF" w14:textId="77777777" w:rsidR="00573732" w:rsidRDefault="00573732" w:rsidP="00573732">
      <w:r>
        <w:t>Action Plan</w:t>
      </w:r>
    </w:p>
    <w:p w14:paraId="2C6F7345" w14:textId="77777777" w:rsidR="00573732" w:rsidRDefault="00573732" w:rsidP="00573732"/>
    <w:p w14:paraId="14A9DF16" w14:textId="02A33C29" w:rsidR="00235900" w:rsidRDefault="00573732" w:rsidP="00573732">
      <w:r>
        <w:t>To develop my skills further for this role, there are some activities I will undertake. To begin with, I will pursue further education on advanced communication skills as applied in mediation and conflict resolution within healthcare.</w:t>
      </w:r>
      <w:r w:rsidR="00B61637">
        <w:t xml:space="preserve"> Secondly, I will engage with clinical </w:t>
      </w:r>
      <w:r w:rsidR="00D41A68">
        <w:t xml:space="preserve">supervision monthly to reflect critically </w:t>
      </w:r>
      <w:r w:rsidR="00A159C7">
        <w:t>on ethical dilemmas, utilising estab</w:t>
      </w:r>
      <w:r w:rsidR="00FC2DCF">
        <w:t xml:space="preserve">lished decision- making frameworks. </w:t>
      </w:r>
      <w:r>
        <w:t xml:space="preserve"> Thirdly, I will seek guidance and support from experienced professionals who excel in partnership liaison so that I can view and adopt complex partnering-facilitation techniques. I will also continue to keep a practice journal as a form of systematic reflection for continuing education purposes in situations where there are challenging events. </w:t>
      </w:r>
      <w:proofErr w:type="gramStart"/>
      <w:r>
        <w:t>Finally</w:t>
      </w:r>
      <w:proofErr w:type="gramEnd"/>
      <w:r>
        <w:t xml:space="preserve"> I will engage in multi-discipline team meetings and ask for feedback on my collaborative mode of practice that to help drive ongoing professional development. These activities will all help to ensure that person-centred care, partnership working, and ethical practice continue to be the core of who I am as a developing practitioner. </w:t>
      </w:r>
    </w:p>
    <w:p w14:paraId="0A641E20" w14:textId="77777777" w:rsidR="00573732" w:rsidRDefault="00573732" w:rsidP="00573732"/>
    <w:p w14:paraId="77F3BA5C" w14:textId="77777777" w:rsidR="00C035FA" w:rsidRDefault="00C035FA" w:rsidP="00C035FA">
      <w:r>
        <w:t>Conclusion</w:t>
      </w:r>
    </w:p>
    <w:p w14:paraId="5C41557B" w14:textId="77777777" w:rsidR="00C035FA" w:rsidRDefault="00C035FA" w:rsidP="00C035FA"/>
    <w:p w14:paraId="7DB9E299" w14:textId="04DABF4D" w:rsidR="00573732" w:rsidRDefault="00C035FA" w:rsidP="00C035FA">
      <w:r>
        <w:t xml:space="preserve">This essay has highlighted the importance of </w:t>
      </w:r>
      <w:proofErr w:type="gramStart"/>
      <w:r>
        <w:t>person centred</w:t>
      </w:r>
      <w:proofErr w:type="gramEnd"/>
      <w:r>
        <w:t xml:space="preserve"> care, partnership working and ethical practice in UK health and social care provision. In theory, these principles provide a strong framework for ensuring care which acknowledges the dignity, autonomy and circumstances of all men and women. Gibbs’ Reflective Cycle in practice has demonstrated the challenges and opportunities involved in embedding these principles in everyday professional practice. The reflective critique suggests that while legal frameworks, such as the Care Act 2014 and the Mental Capacity Act 2005, offer important direction effective implementation of these frameworks requires professionals to develop nuanced communication skills, ethical reasoning capacity and strong capacities for collaborative working. Exemplary practice in health and social </w:t>
      </w:r>
      <w:r>
        <w:lastRenderedPageBreak/>
        <w:t xml:space="preserve">care requires ongoing reflection, learning and adaptation. By staying a participant for life in the lifelong learning process and by genuinely embedding the core values in their practice, therapists can ensure that they provide care to individuals seeking services that truly celebrates each person's humanity, honours their choices and supports wellness. </w:t>
      </w:r>
      <w:r w:rsidR="004B37C8">
        <w:t xml:space="preserve"> </w:t>
      </w:r>
    </w:p>
    <w:p w14:paraId="70C9A46E" w14:textId="77777777" w:rsidR="004B37C8" w:rsidRDefault="004B37C8" w:rsidP="00C035FA"/>
    <w:p w14:paraId="1B43E7B4" w14:textId="1A8E0ED2" w:rsidR="004B37C8" w:rsidRDefault="004B37C8" w:rsidP="00C035FA">
      <w:r>
        <w:t xml:space="preserve">References. </w:t>
      </w:r>
      <w:r w:rsidR="003C33CF">
        <w:t xml:space="preserve"> </w:t>
      </w:r>
    </w:p>
    <w:p w14:paraId="6C1F7BA9" w14:textId="77777777" w:rsidR="003C33CF" w:rsidRDefault="003C33CF" w:rsidP="003C33CF">
      <w:r>
        <w:t>Banks, S. (2016</w:t>
      </w:r>
      <w:r w:rsidRPr="00743A1E">
        <w:rPr>
          <w:i/>
          <w:iCs/>
        </w:rPr>
        <w:t>) Ethics and values in social work</w:t>
      </w:r>
      <w:r>
        <w:t xml:space="preserve">. 4th </w:t>
      </w:r>
      <w:proofErr w:type="spellStart"/>
      <w:r>
        <w:t>edn</w:t>
      </w:r>
      <w:proofErr w:type="spellEnd"/>
      <w:r>
        <w:t>. London: Palgrave Macmillan.</w:t>
      </w:r>
    </w:p>
    <w:p w14:paraId="0ED7EE12" w14:textId="431618FB" w:rsidR="003C33CF" w:rsidRDefault="003C33CF" w:rsidP="003C33CF">
      <w:r>
        <w:t>Beauchamp, T. L. and Childress, J. F. (20</w:t>
      </w:r>
      <w:r w:rsidR="00743A1E">
        <w:rPr>
          <w:i/>
          <w:iCs/>
        </w:rPr>
        <w:t>19)</w:t>
      </w:r>
      <w:r w:rsidRPr="00743A1E">
        <w:rPr>
          <w:i/>
          <w:iCs/>
        </w:rPr>
        <w:t xml:space="preserve"> Principles of biomedical ethics</w:t>
      </w:r>
      <w:r>
        <w:t xml:space="preserve">. 8th </w:t>
      </w:r>
      <w:proofErr w:type="spellStart"/>
      <w:r>
        <w:t>edn</w:t>
      </w:r>
      <w:proofErr w:type="spellEnd"/>
      <w:r>
        <w:t>. New York: Oxford University Press.</w:t>
      </w:r>
    </w:p>
    <w:p w14:paraId="0CD4DCC4" w14:textId="77777777" w:rsidR="003C33CF" w:rsidRDefault="003C33CF" w:rsidP="003C33CF">
      <w:r>
        <w:t>Bronstein, L. R. (2003) 'A model for interdisciplinary collaboration'</w:t>
      </w:r>
      <w:r w:rsidRPr="00743A1E">
        <w:rPr>
          <w:i/>
          <w:iCs/>
        </w:rPr>
        <w:t>, Social Work</w:t>
      </w:r>
      <w:r>
        <w:t>, 48(3), pp. 297-306.</w:t>
      </w:r>
    </w:p>
    <w:p w14:paraId="5D2615D5" w14:textId="77777777" w:rsidR="003C33CF" w:rsidRDefault="003C33CF" w:rsidP="003C33CF">
      <w:r>
        <w:t xml:space="preserve">Care Quality Commission (2018) </w:t>
      </w:r>
      <w:r w:rsidRPr="00743A1E">
        <w:rPr>
          <w:i/>
          <w:iCs/>
        </w:rPr>
        <w:t>Working together: how we work with other regulators and organisations.</w:t>
      </w:r>
      <w:r>
        <w:t xml:space="preserve"> London: CQC.</w:t>
      </w:r>
    </w:p>
    <w:p w14:paraId="192062EC" w14:textId="77777777" w:rsidR="003C33CF" w:rsidRDefault="003C33CF" w:rsidP="003C33CF">
      <w:r>
        <w:t>Department of Health (2005</w:t>
      </w:r>
      <w:r w:rsidRPr="00743A1E">
        <w:rPr>
          <w:i/>
          <w:iCs/>
        </w:rPr>
        <w:t>) Mental Capacity Act 2005: Code of Practice</w:t>
      </w:r>
      <w:r>
        <w:t>. London: The Stationery Office.</w:t>
      </w:r>
    </w:p>
    <w:p w14:paraId="0A7FC9B6" w14:textId="77777777" w:rsidR="003C33CF" w:rsidRDefault="003C33CF" w:rsidP="003C33CF">
      <w:r>
        <w:t>Glasby, J. and Dickinson, H. (2014</w:t>
      </w:r>
      <w:r w:rsidRPr="00743A1E">
        <w:rPr>
          <w:i/>
          <w:iCs/>
        </w:rPr>
        <w:t>) Partnership working in health and social care</w:t>
      </w:r>
      <w:r>
        <w:t xml:space="preserve">. 2nd </w:t>
      </w:r>
      <w:proofErr w:type="spellStart"/>
      <w:r>
        <w:t>edn</w:t>
      </w:r>
      <w:proofErr w:type="spellEnd"/>
      <w:r>
        <w:t>. Bristol: Policy Press.</w:t>
      </w:r>
    </w:p>
    <w:p w14:paraId="6369F3A7" w14:textId="77777777" w:rsidR="003C33CF" w:rsidRDefault="003C33CF" w:rsidP="003C33CF">
      <w:r>
        <w:t xml:space="preserve">Health Foundation (2016) </w:t>
      </w:r>
      <w:r w:rsidRPr="00743A1E">
        <w:rPr>
          <w:i/>
          <w:iCs/>
        </w:rPr>
        <w:t>Person-centred care made simple</w:t>
      </w:r>
      <w:r>
        <w:t>. London: Health Foundation.</w:t>
      </w:r>
    </w:p>
    <w:p w14:paraId="72B531C5" w14:textId="12E33079" w:rsidR="003C33CF" w:rsidRDefault="003C33CF" w:rsidP="003C33CF">
      <w:proofErr w:type="spellStart"/>
      <w:r>
        <w:t>Kitwood</w:t>
      </w:r>
      <w:proofErr w:type="spellEnd"/>
      <w:r>
        <w:t xml:space="preserve">, T. (1997) </w:t>
      </w:r>
      <w:r w:rsidRPr="00743A1E">
        <w:rPr>
          <w:i/>
          <w:iCs/>
        </w:rPr>
        <w:t>Dementia reconsidered: the person comes first</w:t>
      </w:r>
      <w:r>
        <w:t xml:space="preserve">. Buckingham: Open University Press. </w:t>
      </w:r>
    </w:p>
    <w:p w14:paraId="43B923F7" w14:textId="77777777" w:rsidR="003C33CF" w:rsidRDefault="003C33CF" w:rsidP="003C33CF">
      <w:r>
        <w:t xml:space="preserve">National Institute for Health and Care Excellence (2024) </w:t>
      </w:r>
      <w:r w:rsidRPr="00743A1E">
        <w:rPr>
          <w:i/>
          <w:iCs/>
        </w:rPr>
        <w:t xml:space="preserve">Patient experience in adult NHS services. </w:t>
      </w:r>
      <w:r>
        <w:t>London: NICE.</w:t>
      </w:r>
    </w:p>
    <w:p w14:paraId="6A4C07A3" w14:textId="30A59B3D" w:rsidR="003C33CF" w:rsidRDefault="003C33CF" w:rsidP="003C33CF">
      <w:r>
        <w:t xml:space="preserve">NHS England (2019) </w:t>
      </w:r>
      <w:r w:rsidRPr="00743A1E">
        <w:rPr>
          <w:i/>
          <w:iCs/>
        </w:rPr>
        <w:t>The NHS Long Term Plan</w:t>
      </w:r>
      <w:r>
        <w:t>. London: NHS England.</w:t>
      </w:r>
    </w:p>
    <w:p w14:paraId="2C43462F" w14:textId="77777777" w:rsidR="003C33CF" w:rsidRDefault="003C33CF" w:rsidP="003C33CF">
      <w:r>
        <w:t xml:space="preserve">Nursing and Midwifery Council (2018) </w:t>
      </w:r>
      <w:r w:rsidRPr="00743A1E">
        <w:rPr>
          <w:i/>
          <w:iCs/>
        </w:rPr>
        <w:t xml:space="preserve">The Code: professional standards of practice and behaviour for nurses, midwives and nursing associates. </w:t>
      </w:r>
      <w:r>
        <w:t>London: NMC.</w:t>
      </w:r>
    </w:p>
    <w:p w14:paraId="38847F30" w14:textId="06945CCB" w:rsidR="003C33CF" w:rsidRDefault="003C33CF" w:rsidP="003C33CF">
      <w:r>
        <w:t xml:space="preserve">Santana, M. J. et al. (2018) 'How to practice person-centred care: a conceptual framework', </w:t>
      </w:r>
      <w:r w:rsidRPr="00743A1E">
        <w:rPr>
          <w:i/>
          <w:iCs/>
        </w:rPr>
        <w:t>Health Expectations</w:t>
      </w:r>
      <w:r>
        <w:t xml:space="preserve">, 21(2), pp. 429-440. </w:t>
      </w:r>
    </w:p>
    <w:p w14:paraId="4FEECDC6" w14:textId="321DC244" w:rsidR="003C33CF" w:rsidRDefault="003C33CF" w:rsidP="003C33CF">
      <w:r w:rsidRPr="003C33CF">
        <w:t xml:space="preserve">Skills for Care (2022) </w:t>
      </w:r>
      <w:r w:rsidRPr="00743A1E">
        <w:rPr>
          <w:i/>
          <w:iCs/>
        </w:rPr>
        <w:t>Working together: partnership working in adult social care</w:t>
      </w:r>
      <w:r w:rsidRPr="003C33CF">
        <w:t>. Leeds: Skills for Care.</w:t>
      </w:r>
      <w:r>
        <w:t xml:space="preserve"> </w:t>
      </w:r>
    </w:p>
    <w:p w14:paraId="6E0C54BC" w14:textId="4058E0AB" w:rsidR="003C33CF" w:rsidRDefault="003C33CF" w:rsidP="003C33CF">
      <w:r w:rsidRPr="003C33CF">
        <w:t xml:space="preserve">UK Parliament (2014) </w:t>
      </w:r>
      <w:r w:rsidRPr="00743A1E">
        <w:rPr>
          <w:i/>
          <w:iCs/>
        </w:rPr>
        <w:t>Care Act 2014</w:t>
      </w:r>
      <w:r w:rsidRPr="003C33CF">
        <w:t>. London: The Stationery Office.</w:t>
      </w:r>
      <w:r>
        <w:t xml:space="preserve"> </w:t>
      </w:r>
    </w:p>
    <w:p w14:paraId="7BF99C25" w14:textId="77777777" w:rsidR="004D567E" w:rsidRDefault="004D567E" w:rsidP="003C33CF"/>
    <w:p w14:paraId="32EB1ADD" w14:textId="77777777" w:rsidR="004D567E" w:rsidRDefault="004D567E" w:rsidP="003C33CF"/>
    <w:p w14:paraId="36771EBE" w14:textId="77777777" w:rsidR="003C33CF" w:rsidRDefault="003C33CF" w:rsidP="003C33CF"/>
    <w:p w14:paraId="156808DC" w14:textId="77777777" w:rsidR="004B37C8" w:rsidRDefault="004B37C8" w:rsidP="00C035FA"/>
    <w:p w14:paraId="5847E5BD" w14:textId="77777777" w:rsidR="00C035FA" w:rsidRDefault="00C035FA" w:rsidP="00C035FA"/>
    <w:p w14:paraId="54185512" w14:textId="77777777" w:rsidR="00C035FA" w:rsidRDefault="00C035FA" w:rsidP="00C035FA"/>
    <w:p w14:paraId="2A7DE420" w14:textId="77777777" w:rsidR="002B0226" w:rsidRDefault="002B0226" w:rsidP="002B0226"/>
    <w:p w14:paraId="76127FDA" w14:textId="77777777" w:rsidR="002B0226" w:rsidRDefault="002B0226" w:rsidP="002B0226"/>
    <w:p w14:paraId="11BC967F" w14:textId="77777777" w:rsidR="008A2816" w:rsidRDefault="008A2816"/>
    <w:sectPr w:rsidR="008A281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B33DD4" w14:textId="77777777" w:rsidR="008107C7" w:rsidRDefault="008107C7" w:rsidP="008A2816">
      <w:pPr>
        <w:spacing w:after="0" w:line="240" w:lineRule="auto"/>
      </w:pPr>
      <w:r>
        <w:separator/>
      </w:r>
    </w:p>
  </w:endnote>
  <w:endnote w:type="continuationSeparator" w:id="0">
    <w:p w14:paraId="75ABD66E" w14:textId="77777777" w:rsidR="008107C7" w:rsidRDefault="008107C7" w:rsidP="008A2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F8CDF" w14:textId="77777777" w:rsidR="008107C7" w:rsidRDefault="008107C7" w:rsidP="008A2816">
      <w:pPr>
        <w:spacing w:after="0" w:line="240" w:lineRule="auto"/>
      </w:pPr>
      <w:r>
        <w:separator/>
      </w:r>
    </w:p>
  </w:footnote>
  <w:footnote w:type="continuationSeparator" w:id="0">
    <w:p w14:paraId="14FEE6E7" w14:textId="77777777" w:rsidR="008107C7" w:rsidRDefault="008107C7" w:rsidP="008A2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1189909"/>
      <w:docPartObj>
        <w:docPartGallery w:val="Page Numbers (Top of Page)"/>
        <w:docPartUnique/>
      </w:docPartObj>
    </w:sdtPr>
    <w:sdtEndPr>
      <w:rPr>
        <w:noProof/>
      </w:rPr>
    </w:sdtEndPr>
    <w:sdtContent>
      <w:p w14:paraId="541619D4" w14:textId="16079159" w:rsidR="008A2816" w:rsidRDefault="008A281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8D00B16" w14:textId="77777777" w:rsidR="008A2816" w:rsidRDefault="008A28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816"/>
    <w:rsid w:val="00003B24"/>
    <w:rsid w:val="000460ED"/>
    <w:rsid w:val="000952DD"/>
    <w:rsid w:val="000E064E"/>
    <w:rsid w:val="000E29A1"/>
    <w:rsid w:val="00224487"/>
    <w:rsid w:val="00225A72"/>
    <w:rsid w:val="00235900"/>
    <w:rsid w:val="002828DE"/>
    <w:rsid w:val="002B0226"/>
    <w:rsid w:val="00320508"/>
    <w:rsid w:val="00321AD3"/>
    <w:rsid w:val="00323567"/>
    <w:rsid w:val="003433C0"/>
    <w:rsid w:val="003C33CF"/>
    <w:rsid w:val="00431EE5"/>
    <w:rsid w:val="00435B25"/>
    <w:rsid w:val="004A7A09"/>
    <w:rsid w:val="004B37C8"/>
    <w:rsid w:val="004D567E"/>
    <w:rsid w:val="00527A7F"/>
    <w:rsid w:val="00573732"/>
    <w:rsid w:val="005F4F8E"/>
    <w:rsid w:val="00624CEB"/>
    <w:rsid w:val="006A6994"/>
    <w:rsid w:val="006C4850"/>
    <w:rsid w:val="0071796B"/>
    <w:rsid w:val="00727B05"/>
    <w:rsid w:val="00734CD2"/>
    <w:rsid w:val="00743A1E"/>
    <w:rsid w:val="00753216"/>
    <w:rsid w:val="007B0C45"/>
    <w:rsid w:val="007F1CAF"/>
    <w:rsid w:val="008107C7"/>
    <w:rsid w:val="00867185"/>
    <w:rsid w:val="008A2816"/>
    <w:rsid w:val="008E1468"/>
    <w:rsid w:val="00913929"/>
    <w:rsid w:val="009556E4"/>
    <w:rsid w:val="00990098"/>
    <w:rsid w:val="00A1221A"/>
    <w:rsid w:val="00A159C7"/>
    <w:rsid w:val="00A4524D"/>
    <w:rsid w:val="00A84558"/>
    <w:rsid w:val="00A9103E"/>
    <w:rsid w:val="00B51E66"/>
    <w:rsid w:val="00B61637"/>
    <w:rsid w:val="00B8568F"/>
    <w:rsid w:val="00B90676"/>
    <w:rsid w:val="00BA1F00"/>
    <w:rsid w:val="00C035FA"/>
    <w:rsid w:val="00D41A68"/>
    <w:rsid w:val="00D76AA5"/>
    <w:rsid w:val="00DF5631"/>
    <w:rsid w:val="00E0479D"/>
    <w:rsid w:val="00E40251"/>
    <w:rsid w:val="00F0140C"/>
    <w:rsid w:val="00FC2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A9AEE"/>
  <w15:chartTrackingRefBased/>
  <w15:docId w15:val="{03B29C39-4C51-4D6D-9116-FA43738E2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8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28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28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28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28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28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8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8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8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8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28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28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28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28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28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28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28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2816"/>
    <w:rPr>
      <w:rFonts w:eastAsiaTheme="majorEastAsia" w:cstheme="majorBidi"/>
      <w:color w:val="272727" w:themeColor="text1" w:themeTint="D8"/>
    </w:rPr>
  </w:style>
  <w:style w:type="paragraph" w:styleId="Title">
    <w:name w:val="Title"/>
    <w:basedOn w:val="Normal"/>
    <w:next w:val="Normal"/>
    <w:link w:val="TitleChar"/>
    <w:uiPriority w:val="10"/>
    <w:qFormat/>
    <w:rsid w:val="008A28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8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8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8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2816"/>
    <w:pPr>
      <w:spacing w:before="160"/>
      <w:jc w:val="center"/>
    </w:pPr>
    <w:rPr>
      <w:i/>
      <w:iCs/>
      <w:color w:val="404040" w:themeColor="text1" w:themeTint="BF"/>
    </w:rPr>
  </w:style>
  <w:style w:type="character" w:customStyle="1" w:styleId="QuoteChar">
    <w:name w:val="Quote Char"/>
    <w:basedOn w:val="DefaultParagraphFont"/>
    <w:link w:val="Quote"/>
    <w:uiPriority w:val="29"/>
    <w:rsid w:val="008A2816"/>
    <w:rPr>
      <w:i/>
      <w:iCs/>
      <w:color w:val="404040" w:themeColor="text1" w:themeTint="BF"/>
    </w:rPr>
  </w:style>
  <w:style w:type="paragraph" w:styleId="ListParagraph">
    <w:name w:val="List Paragraph"/>
    <w:basedOn w:val="Normal"/>
    <w:uiPriority w:val="34"/>
    <w:qFormat/>
    <w:rsid w:val="008A2816"/>
    <w:pPr>
      <w:ind w:left="720"/>
      <w:contextualSpacing/>
    </w:pPr>
  </w:style>
  <w:style w:type="character" w:styleId="IntenseEmphasis">
    <w:name w:val="Intense Emphasis"/>
    <w:basedOn w:val="DefaultParagraphFont"/>
    <w:uiPriority w:val="21"/>
    <w:qFormat/>
    <w:rsid w:val="008A2816"/>
    <w:rPr>
      <w:i/>
      <w:iCs/>
      <w:color w:val="0F4761" w:themeColor="accent1" w:themeShade="BF"/>
    </w:rPr>
  </w:style>
  <w:style w:type="paragraph" w:styleId="IntenseQuote">
    <w:name w:val="Intense Quote"/>
    <w:basedOn w:val="Normal"/>
    <w:next w:val="Normal"/>
    <w:link w:val="IntenseQuoteChar"/>
    <w:uiPriority w:val="30"/>
    <w:qFormat/>
    <w:rsid w:val="008A28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2816"/>
    <w:rPr>
      <w:i/>
      <w:iCs/>
      <w:color w:val="0F4761" w:themeColor="accent1" w:themeShade="BF"/>
    </w:rPr>
  </w:style>
  <w:style w:type="character" w:styleId="IntenseReference">
    <w:name w:val="Intense Reference"/>
    <w:basedOn w:val="DefaultParagraphFont"/>
    <w:uiPriority w:val="32"/>
    <w:qFormat/>
    <w:rsid w:val="008A2816"/>
    <w:rPr>
      <w:b/>
      <w:bCs/>
      <w:smallCaps/>
      <w:color w:val="0F4761" w:themeColor="accent1" w:themeShade="BF"/>
      <w:spacing w:val="5"/>
    </w:rPr>
  </w:style>
  <w:style w:type="paragraph" w:styleId="Header">
    <w:name w:val="header"/>
    <w:basedOn w:val="Normal"/>
    <w:link w:val="HeaderChar"/>
    <w:uiPriority w:val="99"/>
    <w:unhideWhenUsed/>
    <w:rsid w:val="008A2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816"/>
  </w:style>
  <w:style w:type="paragraph" w:styleId="Footer">
    <w:name w:val="footer"/>
    <w:basedOn w:val="Normal"/>
    <w:link w:val="FooterChar"/>
    <w:uiPriority w:val="99"/>
    <w:unhideWhenUsed/>
    <w:rsid w:val="008A2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61d2892f15b40d7eeb84b2ad146cbcd">
  <xsd:schema xmlns:xsd="http://www.w3.org/2001/XMLSchema" xmlns:xs="http://www.w3.org/2001/XMLSchema" xmlns:p="http://schemas.microsoft.com/office/2006/metadata/properties" xmlns:ns3="ccfc14db-0f45-423b-b2f5-752f8f8a0ada" targetNamespace="http://schemas.microsoft.com/office/2006/metadata/properties" ma:root="true" ma:fieldsID="2ad51a59005074aa92aa2d9734734212"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A8FF4293-F7BF-4F45-BB08-EC90DF9316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E33DB0-2FD4-4A2D-BD1E-A4B9C87F8DF0}">
  <ds:schemaRefs>
    <ds:schemaRef ds:uri="http://schemas.microsoft.com/sharepoint/v3/contenttype/forms"/>
  </ds:schemaRefs>
</ds:datastoreItem>
</file>

<file path=customXml/itemProps3.xml><?xml version="1.0" encoding="utf-8"?>
<ds:datastoreItem xmlns:ds="http://schemas.openxmlformats.org/officeDocument/2006/customXml" ds:itemID="{8A5BDB32-48DE-4125-9EE2-20A97DC8D327}">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10</Pages>
  <Words>2237</Words>
  <Characters>13717</Characters>
  <Application>Microsoft Office Word</Application>
  <DocSecurity>0</DocSecurity>
  <Lines>309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 Khan (2424667)</dc:creator>
  <cp:keywords/>
  <dc:description/>
  <cp:lastModifiedBy>Nageen Khan (2424667)</cp:lastModifiedBy>
  <cp:revision>40</cp:revision>
  <dcterms:created xsi:type="dcterms:W3CDTF">2026-01-31T15:03:00Z</dcterms:created>
  <dcterms:modified xsi:type="dcterms:W3CDTF">2026-02-22T15:45:00Z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