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81EF77" w14:textId="77777777" w:rsidR="00B151A8" w:rsidRDefault="00B151A8"/>
    <w:p w14:paraId="192BC9DC" w14:textId="77777777" w:rsidR="009E1E75" w:rsidRPr="009E1E75" w:rsidRDefault="009E1E75" w:rsidP="009E1E75">
      <w:pPr>
        <w:spacing w:line="360" w:lineRule="auto"/>
        <w:jc w:val="center"/>
        <w:rPr>
          <w:rFonts w:ascii="Arial" w:hAnsi="Arial" w:cs="Arial"/>
          <w:sz w:val="28"/>
          <w:szCs w:val="28"/>
        </w:rPr>
      </w:pPr>
    </w:p>
    <w:p w14:paraId="501B5872" w14:textId="54DDBEF2" w:rsidR="009E1E75" w:rsidRPr="009E1E75" w:rsidRDefault="009E1E75" w:rsidP="009E1E75">
      <w:pPr>
        <w:spacing w:line="360" w:lineRule="auto"/>
        <w:jc w:val="center"/>
        <w:rPr>
          <w:rFonts w:ascii="Arial" w:hAnsi="Arial" w:cs="Arial"/>
          <w:b/>
          <w:bCs/>
          <w:sz w:val="28"/>
          <w:szCs w:val="28"/>
        </w:rPr>
      </w:pPr>
      <w:r w:rsidRPr="009E1E75">
        <w:rPr>
          <w:rFonts w:ascii="Arial" w:hAnsi="Arial" w:cs="Arial"/>
          <w:b/>
          <w:bCs/>
          <w:sz w:val="28"/>
          <w:szCs w:val="28"/>
        </w:rPr>
        <w:t>BMIH6007 – International Meetings Management for the Hotel Industry</w:t>
      </w:r>
    </w:p>
    <w:p w14:paraId="441CE3F5" w14:textId="59F33D87" w:rsidR="009E1E75" w:rsidRDefault="009E1E75" w:rsidP="009E1E75">
      <w:pPr>
        <w:spacing w:line="360" w:lineRule="auto"/>
        <w:jc w:val="center"/>
        <w:rPr>
          <w:rFonts w:ascii="Arial" w:hAnsi="Arial" w:cs="Arial"/>
          <w:sz w:val="28"/>
          <w:szCs w:val="28"/>
        </w:rPr>
      </w:pPr>
      <w:r w:rsidRPr="009E1E75">
        <w:rPr>
          <w:rFonts w:ascii="Arial" w:hAnsi="Arial" w:cs="Arial"/>
          <w:sz w:val="28"/>
          <w:szCs w:val="28"/>
        </w:rPr>
        <w:t xml:space="preserve">Diverse </w:t>
      </w:r>
      <w:proofErr w:type="spellStart"/>
      <w:r w:rsidRPr="009E1E75">
        <w:rPr>
          <w:rFonts w:ascii="Arial" w:hAnsi="Arial" w:cs="Arial"/>
          <w:sz w:val="28"/>
          <w:szCs w:val="28"/>
        </w:rPr>
        <w:t>Leaders</w:t>
      </w:r>
      <w:proofErr w:type="spellEnd"/>
      <w:r w:rsidRPr="009E1E75">
        <w:rPr>
          <w:rFonts w:ascii="Arial" w:hAnsi="Arial" w:cs="Arial"/>
          <w:sz w:val="28"/>
          <w:szCs w:val="28"/>
        </w:rPr>
        <w:t xml:space="preserve"> Summit: Race and Gender in Hospitality Leadership</w:t>
      </w:r>
    </w:p>
    <w:p w14:paraId="1404C708" w14:textId="77777777" w:rsidR="009E1E75" w:rsidRDefault="009E1E75" w:rsidP="009E1E75">
      <w:pPr>
        <w:spacing w:line="360" w:lineRule="auto"/>
        <w:jc w:val="center"/>
        <w:rPr>
          <w:rFonts w:ascii="Arial" w:hAnsi="Arial" w:cs="Arial"/>
          <w:sz w:val="28"/>
          <w:szCs w:val="28"/>
        </w:rPr>
      </w:pPr>
    </w:p>
    <w:p w14:paraId="36BAF0FD" w14:textId="77777777" w:rsidR="009E1E75" w:rsidRPr="009E1E75" w:rsidRDefault="009E1E75" w:rsidP="009E1E75">
      <w:pPr>
        <w:spacing w:line="360" w:lineRule="auto"/>
        <w:jc w:val="center"/>
        <w:rPr>
          <w:rFonts w:ascii="Arial" w:hAnsi="Arial" w:cs="Arial"/>
          <w:sz w:val="28"/>
          <w:szCs w:val="28"/>
        </w:rPr>
      </w:pPr>
    </w:p>
    <w:p w14:paraId="2361FFFA" w14:textId="51541F33" w:rsidR="009E1E75" w:rsidRPr="009E1E75" w:rsidRDefault="009E1E75" w:rsidP="009E1E75">
      <w:pPr>
        <w:spacing w:line="360" w:lineRule="auto"/>
        <w:jc w:val="center"/>
        <w:rPr>
          <w:rFonts w:ascii="Arial" w:hAnsi="Arial" w:cs="Arial"/>
          <w:sz w:val="28"/>
          <w:szCs w:val="28"/>
        </w:rPr>
      </w:pPr>
      <w:r w:rsidRPr="009E1E75">
        <w:rPr>
          <w:rFonts w:ascii="Arial" w:hAnsi="Arial" w:cs="Arial"/>
          <w:sz w:val="28"/>
          <w:szCs w:val="28"/>
        </w:rPr>
        <w:t>Student Name and ID:</w:t>
      </w:r>
    </w:p>
    <w:p w14:paraId="34947C39" w14:textId="38095A67" w:rsidR="009E1E75" w:rsidRDefault="001515C4" w:rsidP="009E1E75">
      <w:pPr>
        <w:spacing w:line="360" w:lineRule="auto"/>
        <w:jc w:val="center"/>
        <w:rPr>
          <w:rFonts w:ascii="Arial" w:hAnsi="Arial" w:cs="Arial"/>
          <w:sz w:val="28"/>
          <w:szCs w:val="28"/>
        </w:rPr>
      </w:pPr>
      <w:r>
        <w:rPr>
          <w:rFonts w:ascii="Arial" w:hAnsi="Arial" w:cs="Arial"/>
          <w:sz w:val="28"/>
          <w:szCs w:val="28"/>
        </w:rPr>
        <w:t xml:space="preserve">Ionela Balta </w:t>
      </w:r>
    </w:p>
    <w:p w14:paraId="333C4D50" w14:textId="3647547A" w:rsidR="001515C4" w:rsidRPr="009E1E75" w:rsidRDefault="001515C4" w:rsidP="009E1E75">
      <w:pPr>
        <w:spacing w:line="360" w:lineRule="auto"/>
        <w:jc w:val="center"/>
        <w:rPr>
          <w:rFonts w:ascii="Arial" w:hAnsi="Arial" w:cs="Arial"/>
          <w:sz w:val="28"/>
          <w:szCs w:val="28"/>
        </w:rPr>
      </w:pPr>
      <w:r>
        <w:rPr>
          <w:rFonts w:ascii="Arial" w:hAnsi="Arial" w:cs="Arial"/>
          <w:sz w:val="28"/>
          <w:szCs w:val="28"/>
        </w:rPr>
        <w:t>2208099</w:t>
      </w:r>
    </w:p>
    <w:p w14:paraId="52422F0D" w14:textId="233DBFB8" w:rsidR="009E1E75" w:rsidRPr="009E1E75" w:rsidRDefault="009E1E75" w:rsidP="009E1E75">
      <w:pPr>
        <w:spacing w:line="360" w:lineRule="auto"/>
        <w:jc w:val="center"/>
        <w:rPr>
          <w:rFonts w:ascii="Arial" w:hAnsi="Arial" w:cs="Arial"/>
          <w:sz w:val="28"/>
          <w:szCs w:val="28"/>
        </w:rPr>
      </w:pPr>
      <w:r w:rsidRPr="009E1E75">
        <w:rPr>
          <w:rFonts w:ascii="Arial" w:hAnsi="Arial" w:cs="Arial"/>
          <w:sz w:val="28"/>
          <w:szCs w:val="28"/>
        </w:rPr>
        <w:t>Lecturer Name:</w:t>
      </w:r>
    </w:p>
    <w:p w14:paraId="257468FC" w14:textId="0294E946" w:rsidR="009E1E75" w:rsidRPr="009E1E75" w:rsidRDefault="001515C4" w:rsidP="009E1E75">
      <w:pPr>
        <w:spacing w:line="360" w:lineRule="auto"/>
        <w:jc w:val="center"/>
        <w:rPr>
          <w:rFonts w:ascii="Arial" w:hAnsi="Arial" w:cs="Arial"/>
          <w:sz w:val="28"/>
          <w:szCs w:val="28"/>
        </w:rPr>
      </w:pPr>
      <w:r>
        <w:rPr>
          <w:rFonts w:ascii="Arial" w:hAnsi="Arial" w:cs="Arial"/>
          <w:sz w:val="28"/>
          <w:szCs w:val="28"/>
        </w:rPr>
        <w:t>Kathryn Flynn</w:t>
      </w:r>
    </w:p>
    <w:p w14:paraId="70E91969" w14:textId="77777777" w:rsidR="009E1E75" w:rsidRDefault="009E1E75"/>
    <w:p w14:paraId="1BCFAD65" w14:textId="77777777" w:rsidR="009E1E75" w:rsidRDefault="009E1E75"/>
    <w:p w14:paraId="53D55E1C" w14:textId="77777777" w:rsidR="009E1E75" w:rsidRDefault="009E1E75"/>
    <w:p w14:paraId="7260D55B" w14:textId="77777777" w:rsidR="009E1E75" w:rsidRDefault="009E1E75"/>
    <w:p w14:paraId="1B2D9378" w14:textId="77777777" w:rsidR="009E1E75" w:rsidRDefault="009E1E75"/>
    <w:p w14:paraId="3063F556" w14:textId="77777777" w:rsidR="009E1E75" w:rsidRDefault="009E1E75"/>
    <w:p w14:paraId="592D704F" w14:textId="77777777" w:rsidR="009E1E75" w:rsidRDefault="009E1E75"/>
    <w:p w14:paraId="42114C34" w14:textId="77777777" w:rsidR="009E1E75" w:rsidRDefault="009E1E75"/>
    <w:p w14:paraId="5B6BEF33" w14:textId="77777777" w:rsidR="009E1E75" w:rsidRDefault="009E1E75"/>
    <w:p w14:paraId="447AF46F" w14:textId="77777777" w:rsidR="009E1E75" w:rsidRDefault="009E1E75"/>
    <w:p w14:paraId="69F3330B" w14:textId="77777777" w:rsidR="009E1E75" w:rsidRDefault="009E1E75"/>
    <w:p w14:paraId="61F319BF" w14:textId="77777777" w:rsidR="009E1E75" w:rsidRDefault="009E1E75"/>
    <w:p w14:paraId="2B55E2E3" w14:textId="77777777" w:rsidR="009E1E75" w:rsidRDefault="009E1E75"/>
    <w:p w14:paraId="7B6744FF" w14:textId="77777777" w:rsidR="009E1E75" w:rsidRDefault="009E1E75"/>
    <w:p w14:paraId="74C363E3" w14:textId="77777777" w:rsidR="009E1E75" w:rsidRDefault="009E1E75"/>
    <w:sdt>
      <w:sdtPr>
        <w:rPr>
          <w:rFonts w:asciiTheme="minorHAnsi" w:eastAsiaTheme="minorHAnsi" w:hAnsiTheme="minorHAnsi" w:cstheme="minorBidi"/>
          <w:color w:val="auto"/>
          <w:kern w:val="2"/>
          <w:sz w:val="22"/>
          <w:szCs w:val="22"/>
          <w:lang w:val="en-GB"/>
          <w14:ligatures w14:val="standardContextual"/>
        </w:rPr>
        <w:id w:val="564448300"/>
        <w:docPartObj>
          <w:docPartGallery w:val="Table of Contents"/>
          <w:docPartUnique/>
        </w:docPartObj>
      </w:sdtPr>
      <w:sdtEndPr>
        <w:rPr>
          <w:b/>
          <w:bCs/>
          <w:noProof/>
        </w:rPr>
      </w:sdtEndPr>
      <w:sdtContent>
        <w:p w14:paraId="6DBC5651" w14:textId="4D7B5E00" w:rsidR="007C4476" w:rsidRPr="007C4476" w:rsidRDefault="007C4476" w:rsidP="007C4476">
          <w:pPr>
            <w:pStyle w:val="TOCHeading"/>
            <w:spacing w:line="360" w:lineRule="auto"/>
            <w:jc w:val="both"/>
            <w:rPr>
              <w:rFonts w:ascii="Arial" w:hAnsi="Arial" w:cs="Arial"/>
            </w:rPr>
          </w:pPr>
          <w:r w:rsidRPr="007C4476">
            <w:rPr>
              <w:rFonts w:ascii="Arial" w:hAnsi="Arial" w:cs="Arial"/>
            </w:rPr>
            <w:t>Contents</w:t>
          </w:r>
        </w:p>
        <w:p w14:paraId="6B03B8BB" w14:textId="17D111B0" w:rsidR="007C4476" w:rsidRPr="007C4476" w:rsidRDefault="007C4476" w:rsidP="007C4476">
          <w:pPr>
            <w:pStyle w:val="TOC1"/>
            <w:tabs>
              <w:tab w:val="right" w:leader="dot" w:pos="9016"/>
            </w:tabs>
            <w:spacing w:line="360" w:lineRule="auto"/>
            <w:jc w:val="both"/>
            <w:rPr>
              <w:rFonts w:ascii="Arial" w:hAnsi="Arial" w:cs="Arial"/>
              <w:noProof/>
            </w:rPr>
          </w:pPr>
          <w:r w:rsidRPr="007C4476">
            <w:rPr>
              <w:rFonts w:ascii="Arial" w:hAnsi="Arial" w:cs="Arial"/>
            </w:rPr>
            <w:fldChar w:fldCharType="begin"/>
          </w:r>
          <w:r w:rsidRPr="007C4476">
            <w:rPr>
              <w:rFonts w:ascii="Arial" w:hAnsi="Arial" w:cs="Arial"/>
            </w:rPr>
            <w:instrText xml:space="preserve"> TOC \o "1-3" \h \z \u </w:instrText>
          </w:r>
          <w:r w:rsidRPr="007C4476">
            <w:rPr>
              <w:rFonts w:ascii="Arial" w:hAnsi="Arial" w:cs="Arial"/>
            </w:rPr>
            <w:fldChar w:fldCharType="separate"/>
          </w:r>
          <w:hyperlink w:anchor="_Toc191669166" w:history="1">
            <w:r w:rsidRPr="007C4476">
              <w:rPr>
                <w:rStyle w:val="Hyperlink"/>
                <w:rFonts w:ascii="Arial" w:hAnsi="Arial" w:cs="Arial"/>
                <w:noProof/>
              </w:rPr>
              <w:t>Introduction</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_Toc191669166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3</w:t>
            </w:r>
            <w:r w:rsidRPr="007C4476">
              <w:rPr>
                <w:rFonts w:ascii="Arial" w:hAnsi="Arial" w:cs="Arial"/>
                <w:noProof/>
                <w:webHidden/>
              </w:rPr>
              <w:fldChar w:fldCharType="end"/>
            </w:r>
          </w:hyperlink>
        </w:p>
        <w:p w14:paraId="08D2D6A6" w14:textId="054EE095" w:rsidR="007C4476" w:rsidRPr="007C4476" w:rsidRDefault="007C4476" w:rsidP="007C4476">
          <w:pPr>
            <w:pStyle w:val="TOC1"/>
            <w:tabs>
              <w:tab w:val="right" w:leader="dot" w:pos="9016"/>
            </w:tabs>
            <w:spacing w:line="360" w:lineRule="auto"/>
            <w:jc w:val="both"/>
            <w:rPr>
              <w:rFonts w:ascii="Arial" w:hAnsi="Arial" w:cs="Arial"/>
              <w:noProof/>
            </w:rPr>
          </w:pPr>
          <w:hyperlink w:anchor="_Toc191669167" w:history="1">
            <w:r w:rsidRPr="007C4476">
              <w:rPr>
                <w:rStyle w:val="Hyperlink"/>
                <w:rFonts w:ascii="Arial" w:hAnsi="Arial" w:cs="Arial"/>
                <w:noProof/>
              </w:rPr>
              <w:t>The Event Cycle</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_Toc191669167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3</w:t>
            </w:r>
            <w:r w:rsidRPr="007C4476">
              <w:rPr>
                <w:rFonts w:ascii="Arial" w:hAnsi="Arial" w:cs="Arial"/>
                <w:noProof/>
                <w:webHidden/>
              </w:rPr>
              <w:fldChar w:fldCharType="end"/>
            </w:r>
          </w:hyperlink>
        </w:p>
        <w:p w14:paraId="1B814366" w14:textId="30F04E93" w:rsidR="007C4476" w:rsidRPr="007C4476" w:rsidRDefault="007C4476" w:rsidP="007C4476">
          <w:pPr>
            <w:pStyle w:val="TOC1"/>
            <w:tabs>
              <w:tab w:val="right" w:leader="dot" w:pos="9016"/>
            </w:tabs>
            <w:spacing w:line="360" w:lineRule="auto"/>
            <w:jc w:val="both"/>
            <w:rPr>
              <w:rFonts w:ascii="Arial" w:hAnsi="Arial" w:cs="Arial"/>
              <w:noProof/>
            </w:rPr>
          </w:pPr>
          <w:hyperlink w:anchor="_Toc191669168" w:history="1">
            <w:r w:rsidRPr="007C4476">
              <w:rPr>
                <w:rStyle w:val="Hyperlink"/>
                <w:rFonts w:ascii="Arial" w:hAnsi="Arial" w:cs="Arial"/>
                <w:noProof/>
              </w:rPr>
              <w:t>Event Concept</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_Toc191669168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4</w:t>
            </w:r>
            <w:r w:rsidRPr="007C4476">
              <w:rPr>
                <w:rFonts w:ascii="Arial" w:hAnsi="Arial" w:cs="Arial"/>
                <w:noProof/>
                <w:webHidden/>
              </w:rPr>
              <w:fldChar w:fldCharType="end"/>
            </w:r>
          </w:hyperlink>
        </w:p>
        <w:p w14:paraId="49035029" w14:textId="2C73B6CF" w:rsidR="007C4476" w:rsidRPr="007C4476" w:rsidRDefault="007C4476" w:rsidP="007C4476">
          <w:pPr>
            <w:pStyle w:val="TOC1"/>
            <w:tabs>
              <w:tab w:val="right" w:leader="dot" w:pos="9016"/>
            </w:tabs>
            <w:spacing w:line="360" w:lineRule="auto"/>
            <w:jc w:val="both"/>
            <w:rPr>
              <w:rFonts w:ascii="Arial" w:hAnsi="Arial" w:cs="Arial"/>
              <w:noProof/>
            </w:rPr>
          </w:pPr>
          <w:hyperlink w:anchor="_Toc191669169" w:history="1">
            <w:r w:rsidRPr="007C4476">
              <w:rPr>
                <w:rStyle w:val="Hyperlink"/>
                <w:rFonts w:ascii="Arial" w:hAnsi="Arial" w:cs="Arial"/>
                <w:noProof/>
              </w:rPr>
              <w:t>Aim and Objectives</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_Toc191669169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5</w:t>
            </w:r>
            <w:r w:rsidRPr="007C4476">
              <w:rPr>
                <w:rFonts w:ascii="Arial" w:hAnsi="Arial" w:cs="Arial"/>
                <w:noProof/>
                <w:webHidden/>
              </w:rPr>
              <w:fldChar w:fldCharType="end"/>
            </w:r>
          </w:hyperlink>
        </w:p>
        <w:p w14:paraId="1F26FFE6" w14:textId="1964B06C" w:rsidR="007C4476" w:rsidRPr="007C4476" w:rsidRDefault="007C4476" w:rsidP="007C4476">
          <w:pPr>
            <w:pStyle w:val="TOC1"/>
            <w:tabs>
              <w:tab w:val="right" w:leader="dot" w:pos="9016"/>
            </w:tabs>
            <w:spacing w:line="360" w:lineRule="auto"/>
            <w:jc w:val="both"/>
            <w:rPr>
              <w:rFonts w:ascii="Arial" w:hAnsi="Arial" w:cs="Arial"/>
              <w:noProof/>
            </w:rPr>
          </w:pPr>
          <w:hyperlink w:anchor="_Toc191669170" w:history="1">
            <w:r w:rsidRPr="007C4476">
              <w:rPr>
                <w:rStyle w:val="Hyperlink"/>
                <w:rFonts w:ascii="Arial" w:hAnsi="Arial" w:cs="Arial"/>
                <w:noProof/>
              </w:rPr>
              <w:t>Event Management</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_Toc191669170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5</w:t>
            </w:r>
            <w:r w:rsidRPr="007C4476">
              <w:rPr>
                <w:rFonts w:ascii="Arial" w:hAnsi="Arial" w:cs="Arial"/>
                <w:noProof/>
                <w:webHidden/>
              </w:rPr>
              <w:fldChar w:fldCharType="end"/>
            </w:r>
          </w:hyperlink>
        </w:p>
        <w:p w14:paraId="3633ED93" w14:textId="564149FE" w:rsidR="007C4476" w:rsidRPr="007C4476" w:rsidRDefault="007C4476" w:rsidP="007C4476">
          <w:pPr>
            <w:pStyle w:val="TOC1"/>
            <w:tabs>
              <w:tab w:val="right" w:leader="dot" w:pos="9016"/>
            </w:tabs>
            <w:spacing w:line="360" w:lineRule="auto"/>
            <w:jc w:val="both"/>
            <w:rPr>
              <w:rFonts w:ascii="Arial" w:hAnsi="Arial" w:cs="Arial"/>
              <w:noProof/>
            </w:rPr>
          </w:pPr>
          <w:hyperlink w:anchor="_Toc191669171" w:history="1">
            <w:r w:rsidRPr="007C4476">
              <w:rPr>
                <w:rStyle w:val="Hyperlink"/>
                <w:rFonts w:ascii="Arial" w:hAnsi="Arial" w:cs="Arial"/>
                <w:noProof/>
              </w:rPr>
              <w:t>Event Budget</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_Toc191669171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7</w:t>
            </w:r>
            <w:r w:rsidRPr="007C4476">
              <w:rPr>
                <w:rFonts w:ascii="Arial" w:hAnsi="Arial" w:cs="Arial"/>
                <w:noProof/>
                <w:webHidden/>
              </w:rPr>
              <w:fldChar w:fldCharType="end"/>
            </w:r>
          </w:hyperlink>
        </w:p>
        <w:p w14:paraId="012E0423" w14:textId="6FBB2E76" w:rsidR="007C4476" w:rsidRPr="007C4476" w:rsidRDefault="007C4476" w:rsidP="007C4476">
          <w:pPr>
            <w:pStyle w:val="TOC1"/>
            <w:tabs>
              <w:tab w:val="right" w:leader="dot" w:pos="9016"/>
            </w:tabs>
            <w:spacing w:line="360" w:lineRule="auto"/>
            <w:jc w:val="both"/>
            <w:rPr>
              <w:rFonts w:ascii="Arial" w:hAnsi="Arial" w:cs="Arial"/>
              <w:noProof/>
            </w:rPr>
          </w:pPr>
          <w:hyperlink w:anchor="_Toc191669172" w:history="1">
            <w:r w:rsidRPr="007C4476">
              <w:rPr>
                <w:rStyle w:val="Hyperlink"/>
                <w:rFonts w:ascii="Arial" w:hAnsi="Arial" w:cs="Arial"/>
                <w:noProof/>
              </w:rPr>
              <w:t>Industry Trends / Issues / Impacts</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_Toc191669172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8</w:t>
            </w:r>
            <w:r w:rsidRPr="007C4476">
              <w:rPr>
                <w:rFonts w:ascii="Arial" w:hAnsi="Arial" w:cs="Arial"/>
                <w:noProof/>
                <w:webHidden/>
              </w:rPr>
              <w:fldChar w:fldCharType="end"/>
            </w:r>
          </w:hyperlink>
        </w:p>
        <w:p w14:paraId="5D615D1F" w14:textId="3EA0C65B" w:rsidR="007C4476" w:rsidRPr="007C4476" w:rsidRDefault="007C4476" w:rsidP="007C4476">
          <w:pPr>
            <w:pStyle w:val="TOC1"/>
            <w:tabs>
              <w:tab w:val="right" w:leader="dot" w:pos="9016"/>
            </w:tabs>
            <w:spacing w:line="360" w:lineRule="auto"/>
            <w:jc w:val="both"/>
            <w:rPr>
              <w:rFonts w:ascii="Arial" w:hAnsi="Arial" w:cs="Arial"/>
              <w:noProof/>
            </w:rPr>
          </w:pPr>
          <w:hyperlink w:anchor="_Toc191669173" w:history="1">
            <w:r w:rsidRPr="007C4476">
              <w:rPr>
                <w:rStyle w:val="Hyperlink"/>
                <w:rFonts w:ascii="Arial" w:hAnsi="Arial" w:cs="Arial"/>
                <w:noProof/>
              </w:rPr>
              <w:t>Situational and Cultural Considerations</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_Toc191669173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10</w:t>
            </w:r>
            <w:r w:rsidRPr="007C4476">
              <w:rPr>
                <w:rFonts w:ascii="Arial" w:hAnsi="Arial" w:cs="Arial"/>
                <w:noProof/>
                <w:webHidden/>
              </w:rPr>
              <w:fldChar w:fldCharType="end"/>
            </w:r>
          </w:hyperlink>
        </w:p>
        <w:p w14:paraId="7B3E671E" w14:textId="7CA533F2" w:rsidR="007C4476" w:rsidRPr="007C4476" w:rsidRDefault="007C4476" w:rsidP="007C4476">
          <w:pPr>
            <w:pStyle w:val="TOC1"/>
            <w:tabs>
              <w:tab w:val="right" w:leader="dot" w:pos="9016"/>
            </w:tabs>
            <w:spacing w:line="360" w:lineRule="auto"/>
            <w:jc w:val="both"/>
            <w:rPr>
              <w:rFonts w:ascii="Arial" w:hAnsi="Arial" w:cs="Arial"/>
              <w:noProof/>
            </w:rPr>
          </w:pPr>
          <w:hyperlink w:anchor="_Toc191669174" w:history="1">
            <w:r w:rsidRPr="007C4476">
              <w:rPr>
                <w:rStyle w:val="Hyperlink"/>
                <w:rFonts w:ascii="Arial" w:hAnsi="Arial" w:cs="Arial"/>
                <w:noProof/>
              </w:rPr>
              <w:t>Conclusion</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_Toc191669174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10</w:t>
            </w:r>
            <w:r w:rsidRPr="007C4476">
              <w:rPr>
                <w:rFonts w:ascii="Arial" w:hAnsi="Arial" w:cs="Arial"/>
                <w:noProof/>
                <w:webHidden/>
              </w:rPr>
              <w:fldChar w:fldCharType="end"/>
            </w:r>
          </w:hyperlink>
        </w:p>
        <w:p w14:paraId="2406F50B" w14:textId="2B6B66AB" w:rsidR="007C4476" w:rsidRPr="007C4476" w:rsidRDefault="007C4476" w:rsidP="007C4476">
          <w:pPr>
            <w:pStyle w:val="TOC1"/>
            <w:tabs>
              <w:tab w:val="right" w:leader="dot" w:pos="9016"/>
            </w:tabs>
            <w:spacing w:line="360" w:lineRule="auto"/>
            <w:jc w:val="both"/>
            <w:rPr>
              <w:rFonts w:ascii="Arial" w:hAnsi="Arial" w:cs="Arial"/>
              <w:noProof/>
            </w:rPr>
          </w:pPr>
          <w:hyperlink w:anchor="_Toc191669175" w:history="1">
            <w:r w:rsidRPr="007C4476">
              <w:rPr>
                <w:rStyle w:val="Hyperlink"/>
                <w:rFonts w:ascii="Arial" w:hAnsi="Arial" w:cs="Arial"/>
                <w:noProof/>
              </w:rPr>
              <w:t>References</w:t>
            </w:r>
            <w:r w:rsidRPr="007C4476">
              <w:rPr>
                <w:rFonts w:ascii="Arial" w:hAnsi="Arial" w:cs="Arial"/>
                <w:noProof/>
                <w:webHidden/>
              </w:rPr>
              <w:tab/>
            </w:r>
            <w:r w:rsidRPr="007C4476">
              <w:rPr>
                <w:rFonts w:ascii="Arial" w:hAnsi="Arial" w:cs="Arial"/>
                <w:noProof/>
                <w:webHidden/>
              </w:rPr>
              <w:fldChar w:fldCharType="begin"/>
            </w:r>
            <w:r w:rsidRPr="007C4476">
              <w:rPr>
                <w:rFonts w:ascii="Arial" w:hAnsi="Arial" w:cs="Arial"/>
                <w:noProof/>
                <w:webHidden/>
              </w:rPr>
              <w:instrText xml:space="preserve"> PAGEREF _Toc191669175 \h </w:instrText>
            </w:r>
            <w:r w:rsidRPr="007C4476">
              <w:rPr>
                <w:rFonts w:ascii="Arial" w:hAnsi="Arial" w:cs="Arial"/>
                <w:noProof/>
                <w:webHidden/>
              </w:rPr>
            </w:r>
            <w:r w:rsidRPr="007C4476">
              <w:rPr>
                <w:rFonts w:ascii="Arial" w:hAnsi="Arial" w:cs="Arial"/>
                <w:noProof/>
                <w:webHidden/>
              </w:rPr>
              <w:fldChar w:fldCharType="separate"/>
            </w:r>
            <w:r w:rsidR="00975626">
              <w:rPr>
                <w:rFonts w:ascii="Arial" w:hAnsi="Arial" w:cs="Arial"/>
                <w:noProof/>
                <w:webHidden/>
              </w:rPr>
              <w:t>12</w:t>
            </w:r>
            <w:r w:rsidRPr="007C4476">
              <w:rPr>
                <w:rFonts w:ascii="Arial" w:hAnsi="Arial" w:cs="Arial"/>
                <w:noProof/>
                <w:webHidden/>
              </w:rPr>
              <w:fldChar w:fldCharType="end"/>
            </w:r>
          </w:hyperlink>
        </w:p>
        <w:p w14:paraId="6D485F1E" w14:textId="0537EC92" w:rsidR="007C4476" w:rsidRDefault="007C4476" w:rsidP="007C4476">
          <w:pPr>
            <w:spacing w:line="360" w:lineRule="auto"/>
            <w:jc w:val="both"/>
          </w:pPr>
          <w:r w:rsidRPr="007C4476">
            <w:rPr>
              <w:rFonts w:ascii="Arial" w:hAnsi="Arial" w:cs="Arial"/>
              <w:b/>
              <w:bCs/>
              <w:noProof/>
            </w:rPr>
            <w:fldChar w:fldCharType="end"/>
          </w:r>
        </w:p>
      </w:sdtContent>
    </w:sdt>
    <w:p w14:paraId="3D13E652" w14:textId="77777777" w:rsidR="009E1E75" w:rsidRDefault="009E1E75"/>
    <w:p w14:paraId="6A6E071F" w14:textId="77777777" w:rsidR="009E1E75" w:rsidRDefault="009E1E75"/>
    <w:p w14:paraId="0EDFAD18" w14:textId="77777777" w:rsidR="009E1E75" w:rsidRDefault="009E1E75"/>
    <w:p w14:paraId="3E9CE0F7" w14:textId="77777777" w:rsidR="009E1E75" w:rsidRDefault="009E1E75"/>
    <w:p w14:paraId="7E26B55F" w14:textId="77777777" w:rsidR="009E1E75" w:rsidRDefault="009E1E75"/>
    <w:p w14:paraId="2864D98A" w14:textId="77777777" w:rsidR="009E1E75" w:rsidRDefault="009E1E75"/>
    <w:p w14:paraId="7FEACF5D" w14:textId="77777777" w:rsidR="009E1E75" w:rsidRDefault="009E1E75"/>
    <w:p w14:paraId="2C52105B" w14:textId="77777777" w:rsidR="009E1E75" w:rsidRDefault="009E1E75"/>
    <w:p w14:paraId="30029871" w14:textId="77777777" w:rsidR="009E1E75" w:rsidRDefault="009E1E75"/>
    <w:p w14:paraId="623A5BCC" w14:textId="77777777" w:rsidR="009E1E75" w:rsidRDefault="009E1E75"/>
    <w:p w14:paraId="05C28EFD" w14:textId="77777777" w:rsidR="009E1E75" w:rsidRDefault="009E1E75"/>
    <w:p w14:paraId="1989B878" w14:textId="77777777" w:rsidR="009E1E75" w:rsidRDefault="009E1E75"/>
    <w:p w14:paraId="0608C521" w14:textId="77777777" w:rsidR="009E1E75" w:rsidRDefault="009E1E75"/>
    <w:p w14:paraId="3E1A5EC5" w14:textId="77777777" w:rsidR="009E1E75" w:rsidRDefault="009E1E75"/>
    <w:p w14:paraId="1CAC9B60" w14:textId="77777777" w:rsidR="009E1E75" w:rsidRDefault="009E1E75"/>
    <w:p w14:paraId="101E7FE3" w14:textId="77777777" w:rsidR="009E1E75" w:rsidRDefault="009E1E75"/>
    <w:p w14:paraId="596F458C" w14:textId="77777777" w:rsidR="009E1E75" w:rsidRDefault="009E1E75"/>
    <w:p w14:paraId="1FEE99F2" w14:textId="77777777" w:rsidR="009E1E75" w:rsidRPr="009E1E75" w:rsidRDefault="009E1E75" w:rsidP="009E1E75">
      <w:pPr>
        <w:spacing w:line="360" w:lineRule="auto"/>
        <w:jc w:val="both"/>
        <w:rPr>
          <w:rFonts w:ascii="Arial" w:hAnsi="Arial" w:cs="Arial"/>
          <w:sz w:val="24"/>
          <w:szCs w:val="24"/>
        </w:rPr>
      </w:pPr>
    </w:p>
    <w:p w14:paraId="237E2B9C" w14:textId="18FCAAE5" w:rsidR="009E1E75" w:rsidRPr="00975626" w:rsidRDefault="009E1E75" w:rsidP="00975626">
      <w:pPr>
        <w:pStyle w:val="EU"/>
        <w:spacing w:line="360" w:lineRule="auto"/>
        <w:rPr>
          <w:color w:val="auto"/>
        </w:rPr>
      </w:pPr>
      <w:bookmarkStart w:id="0" w:name="_Toc191669166"/>
      <w:r w:rsidRPr="00975626">
        <w:rPr>
          <w:color w:val="auto"/>
        </w:rPr>
        <w:t>Introduction</w:t>
      </w:r>
      <w:bookmarkEnd w:id="0"/>
      <w:r w:rsidRPr="00975626">
        <w:rPr>
          <w:color w:val="auto"/>
        </w:rPr>
        <w:t xml:space="preserve"> </w:t>
      </w:r>
    </w:p>
    <w:p w14:paraId="0C1BA94E" w14:textId="3DFB182C"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The worldwide hospitality industry is known for its cultural diversity and diverse client base, however leadership positions in hotels frequently lack visible representation of women and ethnic minorities (Mooney, 2020). This imbalance produces an atmosphere in which decision-making authority is unequally dispersed, restricting the viewpoints that drive innovation and progress. To address these gaps,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Race and Gender in Hospitality Leadership" is being organised for Berlin. This paper intends to explain the summit's strategic concerns, expanding on a previous feasibility study that focused on its operational viability. The purpose of having a summit on diversity, equality, and inclusion (DEI) in hospitality leadership is twofold. First, institutional impediments prevent women, ethnic minorities, and LGBTQ+ people from advancing to top positions (Shum, Gatling, and Garlington, 2020). Second, market demands represent an increasing desire for inclusive hospitality companies that reflect their client bases (</w:t>
      </w:r>
      <w:proofErr w:type="spellStart"/>
      <w:r w:rsidRPr="00975626">
        <w:rPr>
          <w:rFonts w:ascii="Arial" w:hAnsi="Arial" w:cs="Arial"/>
          <w:sz w:val="24"/>
          <w:szCs w:val="24"/>
          <w:lang w:eastAsia="en-GB"/>
        </w:rPr>
        <w:t>Bogicevic</w:t>
      </w:r>
      <w:proofErr w:type="spellEnd"/>
      <w:r w:rsidR="007C4476" w:rsidRPr="00975626">
        <w:rPr>
          <w:rFonts w:ascii="Arial" w:hAnsi="Arial" w:cs="Arial"/>
          <w:sz w:val="24"/>
          <w:szCs w:val="24"/>
          <w:lang w:eastAsia="en-GB"/>
        </w:rPr>
        <w:t xml:space="preserve"> and </w:t>
      </w:r>
      <w:r w:rsidRPr="00975626">
        <w:rPr>
          <w:rFonts w:ascii="Arial" w:hAnsi="Arial" w:cs="Arial"/>
          <w:sz w:val="24"/>
          <w:szCs w:val="24"/>
          <w:lang w:eastAsia="en-GB"/>
        </w:rPr>
        <w:t>Salvato, 2023). The summit's location in Berlin leverages the city's progressive attitude on equality (LTB, 2024). Germany's General Equal Treatment Act (AGG) demonstrates the country's official commitment to diversity, and Berlin in particular is recognised for sponsoring different programs that promote inclusion. This study outlines a systematic framework for the summit's strategic and delivery components. The goal is to provide a thorough guide that goes beyond basic feasibility, covering topics such detailed scheduling, budgeting, operational logistics, industry trends, situational analysis, and cultural problems. Each component draws on academic event management theories, such as the event cycle model as well as authoritative studies on diversity issues in the hotel industry</w:t>
      </w:r>
      <w:r w:rsidR="007C4476" w:rsidRPr="00975626">
        <w:rPr>
          <w:rFonts w:ascii="Arial" w:hAnsi="Arial" w:cs="Arial"/>
          <w:sz w:val="24"/>
          <w:szCs w:val="24"/>
          <w:lang w:eastAsia="en-GB"/>
        </w:rPr>
        <w:t xml:space="preserve">. </w:t>
      </w:r>
      <w:r w:rsidRPr="00975626">
        <w:rPr>
          <w:rFonts w:ascii="Arial" w:hAnsi="Arial" w:cs="Arial"/>
          <w:sz w:val="24"/>
          <w:szCs w:val="24"/>
          <w:lang w:eastAsia="en-GB"/>
        </w:rPr>
        <w:t>Finally, the goal is to design a meaningful event that not only identifies hurdles to leadership but also provides best-practice frameworks to overcome them.</w:t>
      </w:r>
    </w:p>
    <w:p w14:paraId="07A3E4DD" w14:textId="06F449D4" w:rsidR="009E1E75" w:rsidRPr="00975626" w:rsidRDefault="009E1E75" w:rsidP="00975626">
      <w:pPr>
        <w:pStyle w:val="EU"/>
        <w:spacing w:line="360" w:lineRule="auto"/>
        <w:rPr>
          <w:color w:val="auto"/>
        </w:rPr>
      </w:pPr>
      <w:bookmarkStart w:id="1" w:name="_Toc191669167"/>
      <w:r w:rsidRPr="00975626">
        <w:rPr>
          <w:color w:val="auto"/>
        </w:rPr>
        <w:t>The Event Cycle</w:t>
      </w:r>
      <w:bookmarkEnd w:id="1"/>
    </w:p>
    <w:p w14:paraId="1AA38B04" w14:textId="7B764D47"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The event cycle is a conceptual framework that describes how an event progresses from its origin to post-event evaluation (Getz and Page, 2019). For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this cycle may be divided into four key stages:</w:t>
      </w:r>
    </w:p>
    <w:p w14:paraId="2B3B9C7A" w14:textId="77777777"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b/>
          <w:bCs/>
          <w:sz w:val="24"/>
          <w:szCs w:val="24"/>
          <w:lang w:eastAsia="en-GB"/>
        </w:rPr>
        <w:t>Initiation and Planning</w:t>
      </w:r>
      <w:r w:rsidRPr="00975626">
        <w:rPr>
          <w:rFonts w:ascii="Arial" w:hAnsi="Arial" w:cs="Arial"/>
          <w:sz w:val="24"/>
          <w:szCs w:val="24"/>
          <w:lang w:eastAsia="en-GB"/>
        </w:rPr>
        <w:t xml:space="preserve">: </w:t>
      </w:r>
    </w:p>
    <w:p w14:paraId="0F18E4CF" w14:textId="047F85C5"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Determine the summit's objectives, target audience, and key stakeholders. This phase establishes the event's scope and viability while also reviewing preliminary resources.</w:t>
      </w:r>
    </w:p>
    <w:p w14:paraId="695CCF9D" w14:textId="77777777"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b/>
          <w:bCs/>
          <w:sz w:val="24"/>
          <w:szCs w:val="24"/>
          <w:lang w:eastAsia="en-GB"/>
        </w:rPr>
        <w:t>Detailed Organisation:</w:t>
      </w:r>
      <w:r w:rsidRPr="00975626">
        <w:rPr>
          <w:rFonts w:ascii="Arial" w:hAnsi="Arial" w:cs="Arial"/>
          <w:sz w:val="24"/>
          <w:szCs w:val="24"/>
          <w:lang w:eastAsia="en-GB"/>
        </w:rPr>
        <w:t xml:space="preserve"> </w:t>
      </w:r>
    </w:p>
    <w:p w14:paraId="490E9032" w14:textId="28EEB9DB"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Developing a thorough action plan that includes venue logistics, budgeting, marketing, and operational risk assessments (O'Toole 2011). Specific responsibilities include organising speaker panels, devising registration processes, and creating a communications strategy.</w:t>
      </w:r>
    </w:p>
    <w:p w14:paraId="0DE96374" w14:textId="77777777"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b/>
          <w:bCs/>
          <w:sz w:val="24"/>
          <w:szCs w:val="24"/>
          <w:lang w:eastAsia="en-GB"/>
        </w:rPr>
        <w:t>Execution:</w:t>
      </w:r>
      <w:r w:rsidRPr="00975626">
        <w:rPr>
          <w:rFonts w:ascii="Arial" w:hAnsi="Arial" w:cs="Arial"/>
          <w:sz w:val="24"/>
          <w:szCs w:val="24"/>
          <w:lang w:eastAsia="en-GB"/>
        </w:rPr>
        <w:t xml:space="preserve"> </w:t>
      </w:r>
    </w:p>
    <w:p w14:paraId="4EBEB471" w14:textId="289597B3"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The event spans three days and includes seminars, discussions, keynote speakers, and networking sessions. The emphasis is on providing an engaging delegate experience, ensuring schedule fidelity, and successfully managing on-site operations (Rogers and Wynn-Moylan, 2022).</w:t>
      </w:r>
    </w:p>
    <w:p w14:paraId="06741952" w14:textId="77777777"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b/>
          <w:bCs/>
          <w:sz w:val="24"/>
          <w:szCs w:val="24"/>
          <w:lang w:eastAsia="en-GB"/>
        </w:rPr>
        <w:t>Closure and Evaluation</w:t>
      </w:r>
      <w:r w:rsidRPr="00975626">
        <w:rPr>
          <w:rFonts w:ascii="Arial" w:hAnsi="Arial" w:cs="Arial"/>
          <w:sz w:val="24"/>
          <w:szCs w:val="24"/>
          <w:lang w:eastAsia="en-GB"/>
        </w:rPr>
        <w:t xml:space="preserve">: </w:t>
      </w:r>
    </w:p>
    <w:p w14:paraId="051D2A92" w14:textId="4D99202C"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Conducting post-event surveys, gathering feedback, and comparing achievement to the summit's initial goals and objectives. This last stage also includes financial reconciliation and a long-term action plan to keep the momentum on DEI concerns.</w:t>
      </w:r>
    </w:p>
    <w:p w14:paraId="3A032F1D" w14:textId="4AF6DC82"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A significant advantage of using the event cycle for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is the systematic approach to possible risks and uncertainties, which are frequently more evident in globally orientated events (Fox et al., 2014). Following these stages allows event planners to avoid logistical problems, such as overlapping speaker sessions or budget overruns, while also displaying strong project management techniques. Berlin's well-established MICE (Meetings, Incentives, Conferences, and Exhibitions) infrastructure is an added benefit, since its venues and local services make transitions between event cycle phases easier (www.visitberlin.de, n.d.).</w:t>
      </w:r>
    </w:p>
    <w:p w14:paraId="73B00EC3" w14:textId="095B7735" w:rsidR="009E1E75" w:rsidRPr="00975626" w:rsidRDefault="009E1E75" w:rsidP="00975626">
      <w:pPr>
        <w:pStyle w:val="EU"/>
        <w:spacing w:line="360" w:lineRule="auto"/>
        <w:rPr>
          <w:color w:val="auto"/>
        </w:rPr>
      </w:pPr>
      <w:bookmarkStart w:id="2" w:name="_Toc191669168"/>
      <w:r w:rsidRPr="00975626">
        <w:rPr>
          <w:color w:val="auto"/>
        </w:rPr>
        <w:t>Event Concept</w:t>
      </w:r>
      <w:bookmarkEnd w:id="2"/>
    </w:p>
    <w:p w14:paraId="2BA02F9D" w14:textId="1CB5D324"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The planned summit is on the subject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Race and Gender in Hospitality Leadership." The three-day forum will bring together hotel professionals, HR consultants, diversity activists, and academic experts. The content will focus on leadership gaps, particularly among women of colour and other under-represented groups. Delegates will take part in workshops, panel discussions, and interactive sessions, all designed to showcase real-world instances of inclusive leadership. Day One plans to focus on fundamental themes such as unconscious bias and organisational transformation. Day two consists of strategic talks with experienced executives, with an emphasis on overcoming corporate barriers and elevating minority perspectives (Getz and Page, 2019). Day three closes with professional development classes and a job fair for young talent, which promotes concrete recruiting prospects and long-term networking. The conceptual design is on teamwork and practical knowledge sharing. To increase involvement, the conference will urge attendees to use interactive polling and digital Q&amp;A tools. The summit emphasises the significance of synergy between theory and practice, relying on data-driven insights from major consultancies (</w:t>
      </w:r>
      <w:r w:rsidR="007C4476" w:rsidRPr="00975626">
        <w:rPr>
          <w:rFonts w:ascii="Arial" w:hAnsi="Arial" w:cs="Arial"/>
          <w:sz w:val="24"/>
          <w:szCs w:val="24"/>
          <w:lang w:eastAsia="en-GB"/>
        </w:rPr>
        <w:t>McKinsey</w:t>
      </w:r>
      <w:r w:rsidRPr="00975626">
        <w:rPr>
          <w:rFonts w:ascii="Arial" w:hAnsi="Arial" w:cs="Arial"/>
          <w:sz w:val="24"/>
          <w:szCs w:val="24"/>
          <w:lang w:eastAsia="en-GB"/>
        </w:rPr>
        <w:t xml:space="preserve"> </w:t>
      </w:r>
      <w:r w:rsidR="007C4476" w:rsidRPr="00975626">
        <w:rPr>
          <w:rFonts w:ascii="Arial" w:hAnsi="Arial" w:cs="Arial"/>
          <w:sz w:val="24"/>
          <w:szCs w:val="24"/>
          <w:lang w:eastAsia="en-GB"/>
        </w:rPr>
        <w:t xml:space="preserve">and </w:t>
      </w:r>
      <w:r w:rsidRPr="00975626">
        <w:rPr>
          <w:rFonts w:ascii="Arial" w:hAnsi="Arial" w:cs="Arial"/>
          <w:sz w:val="24"/>
          <w:szCs w:val="24"/>
          <w:lang w:eastAsia="en-GB"/>
        </w:rPr>
        <w:t xml:space="preserve">Company, 2024) and frontline experiences from hospitality workers who have encountered systemic impediments (Mooney, 2020). As a consequence, the summit goes beyond basic policy declarations to offer practical </w:t>
      </w:r>
      <w:proofErr w:type="spellStart"/>
      <w:r w:rsidRPr="00975626">
        <w:rPr>
          <w:rFonts w:ascii="Arial" w:hAnsi="Arial" w:cs="Arial"/>
          <w:sz w:val="24"/>
          <w:szCs w:val="24"/>
          <w:lang w:eastAsia="en-GB"/>
        </w:rPr>
        <w:t>advise</w:t>
      </w:r>
      <w:proofErr w:type="spellEnd"/>
      <w:r w:rsidRPr="00975626">
        <w:rPr>
          <w:rFonts w:ascii="Arial" w:hAnsi="Arial" w:cs="Arial"/>
          <w:sz w:val="24"/>
          <w:szCs w:val="24"/>
          <w:lang w:eastAsia="en-GB"/>
        </w:rPr>
        <w:t xml:space="preserve"> for modern hospitality professionals.</w:t>
      </w:r>
    </w:p>
    <w:p w14:paraId="1F09E5CC" w14:textId="6BBF53F7" w:rsidR="009E1E75" w:rsidRPr="00975626" w:rsidRDefault="009E1E75" w:rsidP="00975626">
      <w:pPr>
        <w:pStyle w:val="EU"/>
        <w:spacing w:line="360" w:lineRule="auto"/>
        <w:rPr>
          <w:color w:val="auto"/>
        </w:rPr>
      </w:pPr>
      <w:bookmarkStart w:id="3" w:name="_Toc191669169"/>
      <w:r w:rsidRPr="00975626">
        <w:rPr>
          <w:color w:val="auto"/>
        </w:rPr>
        <w:t>Aim and Objectives</w:t>
      </w:r>
      <w:bookmarkEnd w:id="3"/>
    </w:p>
    <w:p w14:paraId="2AD4D80B" w14:textId="5854762D" w:rsidR="009E1E75" w:rsidRPr="00975626" w:rsidRDefault="009E1E75"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To accelerate the growth of women and racial minorities in hospitality leadership by providing actionable ideas, insights, and connections that address systematic disparities in the industry.</w:t>
      </w:r>
    </w:p>
    <w:p w14:paraId="6B1EC3BF" w14:textId="78109038" w:rsidR="009E1E75" w:rsidRPr="00975626" w:rsidRDefault="009E1E75" w:rsidP="00975626">
      <w:pPr>
        <w:spacing w:line="360" w:lineRule="auto"/>
        <w:jc w:val="both"/>
        <w:rPr>
          <w:rFonts w:ascii="Arial" w:hAnsi="Arial" w:cs="Arial"/>
          <w:b/>
          <w:bCs/>
          <w:sz w:val="24"/>
          <w:szCs w:val="24"/>
          <w:lang w:eastAsia="en-GB"/>
        </w:rPr>
      </w:pPr>
      <w:r w:rsidRPr="00975626">
        <w:rPr>
          <w:rFonts w:ascii="Arial" w:hAnsi="Arial" w:cs="Arial"/>
          <w:b/>
          <w:bCs/>
          <w:sz w:val="24"/>
          <w:szCs w:val="24"/>
          <w:lang w:eastAsia="en-GB"/>
        </w:rPr>
        <w:t>Objectives:</w:t>
      </w:r>
    </w:p>
    <w:p w14:paraId="6E8737F2" w14:textId="76FC87C8" w:rsidR="009E1E75" w:rsidRPr="00975626" w:rsidRDefault="009E1E75" w:rsidP="00975626">
      <w:pPr>
        <w:pStyle w:val="ListParagraph"/>
        <w:numPr>
          <w:ilvl w:val="0"/>
          <w:numId w:val="1"/>
        </w:numPr>
        <w:spacing w:line="360" w:lineRule="auto"/>
        <w:jc w:val="both"/>
        <w:rPr>
          <w:rFonts w:ascii="Arial" w:hAnsi="Arial" w:cs="Arial"/>
          <w:sz w:val="24"/>
          <w:szCs w:val="24"/>
          <w:lang w:eastAsia="en-GB"/>
        </w:rPr>
      </w:pPr>
      <w:r w:rsidRPr="00975626">
        <w:rPr>
          <w:rFonts w:ascii="Arial" w:hAnsi="Arial" w:cs="Arial"/>
          <w:sz w:val="24"/>
          <w:szCs w:val="24"/>
          <w:lang w:eastAsia="en-GB"/>
        </w:rPr>
        <w:t>Hold at least six panel discussions and workshops with experts in diversity, hospitality management, and leadership, ensuring that delegates learn evidence-based techniques for inclusive leadership.</w:t>
      </w:r>
    </w:p>
    <w:p w14:paraId="547A24BE" w14:textId="50F209DA" w:rsidR="009E1E75" w:rsidRPr="00975626" w:rsidRDefault="009E1E75" w:rsidP="00975626">
      <w:pPr>
        <w:pStyle w:val="ListParagraph"/>
        <w:numPr>
          <w:ilvl w:val="0"/>
          <w:numId w:val="1"/>
        </w:numPr>
        <w:spacing w:line="360" w:lineRule="auto"/>
        <w:jc w:val="both"/>
        <w:rPr>
          <w:rFonts w:ascii="Arial" w:hAnsi="Arial" w:cs="Arial"/>
          <w:sz w:val="24"/>
          <w:szCs w:val="24"/>
          <w:lang w:eastAsia="en-GB"/>
        </w:rPr>
      </w:pPr>
      <w:r w:rsidRPr="00975626">
        <w:rPr>
          <w:rFonts w:ascii="Arial" w:hAnsi="Arial" w:cs="Arial"/>
          <w:sz w:val="24"/>
          <w:szCs w:val="24"/>
          <w:lang w:eastAsia="en-GB"/>
        </w:rPr>
        <w:t>Facilitate at least ten cooperation agreements or projects between attending hospitality businesses and DEI-focused organisations to increase job opportunities for under-represented groups.</w:t>
      </w:r>
    </w:p>
    <w:p w14:paraId="7956784C" w14:textId="7070D652" w:rsidR="009E1E75" w:rsidRPr="00975626" w:rsidRDefault="009E1E75" w:rsidP="00975626">
      <w:pPr>
        <w:pStyle w:val="ListParagraph"/>
        <w:numPr>
          <w:ilvl w:val="0"/>
          <w:numId w:val="1"/>
        </w:numPr>
        <w:spacing w:line="360" w:lineRule="auto"/>
        <w:jc w:val="both"/>
        <w:rPr>
          <w:rFonts w:ascii="Arial" w:hAnsi="Arial" w:cs="Arial"/>
          <w:sz w:val="24"/>
          <w:szCs w:val="24"/>
          <w:lang w:eastAsia="en-GB"/>
        </w:rPr>
      </w:pPr>
      <w:r w:rsidRPr="00975626">
        <w:rPr>
          <w:rFonts w:ascii="Arial" w:hAnsi="Arial" w:cs="Arial"/>
          <w:sz w:val="24"/>
          <w:szCs w:val="24"/>
          <w:lang w:eastAsia="en-GB"/>
        </w:rPr>
        <w:t>On Day Three, hold a job fair in which at least 50 eligible applicants from under-represented backgrounds meet with recruiters, allowing for direct placement into leadership-track positions.</w:t>
      </w:r>
    </w:p>
    <w:p w14:paraId="62659EB6" w14:textId="5E39C35D" w:rsidR="009E1E75" w:rsidRPr="00975626" w:rsidRDefault="009E1E75" w:rsidP="00975626">
      <w:pPr>
        <w:pStyle w:val="EU"/>
        <w:spacing w:line="360" w:lineRule="auto"/>
        <w:rPr>
          <w:color w:val="auto"/>
        </w:rPr>
      </w:pPr>
      <w:bookmarkStart w:id="4" w:name="_Toc191669170"/>
      <w:r w:rsidRPr="00975626">
        <w:rPr>
          <w:color w:val="auto"/>
        </w:rPr>
        <w:t>Event Management</w:t>
      </w:r>
      <w:bookmarkEnd w:id="4"/>
    </w:p>
    <w:p w14:paraId="704E9F07" w14:textId="14D941CD" w:rsidR="001515C4" w:rsidRPr="00975626" w:rsidRDefault="001515C4"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Event management includes a wide range of administrative, logistical, and operational activities that turn an event concept into an actual experience, especially for an international event like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Berlin's established reputation for hosting global conferences makes the Berlin Congress Centre (BCC) an ideal location, with multiple breakout rooms, social networking spaces, and exhibition areas scheduled in early August to avoid peak tourism and take advantage of relatively mild weather (www.visitberlin.de, n.d.). Skilled human resources are critical to operational efficiency and a culture that reflects DEI values: the summit will hire linguistically diverse on-site staff and recruit volunteers from local universities, ensuring that delegates from diverse backgrounds receive comprehensive support (Mooney, 2020). Marketing and communication strategies will use digital channels such as LinkedIn, Instagram, and Twitter to target business-oriented audiences, while industry thought-leadership articles will highlight the event's emphasis on race and gender equity in hospitality leadership (</w:t>
      </w:r>
      <w:proofErr w:type="spellStart"/>
      <w:r w:rsidRPr="00975626">
        <w:rPr>
          <w:rFonts w:ascii="Arial" w:hAnsi="Arial" w:cs="Arial"/>
          <w:sz w:val="24"/>
          <w:szCs w:val="24"/>
          <w:lang w:eastAsia="en-GB"/>
        </w:rPr>
        <w:t>Bogicevic</w:t>
      </w:r>
      <w:proofErr w:type="spellEnd"/>
      <w:r w:rsidRPr="00975626">
        <w:rPr>
          <w:rFonts w:ascii="Arial" w:hAnsi="Arial" w:cs="Arial"/>
          <w:sz w:val="24"/>
          <w:szCs w:val="24"/>
          <w:lang w:eastAsia="en-GB"/>
        </w:rPr>
        <w:t xml:space="preserve">, Li, </w:t>
      </w:r>
      <w:r w:rsidR="00975626" w:rsidRPr="00975626">
        <w:rPr>
          <w:rFonts w:ascii="Arial" w:hAnsi="Arial" w:cs="Arial"/>
          <w:sz w:val="24"/>
          <w:szCs w:val="24"/>
          <w:lang w:eastAsia="en-GB"/>
        </w:rPr>
        <w:t>and</w:t>
      </w:r>
      <w:r w:rsidRPr="00975626">
        <w:rPr>
          <w:rFonts w:ascii="Arial" w:hAnsi="Arial" w:cs="Arial"/>
          <w:sz w:val="24"/>
          <w:szCs w:val="24"/>
          <w:lang w:eastAsia="en-GB"/>
        </w:rPr>
        <w:t xml:space="preserve"> Salvato, 2023). Forging stakeholder connections with hospitality associations, major hotel brands, and local Berlin authorities will not only provide financial support, but will also boost event credibility (Smith, 2012). Despite Berlin's solid infrastructure, effective operational risk management is still required: carefully planned contingency plans, including remote presenting choices for missing speakers and security measures that conform with local rules, assist to avoid interruptions (O'Toole, 2011). The summit also emphasises sustainability and social responsibility: paperless registration materials, public transportation promotion, and collaborations with minority-owned vendors all align with environmental and community goals, increasing the event's overall social impact (Getz and Page, 2019).</w:t>
      </w:r>
      <w:r w:rsidRPr="00975626">
        <w:rPr>
          <w:rFonts w:ascii="Arial" w:hAnsi="Arial" w:cs="Arial"/>
          <w:sz w:val="24"/>
          <w:szCs w:val="24"/>
        </w:rPr>
        <w:t xml:space="preserve"> </w:t>
      </w:r>
      <w:r w:rsidRPr="00975626">
        <w:rPr>
          <w:rFonts w:ascii="Arial" w:hAnsi="Arial" w:cs="Arial"/>
          <w:sz w:val="24"/>
          <w:szCs w:val="24"/>
          <w:lang w:eastAsia="en-GB"/>
        </w:rPr>
        <w:t xml:space="preserve">Effective administration of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Race and Gender in Hospitality. Leadership necessitates a systematic strategy that includes logistical planning, stakeholder participation, and clear communication routes. The organising committee will designate a central event manager to oversee venue arrangements at the Berlin Congress Centre (BCC), ensuring that numerous breakout rooms, social spaces, and major halls are distributed in accordance with workshop and plenary needs (www.visitberlin.de, n.d.). A specialised operations team will manage scheduling, equipment setup, and delegate registration, resulting in a unified chain of command that reduces bottlenecks (Mooney, 2020). A separate marketing division will manage branding, outreach initiatives on platforms such as LinkedIn, and promotional content to showcase the event's distinct focus on intersectional leadership (</w:t>
      </w:r>
      <w:proofErr w:type="spellStart"/>
      <w:r w:rsidRPr="00975626">
        <w:rPr>
          <w:rFonts w:ascii="Arial" w:hAnsi="Arial" w:cs="Arial"/>
          <w:sz w:val="24"/>
          <w:szCs w:val="24"/>
          <w:lang w:eastAsia="en-GB"/>
        </w:rPr>
        <w:t>Bogicevic</w:t>
      </w:r>
      <w:proofErr w:type="spellEnd"/>
      <w:r w:rsidRPr="00975626">
        <w:rPr>
          <w:rFonts w:ascii="Arial" w:hAnsi="Arial" w:cs="Arial"/>
          <w:sz w:val="24"/>
          <w:szCs w:val="24"/>
          <w:lang w:eastAsia="en-GB"/>
        </w:rPr>
        <w:t xml:space="preserve">, Li, </w:t>
      </w:r>
      <w:r w:rsidR="00975626" w:rsidRPr="00975626">
        <w:rPr>
          <w:rFonts w:ascii="Arial" w:hAnsi="Arial" w:cs="Arial"/>
          <w:sz w:val="24"/>
          <w:szCs w:val="24"/>
          <w:lang w:eastAsia="en-GB"/>
        </w:rPr>
        <w:t>and</w:t>
      </w:r>
      <w:r w:rsidRPr="00975626">
        <w:rPr>
          <w:rFonts w:ascii="Arial" w:hAnsi="Arial" w:cs="Arial"/>
          <w:sz w:val="24"/>
          <w:szCs w:val="24"/>
          <w:lang w:eastAsia="en-GB"/>
        </w:rPr>
        <w:t xml:space="preserve"> Salvato, 2023). A communications officer is also required to coordinate with speakers, sponsors, and hospitality associations to guarantee smooth synchronisation throughout keynote presentations, breakout sessions, and networking receptions (Smith, 2012). Rigorous risk management methods, such as speaker backup plans and solid digital infrastructure, will ensure conversation continuity while minimising technological failures (O'Toole, 2011). Meanwhile, volunteer organisers will choose and educate student interns from local hospitality schools, focussing on diverse skills and service etiquette (</w:t>
      </w:r>
      <w:r w:rsidR="00975626" w:rsidRPr="00975626">
        <w:rPr>
          <w:rFonts w:ascii="Arial" w:hAnsi="Arial" w:cs="Arial"/>
          <w:sz w:val="24"/>
          <w:szCs w:val="24"/>
          <w:lang w:eastAsia="en-GB"/>
        </w:rPr>
        <w:t>People Management, 2024</w:t>
      </w:r>
      <w:r w:rsidRPr="00975626">
        <w:rPr>
          <w:rFonts w:ascii="Arial" w:hAnsi="Arial" w:cs="Arial"/>
          <w:sz w:val="24"/>
          <w:szCs w:val="24"/>
          <w:lang w:eastAsia="en-GB"/>
        </w:rPr>
        <w:t>). This multi-layered structure promotes clear delegation of work and responsibility, increasing the event's ability to accommodate worldwide participants. The summit's management structure may support both high-impact discourse and a great on-site experience for all attendees by integrating operational efficiency, inclusive human resource practices, and smart marketing.</w:t>
      </w:r>
    </w:p>
    <w:p w14:paraId="0774475E" w14:textId="5FAF002F" w:rsidR="001515C4" w:rsidRPr="00975626" w:rsidRDefault="001515C4" w:rsidP="00975626">
      <w:pPr>
        <w:pStyle w:val="EU"/>
        <w:spacing w:line="360" w:lineRule="auto"/>
        <w:rPr>
          <w:color w:val="auto"/>
        </w:rPr>
      </w:pPr>
      <w:bookmarkStart w:id="5" w:name="_Toc191669171"/>
      <w:r w:rsidRPr="00975626">
        <w:rPr>
          <w:color w:val="auto"/>
        </w:rPr>
        <w:t>Event Budget</w:t>
      </w:r>
      <w:bookmarkEnd w:id="5"/>
    </w:p>
    <w:p w14:paraId="027D6DF7" w14:textId="77777777" w:rsidR="001515C4" w:rsidRPr="00975626" w:rsidRDefault="001515C4" w:rsidP="00975626">
      <w:pPr>
        <w:spacing w:line="360" w:lineRule="auto"/>
        <w:rPr>
          <w:rFonts w:ascii="Arial" w:eastAsiaTheme="majorEastAsia" w:hAnsi="Arial" w:cs="Arial"/>
          <w:b/>
          <w:kern w:val="0"/>
          <w:sz w:val="24"/>
          <w:szCs w:val="24"/>
          <w:lang w:eastAsia="en-GB"/>
          <w14:ligatures w14:val="none"/>
        </w:rPr>
      </w:pPr>
    </w:p>
    <w:p w14:paraId="3F86A451" w14:textId="10220BF2"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lang w:eastAsia="en-GB"/>
        </w:rPr>
        <w:t>Estimated Income and Expenditure (in EUR)</w:t>
      </w:r>
    </w:p>
    <w:tbl>
      <w:tblPr>
        <w:tblStyle w:val="TableGrid"/>
        <w:tblW w:w="0" w:type="auto"/>
        <w:tblLook w:val="04A0" w:firstRow="1" w:lastRow="0" w:firstColumn="1" w:lastColumn="0" w:noHBand="0" w:noVBand="1"/>
      </w:tblPr>
      <w:tblGrid>
        <w:gridCol w:w="4508"/>
        <w:gridCol w:w="4508"/>
      </w:tblGrid>
      <w:tr w:rsidR="00975626" w:rsidRPr="00975626" w14:paraId="39AB3679" w14:textId="77777777" w:rsidTr="001515C4">
        <w:tc>
          <w:tcPr>
            <w:tcW w:w="4508" w:type="dxa"/>
          </w:tcPr>
          <w:p w14:paraId="24CB0D28" w14:textId="78C2AE65"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Income</w:t>
            </w:r>
          </w:p>
        </w:tc>
        <w:tc>
          <w:tcPr>
            <w:tcW w:w="4508" w:type="dxa"/>
          </w:tcPr>
          <w:p w14:paraId="1CC48190" w14:textId="5FA95D8A"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Amount (EUR)</w:t>
            </w:r>
          </w:p>
        </w:tc>
      </w:tr>
      <w:tr w:rsidR="00975626" w:rsidRPr="00975626" w14:paraId="001AB37A" w14:textId="77777777" w:rsidTr="001515C4">
        <w:tc>
          <w:tcPr>
            <w:tcW w:w="4508" w:type="dxa"/>
          </w:tcPr>
          <w:p w14:paraId="78558C88" w14:textId="7F7652EB"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Registration Fees (300 delegates @ 200 EUR)</w:t>
            </w:r>
          </w:p>
        </w:tc>
        <w:tc>
          <w:tcPr>
            <w:tcW w:w="4508" w:type="dxa"/>
          </w:tcPr>
          <w:p w14:paraId="04FD2FAD" w14:textId="7957EEC3"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60,000</w:t>
            </w:r>
          </w:p>
        </w:tc>
      </w:tr>
      <w:tr w:rsidR="00975626" w:rsidRPr="00975626" w14:paraId="6ACD4303" w14:textId="77777777" w:rsidTr="001515C4">
        <w:tc>
          <w:tcPr>
            <w:tcW w:w="4508" w:type="dxa"/>
          </w:tcPr>
          <w:p w14:paraId="1B640891" w14:textId="3D6FB689"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Sponsorship Packages (6 sponsors @ 8,000 EUR)</w:t>
            </w:r>
          </w:p>
        </w:tc>
        <w:tc>
          <w:tcPr>
            <w:tcW w:w="4508" w:type="dxa"/>
          </w:tcPr>
          <w:p w14:paraId="67A973D3" w14:textId="01BA7DD0"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48,000</w:t>
            </w:r>
          </w:p>
        </w:tc>
      </w:tr>
      <w:tr w:rsidR="00975626" w:rsidRPr="00975626" w14:paraId="1DA98277" w14:textId="77777777" w:rsidTr="001515C4">
        <w:tc>
          <w:tcPr>
            <w:tcW w:w="4508" w:type="dxa"/>
          </w:tcPr>
          <w:p w14:paraId="5F90B05E" w14:textId="6A795872"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Exhibitor Booths (15 booths @ 1,200 EUR)</w:t>
            </w:r>
          </w:p>
        </w:tc>
        <w:tc>
          <w:tcPr>
            <w:tcW w:w="4508" w:type="dxa"/>
          </w:tcPr>
          <w:p w14:paraId="4CCADDBD" w14:textId="4C42FCFC"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18,000</w:t>
            </w:r>
          </w:p>
        </w:tc>
      </w:tr>
      <w:tr w:rsidR="00975626" w:rsidRPr="00975626" w14:paraId="615ABA2D" w14:textId="77777777" w:rsidTr="001515C4">
        <w:tc>
          <w:tcPr>
            <w:tcW w:w="4508" w:type="dxa"/>
          </w:tcPr>
          <w:p w14:paraId="0AFECACD" w14:textId="40F02BC9"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Government/Local Grants</w:t>
            </w:r>
          </w:p>
        </w:tc>
        <w:tc>
          <w:tcPr>
            <w:tcW w:w="4508" w:type="dxa"/>
          </w:tcPr>
          <w:p w14:paraId="6BB6DD75" w14:textId="58CC887F"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10,000</w:t>
            </w:r>
          </w:p>
        </w:tc>
      </w:tr>
      <w:tr w:rsidR="00975626" w:rsidRPr="00975626" w14:paraId="67A3C65B" w14:textId="77777777" w:rsidTr="001515C4">
        <w:tc>
          <w:tcPr>
            <w:tcW w:w="4508" w:type="dxa"/>
          </w:tcPr>
          <w:p w14:paraId="70A5471B" w14:textId="399D5F1B"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Total Projected Income</w:t>
            </w:r>
          </w:p>
        </w:tc>
        <w:tc>
          <w:tcPr>
            <w:tcW w:w="4508" w:type="dxa"/>
          </w:tcPr>
          <w:p w14:paraId="0FA5D331" w14:textId="65566905"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136,000</w:t>
            </w:r>
          </w:p>
        </w:tc>
      </w:tr>
    </w:tbl>
    <w:p w14:paraId="454835B3" w14:textId="77777777" w:rsidR="001515C4" w:rsidRPr="00975626" w:rsidRDefault="001515C4" w:rsidP="00975626">
      <w:pPr>
        <w:spacing w:line="360" w:lineRule="auto"/>
        <w:rPr>
          <w:rFonts w:ascii="Arial" w:hAnsi="Arial" w:cs="Arial"/>
          <w:sz w:val="24"/>
          <w:szCs w:val="24"/>
          <w:lang w:eastAsia="en-GB"/>
        </w:rPr>
      </w:pPr>
    </w:p>
    <w:tbl>
      <w:tblPr>
        <w:tblStyle w:val="TableGrid"/>
        <w:tblW w:w="0" w:type="auto"/>
        <w:tblLook w:val="04A0" w:firstRow="1" w:lastRow="0" w:firstColumn="1" w:lastColumn="0" w:noHBand="0" w:noVBand="1"/>
      </w:tblPr>
      <w:tblGrid>
        <w:gridCol w:w="4508"/>
        <w:gridCol w:w="4508"/>
      </w:tblGrid>
      <w:tr w:rsidR="00975626" w:rsidRPr="00975626" w14:paraId="545D0D25" w14:textId="77777777" w:rsidTr="001515C4">
        <w:tc>
          <w:tcPr>
            <w:tcW w:w="4508" w:type="dxa"/>
          </w:tcPr>
          <w:p w14:paraId="56FE5464" w14:textId="10DF365D"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Expenditure</w:t>
            </w:r>
          </w:p>
        </w:tc>
        <w:tc>
          <w:tcPr>
            <w:tcW w:w="4508" w:type="dxa"/>
          </w:tcPr>
          <w:p w14:paraId="75F85EE2" w14:textId="5E35533E"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Amount (EUR)</w:t>
            </w:r>
          </w:p>
        </w:tc>
      </w:tr>
      <w:tr w:rsidR="00975626" w:rsidRPr="00975626" w14:paraId="4F18A2F1" w14:textId="77777777" w:rsidTr="001515C4">
        <w:tc>
          <w:tcPr>
            <w:tcW w:w="4508" w:type="dxa"/>
          </w:tcPr>
          <w:p w14:paraId="10CE26D3" w14:textId="3EC759F9"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Venue Hire (3 days @ 8,000 EUR/day)</w:t>
            </w:r>
          </w:p>
        </w:tc>
        <w:tc>
          <w:tcPr>
            <w:tcW w:w="4508" w:type="dxa"/>
          </w:tcPr>
          <w:p w14:paraId="4FB43316" w14:textId="00D3873E"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24,000</w:t>
            </w:r>
          </w:p>
        </w:tc>
      </w:tr>
      <w:tr w:rsidR="00975626" w:rsidRPr="00975626" w14:paraId="64E4A911" w14:textId="77777777" w:rsidTr="001515C4">
        <w:tc>
          <w:tcPr>
            <w:tcW w:w="4508" w:type="dxa"/>
          </w:tcPr>
          <w:p w14:paraId="7F2FCA1E" w14:textId="4DF80A92"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A/V and Technical Services</w:t>
            </w:r>
          </w:p>
        </w:tc>
        <w:tc>
          <w:tcPr>
            <w:tcW w:w="4508" w:type="dxa"/>
          </w:tcPr>
          <w:p w14:paraId="6769E78B" w14:textId="3FBA73F5"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12,000</w:t>
            </w:r>
          </w:p>
        </w:tc>
      </w:tr>
      <w:tr w:rsidR="00975626" w:rsidRPr="00975626" w14:paraId="04EB34DD" w14:textId="77777777" w:rsidTr="001515C4">
        <w:tc>
          <w:tcPr>
            <w:tcW w:w="4508" w:type="dxa"/>
          </w:tcPr>
          <w:p w14:paraId="3336EEC2" w14:textId="6EFF590A"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Marketing &amp; Promotion</w:t>
            </w:r>
          </w:p>
        </w:tc>
        <w:tc>
          <w:tcPr>
            <w:tcW w:w="4508" w:type="dxa"/>
          </w:tcPr>
          <w:p w14:paraId="5D724C6F" w14:textId="5507C912"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10,000</w:t>
            </w:r>
          </w:p>
        </w:tc>
      </w:tr>
      <w:tr w:rsidR="00975626" w:rsidRPr="00975626" w14:paraId="6B6F8214" w14:textId="77777777" w:rsidTr="001515C4">
        <w:tc>
          <w:tcPr>
            <w:tcW w:w="4508" w:type="dxa"/>
          </w:tcPr>
          <w:p w14:paraId="4E57C366" w14:textId="26B99BDF"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Catering (300 delegates over 3 days)</w:t>
            </w:r>
          </w:p>
        </w:tc>
        <w:tc>
          <w:tcPr>
            <w:tcW w:w="4508" w:type="dxa"/>
          </w:tcPr>
          <w:p w14:paraId="17EFF3FA" w14:textId="399D75CE"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20,000</w:t>
            </w:r>
          </w:p>
        </w:tc>
      </w:tr>
      <w:tr w:rsidR="00975626" w:rsidRPr="00975626" w14:paraId="544DBF3F" w14:textId="77777777" w:rsidTr="001515C4">
        <w:tc>
          <w:tcPr>
            <w:tcW w:w="4508" w:type="dxa"/>
          </w:tcPr>
          <w:p w14:paraId="2FDE2550" w14:textId="68BD37BA"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Speaker Fees &amp; Travel (15 speakers @ avg. 1,000 EUR</w:t>
            </w:r>
          </w:p>
        </w:tc>
        <w:tc>
          <w:tcPr>
            <w:tcW w:w="4508" w:type="dxa"/>
          </w:tcPr>
          <w:p w14:paraId="784A4533" w14:textId="3E0FB6E2"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15,000</w:t>
            </w:r>
          </w:p>
        </w:tc>
      </w:tr>
      <w:tr w:rsidR="00975626" w:rsidRPr="00975626" w14:paraId="3E357DC9" w14:textId="77777777" w:rsidTr="001515C4">
        <w:tc>
          <w:tcPr>
            <w:tcW w:w="4508" w:type="dxa"/>
          </w:tcPr>
          <w:p w14:paraId="45AEA855" w14:textId="7BE7CD8C"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Staff &amp; Volunteer Support (incl. training)</w:t>
            </w:r>
          </w:p>
        </w:tc>
        <w:tc>
          <w:tcPr>
            <w:tcW w:w="4508" w:type="dxa"/>
          </w:tcPr>
          <w:p w14:paraId="587C938D" w14:textId="06C55EB6"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6,000</w:t>
            </w:r>
          </w:p>
        </w:tc>
      </w:tr>
      <w:tr w:rsidR="00975626" w:rsidRPr="00975626" w14:paraId="195090F0" w14:textId="77777777" w:rsidTr="001515C4">
        <w:tc>
          <w:tcPr>
            <w:tcW w:w="4508" w:type="dxa"/>
          </w:tcPr>
          <w:p w14:paraId="252761A3" w14:textId="5CCF207E"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Printed Materials / Branding</w:t>
            </w:r>
          </w:p>
        </w:tc>
        <w:tc>
          <w:tcPr>
            <w:tcW w:w="4508" w:type="dxa"/>
          </w:tcPr>
          <w:p w14:paraId="72D966FB" w14:textId="111E5A58"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4,000</w:t>
            </w:r>
          </w:p>
        </w:tc>
      </w:tr>
      <w:tr w:rsidR="001515C4" w:rsidRPr="00975626" w14:paraId="7CDA34B2" w14:textId="77777777" w:rsidTr="001515C4">
        <w:tc>
          <w:tcPr>
            <w:tcW w:w="4508" w:type="dxa"/>
          </w:tcPr>
          <w:p w14:paraId="7DC3286E" w14:textId="547C89E8"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Miscellaneous &amp; Contingencies (10% buffer)</w:t>
            </w:r>
          </w:p>
        </w:tc>
        <w:tc>
          <w:tcPr>
            <w:tcW w:w="4508" w:type="dxa"/>
          </w:tcPr>
          <w:p w14:paraId="42F2EF7C" w14:textId="48C35C00" w:rsidR="001515C4" w:rsidRPr="00975626" w:rsidRDefault="001515C4" w:rsidP="00975626">
            <w:pPr>
              <w:spacing w:line="360" w:lineRule="auto"/>
              <w:rPr>
                <w:rFonts w:ascii="Arial" w:hAnsi="Arial" w:cs="Arial"/>
                <w:sz w:val="24"/>
                <w:szCs w:val="24"/>
                <w:lang w:eastAsia="en-GB"/>
              </w:rPr>
            </w:pPr>
            <w:r w:rsidRPr="00975626">
              <w:rPr>
                <w:rFonts w:ascii="Arial" w:hAnsi="Arial" w:cs="Arial"/>
                <w:sz w:val="24"/>
                <w:szCs w:val="24"/>
              </w:rPr>
              <w:t>9,100</w:t>
            </w:r>
          </w:p>
        </w:tc>
      </w:tr>
      <w:tr w:rsidR="00975626" w:rsidRPr="00975626" w14:paraId="216D83AA" w14:textId="77777777" w:rsidTr="001515C4">
        <w:trPr>
          <w:trHeight w:val="419"/>
        </w:trPr>
        <w:tc>
          <w:tcPr>
            <w:tcW w:w="4508" w:type="dxa"/>
          </w:tcPr>
          <w:p w14:paraId="547DD7FB" w14:textId="09AD5A39"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Total Projected Expenditure</w:t>
            </w:r>
          </w:p>
        </w:tc>
        <w:tc>
          <w:tcPr>
            <w:tcW w:w="4508" w:type="dxa"/>
          </w:tcPr>
          <w:p w14:paraId="7AD390F8" w14:textId="5A6AF799" w:rsidR="001515C4" w:rsidRPr="00975626" w:rsidRDefault="001515C4" w:rsidP="00975626">
            <w:pPr>
              <w:spacing w:line="360" w:lineRule="auto"/>
              <w:rPr>
                <w:rFonts w:ascii="Arial" w:hAnsi="Arial" w:cs="Arial"/>
                <w:b/>
                <w:bCs/>
                <w:sz w:val="24"/>
                <w:szCs w:val="24"/>
                <w:lang w:eastAsia="en-GB"/>
              </w:rPr>
            </w:pPr>
            <w:r w:rsidRPr="00975626">
              <w:rPr>
                <w:rFonts w:ascii="Arial" w:hAnsi="Arial" w:cs="Arial"/>
                <w:b/>
                <w:bCs/>
                <w:sz w:val="24"/>
                <w:szCs w:val="24"/>
              </w:rPr>
              <w:t>100,100</w:t>
            </w:r>
          </w:p>
        </w:tc>
      </w:tr>
    </w:tbl>
    <w:p w14:paraId="53EFE13A" w14:textId="77777777" w:rsidR="001515C4" w:rsidRPr="00975626" w:rsidRDefault="001515C4" w:rsidP="00975626">
      <w:pPr>
        <w:spacing w:line="360" w:lineRule="auto"/>
        <w:rPr>
          <w:rFonts w:ascii="Arial" w:hAnsi="Arial" w:cs="Arial"/>
          <w:sz w:val="24"/>
          <w:szCs w:val="24"/>
          <w:lang w:eastAsia="en-GB"/>
        </w:rPr>
      </w:pPr>
    </w:p>
    <w:p w14:paraId="761F18C1" w14:textId="659757F9" w:rsidR="001515C4" w:rsidRPr="00975626" w:rsidRDefault="001515C4"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The financial structure for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Race and Gender in Hospitality Leadership takes a balanced approach to cost recovery and social benefit. Registration fees, which average 200 EUR for around 300 attendees, help to defray logistical costs while staying accessible to a wide professional audience. Aside from participant donations, sponsorship packages are expected to produce significant revenue from organisations committed to diversity, with perks including branding opportunities and speaking appearances (Smith, 2012). Exhibitor booths, particularly those related to the job fair component, attract additional money from hotels, recruiting agencies, and DEI consultants keen to demonstrate their inclusive employment initiatives. Venue rental at the Berlin Congress Centre includes basic facilities such as room allocation, utilities, and security, however any specialised audiovisual requirements may entail additional expenses. Meanwhile, speaker fees and travel charges cover the cost of bringing industry experts from all around Europe and beyond, providing a full and informative program. An estimated 10% contingency buffer covers unexpected expenditures like as last-minute equipment rentals or extended venue hours, lowering financial risks (McLaney and </w:t>
      </w:r>
      <w:proofErr w:type="spellStart"/>
      <w:r w:rsidRPr="00975626">
        <w:rPr>
          <w:rFonts w:ascii="Arial" w:hAnsi="Arial" w:cs="Arial"/>
          <w:sz w:val="24"/>
          <w:szCs w:val="24"/>
          <w:lang w:eastAsia="en-GB"/>
        </w:rPr>
        <w:t>Atrill</w:t>
      </w:r>
      <w:proofErr w:type="spellEnd"/>
      <w:r w:rsidRPr="00975626">
        <w:rPr>
          <w:rFonts w:ascii="Arial" w:hAnsi="Arial" w:cs="Arial"/>
          <w:sz w:val="24"/>
          <w:szCs w:val="24"/>
          <w:lang w:eastAsia="en-GB"/>
        </w:rPr>
        <w:t>, 2020). Notably, the expected surplus of 35,900 EUR protects the event from operational difficulties and allows for reinvestment in scholarships for under-represented students or post-event research on inclusive leadership. This fiscal approach, which balances cost commitments with possibilities to advance social responsibility, demonstrates the summit's long-term commitment to developing real justice in hospitality.</w:t>
      </w:r>
    </w:p>
    <w:p w14:paraId="3A739203" w14:textId="6381F5F5" w:rsidR="001515C4" w:rsidRPr="00975626" w:rsidRDefault="001515C4" w:rsidP="00975626">
      <w:pPr>
        <w:pStyle w:val="EU"/>
        <w:spacing w:line="360" w:lineRule="auto"/>
        <w:rPr>
          <w:color w:val="auto"/>
        </w:rPr>
      </w:pPr>
      <w:bookmarkStart w:id="6" w:name="_Toc191669172"/>
      <w:r w:rsidRPr="00975626">
        <w:rPr>
          <w:color w:val="auto"/>
        </w:rPr>
        <w:t>Industry Trends / Issues / Impacts</w:t>
      </w:r>
      <w:bookmarkEnd w:id="6"/>
    </w:p>
    <w:p w14:paraId="563C04E1" w14:textId="77203C7C" w:rsidR="007C4476" w:rsidRPr="00975626" w:rsidRDefault="007C4476"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The modern hotel industry operates in a dynamic context characterised by changing legislation, socioeconomic considerations, and increased customer expectations for fair business practices, all of which highlight the significance of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in Berlin. Numerous worldwide hotel chains have begun to incorporate explicit diversity, equity, and inclusion (DEI) efforts, fuelled by accumulating evidence that diverse leadership teams provide stronger financial results and innovation (</w:t>
      </w:r>
      <w:proofErr w:type="spellStart"/>
      <w:r w:rsidRPr="00975626">
        <w:rPr>
          <w:rFonts w:ascii="Arial" w:hAnsi="Arial" w:cs="Arial"/>
          <w:sz w:val="24"/>
          <w:szCs w:val="24"/>
          <w:lang w:eastAsia="en-GB"/>
        </w:rPr>
        <w:t>Mckinsey</w:t>
      </w:r>
      <w:proofErr w:type="spellEnd"/>
      <w:r w:rsidRPr="00975626">
        <w:rPr>
          <w:rFonts w:ascii="Arial" w:hAnsi="Arial" w:cs="Arial"/>
          <w:sz w:val="24"/>
          <w:szCs w:val="24"/>
          <w:lang w:eastAsia="en-GB"/>
        </w:rPr>
        <w:t xml:space="preserve"> </w:t>
      </w:r>
      <w:r w:rsidR="00975626" w:rsidRPr="00975626">
        <w:rPr>
          <w:rFonts w:ascii="Arial" w:hAnsi="Arial" w:cs="Arial"/>
          <w:sz w:val="24"/>
          <w:szCs w:val="24"/>
          <w:lang w:eastAsia="en-GB"/>
        </w:rPr>
        <w:t>and</w:t>
      </w:r>
      <w:r w:rsidRPr="00975626">
        <w:rPr>
          <w:rFonts w:ascii="Arial" w:hAnsi="Arial" w:cs="Arial"/>
          <w:sz w:val="24"/>
          <w:szCs w:val="24"/>
          <w:lang w:eastAsia="en-GB"/>
        </w:rPr>
        <w:t xml:space="preserve"> Company, 2024). Despite this improvement, significant gaps exist when such rules are imperfectly implemented or inconsistently enforced, indicating the critical need for industry-specific platforms that highlight best practices and cross-cultural solutions. In line with the corporate shift towards DEI, the cultural dimension of tourism is critical: as international travel continues post-pandemic, hotels face an increasing flood of visitors from many origins, each with their own cultural norms and service expectations (Cohen, 2022). This fact creates an increased requirement for inclusive leadership capable of recognizing—and proactively reacting to—linguistic, religious, and societal sensitivities, highlighting the importance of events that address intersectional leadership frameworks (Getz and Page, 2019). Technological improvements, notably in real-time language translation software, social media marketing, and big data analytics, transform the competitive environment by allowing hotels to better target certain demographics (</w:t>
      </w:r>
      <w:proofErr w:type="spellStart"/>
      <w:r w:rsidRPr="00975626">
        <w:rPr>
          <w:rFonts w:ascii="Arial" w:hAnsi="Arial" w:cs="Arial"/>
          <w:sz w:val="24"/>
          <w:szCs w:val="24"/>
          <w:lang w:eastAsia="en-GB"/>
        </w:rPr>
        <w:t>Bogicevic</w:t>
      </w:r>
      <w:proofErr w:type="spellEnd"/>
      <w:r w:rsidRPr="00975626">
        <w:rPr>
          <w:rFonts w:ascii="Arial" w:hAnsi="Arial" w:cs="Arial"/>
          <w:sz w:val="24"/>
          <w:szCs w:val="24"/>
          <w:lang w:eastAsia="en-GB"/>
        </w:rPr>
        <w:t xml:space="preserve">, Li, </w:t>
      </w:r>
      <w:r w:rsidR="00975626" w:rsidRPr="00975626">
        <w:rPr>
          <w:rFonts w:ascii="Arial" w:hAnsi="Arial" w:cs="Arial"/>
          <w:sz w:val="24"/>
          <w:szCs w:val="24"/>
          <w:lang w:eastAsia="en-GB"/>
        </w:rPr>
        <w:t>and</w:t>
      </w:r>
      <w:r w:rsidRPr="00975626">
        <w:rPr>
          <w:rFonts w:ascii="Arial" w:hAnsi="Arial" w:cs="Arial"/>
          <w:sz w:val="24"/>
          <w:szCs w:val="24"/>
          <w:lang w:eastAsia="en-GB"/>
        </w:rPr>
        <w:t xml:space="preserve"> Salvato, 2023). However, although innovation provides effective instruments for outreach and consumer involvement, it also reveals flaws in organisations that lack leaders who reflect their increasingly global clientele. Socio-political factors add another layer of complexity: protective legislation governing race, gender, and LGBTQ+ rights varies significantly across Europe and beyond, forcing hospitality businesses to adapt management policies that may be strong in one region but legally insufficient or socially untenable in another (LTB, 2024). Germany's General Equal Treatment Act (AGG), for example, promotes a supportive environment for equitable hiring practices, bolstering Berlin's status as an appealing venue for transnational dialogues on DEI; however, disparities persist in neighbouring countries, highlighting the need for ongoing dialogue and shared guidelines that cross national boundaries. Overall, consumer behaviours and ethical concerns are becoming more aligned, as modern travellers not only demand good service standards but also choose businesses that are considered to adhere to inclusive ideals (People Management, 2024). This convergence of factors—corporate DEI obligations, evolving cultural expectations, faster technology advancement, and unequal socio-legal frameworks—provides a compelling environment for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By bringing together decision-makers, academics, and advocacy organisations in a single location, the summit may help to achieve real policy alignment, elevate under-represented perspectives, and motivate strategic change that transcends regional boundaries. Indeed, the event's capacity to address racial and gender concerns in leadership represents an industry-wide shift towards recognition that long-term competitive advantage is inextricably linked to a workforce in which all individuals feel empowered to participate. As a result, the summit's overarching goal, to encourage the adoption of future-focused, inclusive practices, is critical not just to the sustainability of individual hospitality businesses, but to the industry as a whole in an ever-more globalised world.</w:t>
      </w:r>
    </w:p>
    <w:p w14:paraId="0EFA48B4" w14:textId="6137F7CA" w:rsidR="007C4476" w:rsidRPr="00975626" w:rsidRDefault="007C4476" w:rsidP="00975626">
      <w:pPr>
        <w:pStyle w:val="EU"/>
        <w:spacing w:line="360" w:lineRule="auto"/>
        <w:rPr>
          <w:color w:val="auto"/>
        </w:rPr>
      </w:pPr>
      <w:bookmarkStart w:id="7" w:name="_Toc191669173"/>
      <w:r w:rsidRPr="00975626">
        <w:rPr>
          <w:color w:val="auto"/>
        </w:rPr>
        <w:t>Situational and Cultural Considerations</w:t>
      </w:r>
      <w:bookmarkEnd w:id="7"/>
    </w:p>
    <w:p w14:paraId="005079E3" w14:textId="74ACF74B" w:rsidR="007C4476" w:rsidRPr="00975626" w:rsidRDefault="007C4476"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Situational and cultural studies are critical when planning an international event since they allow planners to adjust the experience to different delegate backgrounds and expectations. Established frameworks like as SWOT (Strengths, Weaknesses, Opportunities, Threats) and PESTEL (Political, Economic, Sociocultural, Technological, Environmental, and Legal) are useful tools for methodically examining both internal and external issues (Fox et al. 2014). One evident advantage in this regard is Berlin's well-known inclusiveness and track record of organising high-profile events. However, high accommodation prices may be a barrier for participants with low finances, and certain hotel chains may be hesitant to engage openly in discussions about racial and gender imbalances, thus influencing sponsorship selections (Shum, Gatling, and Garlington, 2020). Despite these challenges, the city's cultural variety presents a chance to reach a worldwide audience and engage with academic institutions on more DEI-related research (Institute of Health Equity, 2021). Nonetheless, unexpected political upheavals or repeated travel restrictions might jeopardise participation (ILO, n.d.), and overlapping industry events could divide the intended audience. Cultural sensitivity is also important: real-time translation services, multilingual signage, and various catering options provide straightforward communication while also emphasising true inclusion (Getz and Page, 2019). Thus, careful preparation of logistical, financial, and cultural aspects is critical to maintaining the summit's legitimacy and influence.</w:t>
      </w:r>
    </w:p>
    <w:p w14:paraId="56BCB2BA" w14:textId="51858659" w:rsidR="007C4476" w:rsidRPr="00975626" w:rsidRDefault="007C4476" w:rsidP="00975626">
      <w:pPr>
        <w:pStyle w:val="EU"/>
        <w:spacing w:line="360" w:lineRule="auto"/>
        <w:rPr>
          <w:color w:val="auto"/>
        </w:rPr>
      </w:pPr>
      <w:bookmarkStart w:id="8" w:name="_Toc191669174"/>
      <w:r w:rsidRPr="00975626">
        <w:rPr>
          <w:color w:val="auto"/>
        </w:rPr>
        <w:t>Conclusion</w:t>
      </w:r>
      <w:bookmarkEnd w:id="8"/>
    </w:p>
    <w:p w14:paraId="763D6325" w14:textId="09B69A32" w:rsidR="007C4476" w:rsidRPr="00975626" w:rsidRDefault="007C4476" w:rsidP="00975626">
      <w:pPr>
        <w:spacing w:line="360" w:lineRule="auto"/>
        <w:jc w:val="both"/>
        <w:rPr>
          <w:rFonts w:ascii="Arial" w:hAnsi="Arial" w:cs="Arial"/>
          <w:sz w:val="24"/>
          <w:szCs w:val="24"/>
          <w:lang w:eastAsia="en-GB"/>
        </w:rPr>
      </w:pPr>
      <w:r w:rsidRPr="00975626">
        <w:rPr>
          <w:rFonts w:ascii="Arial" w:hAnsi="Arial" w:cs="Arial"/>
          <w:sz w:val="24"/>
          <w:szCs w:val="24"/>
          <w:lang w:eastAsia="en-GB"/>
        </w:rPr>
        <w:t xml:space="preserve">To conclude,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illustrates a deliberate effort to reduce leadership gaps in the hospitality industry. The summit, built on a comprehensive feasibility analysis and an organised event cycle, combines academic information, industry best practices, and real-world networking opportunities. Hosting the event in Berlin takes advantage of the city's progressive policies and strong MICE infrastructure, fostering an atmosphere in which stakeholders can address crucial gaps in diversity, equity, and inclusion. The summit, with its aims, objectives, and multifaceted style, goes beyond traditional academic forums by incorporating real consequences like a targeted job fair and partnership-building seminars. The proposed budget illustrates financial soundness, while situational and cultural evaluations emphasise the potential to respond to diverse risks and subtleties. Finally, if conducted well, the Diverse </w:t>
      </w:r>
      <w:proofErr w:type="spellStart"/>
      <w:r w:rsidRPr="00975626">
        <w:rPr>
          <w:rFonts w:ascii="Arial" w:hAnsi="Arial" w:cs="Arial"/>
          <w:sz w:val="24"/>
          <w:szCs w:val="24"/>
          <w:lang w:eastAsia="en-GB"/>
        </w:rPr>
        <w:t>Leaders</w:t>
      </w:r>
      <w:proofErr w:type="spellEnd"/>
      <w:r w:rsidRPr="00975626">
        <w:rPr>
          <w:rFonts w:ascii="Arial" w:hAnsi="Arial" w:cs="Arial"/>
          <w:sz w:val="24"/>
          <w:szCs w:val="24"/>
          <w:lang w:eastAsia="en-GB"/>
        </w:rPr>
        <w:t xml:space="preserve"> Summit has the potential to act as a catalyst for long-term change, allowing hospitality organisations to embrace leadership diversity as a moral and strategic necessity.</w:t>
      </w:r>
    </w:p>
    <w:p w14:paraId="657AF5C7" w14:textId="2C117515" w:rsidR="007C4476" w:rsidRDefault="007C4476" w:rsidP="007C4476">
      <w:pPr>
        <w:rPr>
          <w:lang w:eastAsia="en-GB"/>
        </w:rPr>
      </w:pPr>
    </w:p>
    <w:p w14:paraId="3AB4681F" w14:textId="77777777" w:rsidR="007C4476" w:rsidRDefault="007C4476" w:rsidP="007C4476">
      <w:pPr>
        <w:rPr>
          <w:lang w:eastAsia="en-GB"/>
        </w:rPr>
      </w:pPr>
    </w:p>
    <w:p w14:paraId="6B994C42" w14:textId="77777777" w:rsidR="007C4476" w:rsidRDefault="007C4476" w:rsidP="007C4476">
      <w:pPr>
        <w:rPr>
          <w:lang w:eastAsia="en-GB"/>
        </w:rPr>
      </w:pPr>
    </w:p>
    <w:p w14:paraId="33C0E187" w14:textId="77777777" w:rsidR="007C4476" w:rsidRDefault="007C4476" w:rsidP="007C4476">
      <w:pPr>
        <w:rPr>
          <w:lang w:eastAsia="en-GB"/>
        </w:rPr>
      </w:pPr>
    </w:p>
    <w:p w14:paraId="43C1BEEA" w14:textId="77777777" w:rsidR="007C4476" w:rsidRDefault="007C4476" w:rsidP="007C4476">
      <w:pPr>
        <w:rPr>
          <w:lang w:eastAsia="en-GB"/>
        </w:rPr>
      </w:pPr>
    </w:p>
    <w:p w14:paraId="18B52F7D" w14:textId="77777777" w:rsidR="007C4476" w:rsidRDefault="007C4476" w:rsidP="007C4476">
      <w:pPr>
        <w:rPr>
          <w:lang w:eastAsia="en-GB"/>
        </w:rPr>
      </w:pPr>
    </w:p>
    <w:p w14:paraId="5A1F3BEE" w14:textId="77777777" w:rsidR="007C4476" w:rsidRDefault="007C4476" w:rsidP="007C4476">
      <w:pPr>
        <w:rPr>
          <w:lang w:eastAsia="en-GB"/>
        </w:rPr>
      </w:pPr>
    </w:p>
    <w:p w14:paraId="07198EFE" w14:textId="77777777" w:rsidR="007C4476" w:rsidRDefault="007C4476" w:rsidP="007C4476">
      <w:pPr>
        <w:rPr>
          <w:lang w:eastAsia="en-GB"/>
        </w:rPr>
      </w:pPr>
    </w:p>
    <w:p w14:paraId="668482AA" w14:textId="77777777" w:rsidR="007C4476" w:rsidRDefault="007C4476" w:rsidP="007C4476">
      <w:pPr>
        <w:rPr>
          <w:lang w:eastAsia="en-GB"/>
        </w:rPr>
      </w:pPr>
    </w:p>
    <w:p w14:paraId="7B17D936" w14:textId="77777777" w:rsidR="007C4476" w:rsidRDefault="007C4476" w:rsidP="007C4476">
      <w:pPr>
        <w:rPr>
          <w:lang w:eastAsia="en-GB"/>
        </w:rPr>
      </w:pPr>
    </w:p>
    <w:p w14:paraId="3C5EB854" w14:textId="77777777" w:rsidR="007C4476" w:rsidRDefault="007C4476" w:rsidP="007C4476">
      <w:pPr>
        <w:rPr>
          <w:lang w:eastAsia="en-GB"/>
        </w:rPr>
      </w:pPr>
    </w:p>
    <w:p w14:paraId="54EF8B16" w14:textId="77777777" w:rsidR="007C4476" w:rsidRDefault="007C4476" w:rsidP="007C4476">
      <w:pPr>
        <w:rPr>
          <w:lang w:eastAsia="en-GB"/>
        </w:rPr>
      </w:pPr>
    </w:p>
    <w:p w14:paraId="13B9F6E0" w14:textId="77777777" w:rsidR="007C4476" w:rsidRDefault="007C4476" w:rsidP="007C4476">
      <w:pPr>
        <w:rPr>
          <w:lang w:eastAsia="en-GB"/>
        </w:rPr>
      </w:pPr>
    </w:p>
    <w:p w14:paraId="29AEC2A3" w14:textId="77777777" w:rsidR="007C4476" w:rsidRDefault="007C4476" w:rsidP="007C4476">
      <w:pPr>
        <w:rPr>
          <w:lang w:eastAsia="en-GB"/>
        </w:rPr>
      </w:pPr>
    </w:p>
    <w:p w14:paraId="7C383767" w14:textId="77777777" w:rsidR="007C4476" w:rsidRDefault="007C4476" w:rsidP="007C4476">
      <w:pPr>
        <w:rPr>
          <w:lang w:eastAsia="en-GB"/>
        </w:rPr>
      </w:pPr>
    </w:p>
    <w:p w14:paraId="3E9D0857" w14:textId="77777777" w:rsidR="007C4476" w:rsidRDefault="007C4476" w:rsidP="007C4476">
      <w:pPr>
        <w:rPr>
          <w:lang w:eastAsia="en-GB"/>
        </w:rPr>
      </w:pPr>
    </w:p>
    <w:p w14:paraId="59EC5749" w14:textId="77777777" w:rsidR="007C4476" w:rsidRDefault="007C4476" w:rsidP="007C4476">
      <w:pPr>
        <w:rPr>
          <w:lang w:eastAsia="en-GB"/>
        </w:rPr>
      </w:pPr>
    </w:p>
    <w:p w14:paraId="51058E73" w14:textId="77777777" w:rsidR="007C4476" w:rsidRDefault="007C4476" w:rsidP="007C4476">
      <w:pPr>
        <w:rPr>
          <w:lang w:eastAsia="en-GB"/>
        </w:rPr>
      </w:pPr>
    </w:p>
    <w:p w14:paraId="1FF4F4A3" w14:textId="267A86BA" w:rsidR="007C4476" w:rsidRPr="00975626" w:rsidRDefault="007C4476" w:rsidP="00975626">
      <w:pPr>
        <w:pStyle w:val="EU"/>
        <w:spacing w:line="360" w:lineRule="auto"/>
        <w:ind w:firstLine="720"/>
        <w:rPr>
          <w:color w:val="auto"/>
        </w:rPr>
      </w:pPr>
      <w:bookmarkStart w:id="9" w:name="_Toc191669175"/>
      <w:r w:rsidRPr="00975626">
        <w:rPr>
          <w:color w:val="auto"/>
        </w:rPr>
        <w:t>References</w:t>
      </w:r>
      <w:bookmarkEnd w:id="9"/>
      <w:r w:rsidRPr="00975626">
        <w:rPr>
          <w:color w:val="auto"/>
        </w:rPr>
        <w:t xml:space="preserve"> </w:t>
      </w:r>
    </w:p>
    <w:p w14:paraId="7450F971" w14:textId="77777777" w:rsidR="007C4476" w:rsidRPr="00975626" w:rsidRDefault="007C4476" w:rsidP="00975626">
      <w:pPr>
        <w:spacing w:line="360" w:lineRule="auto"/>
        <w:ind w:firstLine="720"/>
        <w:jc w:val="both"/>
        <w:rPr>
          <w:rFonts w:ascii="Arial" w:hAnsi="Arial" w:cs="Arial"/>
          <w:sz w:val="24"/>
          <w:szCs w:val="24"/>
          <w:lang w:eastAsia="en-GB"/>
        </w:rPr>
      </w:pPr>
    </w:p>
    <w:p w14:paraId="482C76A9" w14:textId="2211AD2E" w:rsidR="007C4476" w:rsidRPr="00975626" w:rsidRDefault="007C4476" w:rsidP="00975626">
      <w:pPr>
        <w:spacing w:line="360" w:lineRule="auto"/>
        <w:ind w:firstLine="720"/>
        <w:jc w:val="both"/>
        <w:rPr>
          <w:rFonts w:ascii="Arial" w:hAnsi="Arial" w:cs="Arial"/>
          <w:sz w:val="24"/>
          <w:szCs w:val="24"/>
          <w:lang w:eastAsia="en-GB"/>
        </w:rPr>
      </w:pPr>
      <w:proofErr w:type="spellStart"/>
      <w:r w:rsidRPr="00975626">
        <w:rPr>
          <w:rFonts w:ascii="Arial" w:hAnsi="Arial" w:cs="Arial"/>
          <w:sz w:val="24"/>
          <w:szCs w:val="24"/>
          <w:lang w:eastAsia="en-GB"/>
        </w:rPr>
        <w:t>Bogicevic</w:t>
      </w:r>
      <w:proofErr w:type="spellEnd"/>
      <w:r w:rsidRPr="00975626">
        <w:rPr>
          <w:rFonts w:ascii="Arial" w:hAnsi="Arial" w:cs="Arial"/>
          <w:sz w:val="24"/>
          <w:szCs w:val="24"/>
          <w:lang w:eastAsia="en-GB"/>
        </w:rPr>
        <w:t>, V., Li, Y. and Salvato, E.D., 2023. Tokenism in the workplace: does brand activism benefit LGBTQ+ employees in the hospitality industry?. International Journal of Contemporary Hospitality Management, 35(11), pp.3922-3949.</w:t>
      </w:r>
    </w:p>
    <w:p w14:paraId="3EDB3F7A" w14:textId="37A70282" w:rsidR="00975626" w:rsidRPr="00975626" w:rsidRDefault="0097562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Cohen, E. (2022). Globalization and cultural diversity. [online] Unesco.org. Available at: https://unesdoc.unesco.org/ark:/48223/pf0000121070</w:t>
      </w:r>
    </w:p>
    <w:p w14:paraId="12BA11CB" w14:textId="3F8FE3D8" w:rsidR="007C4476" w:rsidRPr="00975626" w:rsidRDefault="007C447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Fox, D. et al. (2014) Doing events research: from theory to practice. Routledge: Oxford</w:t>
      </w:r>
    </w:p>
    <w:p w14:paraId="4719D2BD" w14:textId="3C05F87F" w:rsidR="007C4476" w:rsidRPr="00975626" w:rsidRDefault="007C447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Getz, D. and Page, S. (2019) Event studies: theory, research and policy for planned events. 3rd Edition. Routledge: Oxford</w:t>
      </w:r>
    </w:p>
    <w:p w14:paraId="06C60831" w14:textId="77777777" w:rsidR="00975626" w:rsidRPr="00975626" w:rsidRDefault="0097562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ILO (n.d.). Equality at work: Tackling the challenges REPORT OF THE DIRECTOR-GENERAL Global Report under the follow-up to the ILO Declaration on Fundamental Principles and Rights at Work INTERNATIONAL LABOUR CONFERENCE 96th Session 2007 Report I (B) INTERNATIONAL LABOUR OFFICE GENEVA. (n.d.). Available at: https://www.ilo.org/media/326176/download.</w:t>
      </w:r>
    </w:p>
    <w:p w14:paraId="30C5C8CB" w14:textId="76350136" w:rsidR="00975626" w:rsidRPr="00975626" w:rsidRDefault="0097562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Institute of Health Equity. (2021). Structural Racism, Ethnicity and Health Inequalities in London - Institute of Health Equity. [online] Available at: https://www.instituteofhealthequity.org/resources-reports/structural-racism-ethnicity-and-health-inequalities.</w:t>
      </w:r>
    </w:p>
    <w:p w14:paraId="284A49C2" w14:textId="141E15D1" w:rsidR="007C4476" w:rsidRPr="00975626" w:rsidRDefault="007C4476" w:rsidP="00975626">
      <w:pPr>
        <w:spacing w:line="360" w:lineRule="auto"/>
        <w:ind w:firstLine="720"/>
        <w:jc w:val="both"/>
        <w:rPr>
          <w:rFonts w:ascii="Arial" w:eastAsiaTheme="majorEastAsia" w:hAnsi="Arial" w:cs="Arial"/>
          <w:bCs/>
          <w:kern w:val="0"/>
          <w:sz w:val="24"/>
          <w:szCs w:val="24"/>
          <w:lang w:eastAsia="en-GB"/>
          <w14:ligatures w14:val="none"/>
        </w:rPr>
      </w:pPr>
      <w:r w:rsidRPr="00975626">
        <w:rPr>
          <w:rFonts w:ascii="Arial" w:eastAsiaTheme="majorEastAsia" w:hAnsi="Arial" w:cs="Arial"/>
          <w:bCs/>
          <w:kern w:val="0"/>
          <w:sz w:val="24"/>
          <w:szCs w:val="24"/>
          <w:lang w:eastAsia="en-GB"/>
          <w14:ligatures w14:val="none"/>
        </w:rPr>
        <w:t xml:space="preserve">LTB (2024) LGBTQ+ Tourism Pavilion: Meeting place of the global LGBTQ+ tourism industry. Available at: </w:t>
      </w:r>
      <w:hyperlink r:id="rId7" w:history="1">
        <w:r w:rsidR="00975626" w:rsidRPr="00975626">
          <w:rPr>
            <w:rStyle w:val="Hyperlink"/>
            <w:rFonts w:ascii="Arial" w:eastAsiaTheme="majorEastAsia" w:hAnsi="Arial" w:cs="Arial"/>
            <w:bCs/>
            <w:kern w:val="0"/>
            <w:sz w:val="24"/>
            <w:szCs w:val="24"/>
            <w:lang w:eastAsia="en-GB"/>
            <w14:ligatures w14:val="none"/>
          </w:rPr>
          <w:t>https://www.itb.com/en/press/press-releases/news_15041.html</w:t>
        </w:r>
      </w:hyperlink>
    </w:p>
    <w:p w14:paraId="124B5110" w14:textId="2FC38EBC" w:rsidR="00975626" w:rsidRPr="00975626" w:rsidRDefault="00975626" w:rsidP="00975626">
      <w:pPr>
        <w:spacing w:line="360" w:lineRule="auto"/>
        <w:ind w:firstLine="720"/>
        <w:jc w:val="both"/>
        <w:rPr>
          <w:rFonts w:ascii="Arial" w:eastAsiaTheme="majorEastAsia" w:hAnsi="Arial" w:cs="Arial"/>
          <w:bCs/>
          <w:kern w:val="0"/>
          <w:sz w:val="24"/>
          <w:szCs w:val="24"/>
          <w:lang w:eastAsia="en-GB"/>
          <w14:ligatures w14:val="none"/>
        </w:rPr>
      </w:pPr>
      <w:proofErr w:type="spellStart"/>
      <w:r w:rsidRPr="00975626">
        <w:rPr>
          <w:rFonts w:ascii="Arial" w:eastAsiaTheme="majorEastAsia" w:hAnsi="Arial" w:cs="Arial"/>
          <w:bCs/>
          <w:kern w:val="0"/>
          <w:sz w:val="24"/>
          <w:szCs w:val="24"/>
          <w:lang w:eastAsia="en-GB"/>
          <w14:ligatures w14:val="none"/>
        </w:rPr>
        <w:t>Mckinsey</w:t>
      </w:r>
      <w:proofErr w:type="spellEnd"/>
      <w:r w:rsidRPr="00975626">
        <w:rPr>
          <w:rFonts w:ascii="Arial" w:eastAsiaTheme="majorEastAsia" w:hAnsi="Arial" w:cs="Arial"/>
          <w:bCs/>
          <w:kern w:val="0"/>
          <w:sz w:val="24"/>
          <w:szCs w:val="24"/>
          <w:lang w:eastAsia="en-GB"/>
          <w14:ligatures w14:val="none"/>
        </w:rPr>
        <w:t xml:space="preserve"> &amp; Company (2024). Women in the Workplace. [online] McKinsey. Available at: </w:t>
      </w:r>
      <w:hyperlink r:id="rId8" w:history="1">
        <w:r w:rsidRPr="00975626">
          <w:rPr>
            <w:rStyle w:val="Hyperlink"/>
            <w:rFonts w:ascii="Arial" w:eastAsiaTheme="majorEastAsia" w:hAnsi="Arial" w:cs="Arial"/>
            <w:bCs/>
            <w:kern w:val="0"/>
            <w:sz w:val="24"/>
            <w:szCs w:val="24"/>
            <w:lang w:eastAsia="en-GB"/>
            <w14:ligatures w14:val="none"/>
          </w:rPr>
          <w:t>https://www.mckinsey.com/featured-insights/diversity-and-inclusion/women-in-the-workplace</w:t>
        </w:r>
      </w:hyperlink>
      <w:r w:rsidRPr="00975626">
        <w:rPr>
          <w:rFonts w:ascii="Arial" w:eastAsiaTheme="majorEastAsia" w:hAnsi="Arial" w:cs="Arial"/>
          <w:bCs/>
          <w:kern w:val="0"/>
          <w:sz w:val="24"/>
          <w:szCs w:val="24"/>
          <w:lang w:eastAsia="en-GB"/>
          <w14:ligatures w14:val="none"/>
        </w:rPr>
        <w:t>.</w:t>
      </w:r>
    </w:p>
    <w:p w14:paraId="563598F4" w14:textId="6E18B037" w:rsidR="00975626" w:rsidRPr="00975626" w:rsidRDefault="00975626" w:rsidP="00975626">
      <w:pPr>
        <w:spacing w:line="360" w:lineRule="auto"/>
        <w:ind w:firstLine="720"/>
        <w:jc w:val="both"/>
        <w:rPr>
          <w:rFonts w:ascii="Arial" w:eastAsiaTheme="majorEastAsia" w:hAnsi="Arial" w:cs="Arial"/>
          <w:bCs/>
          <w:kern w:val="0"/>
          <w:sz w:val="24"/>
          <w:szCs w:val="24"/>
          <w:lang w:eastAsia="en-GB"/>
          <w14:ligatures w14:val="none"/>
        </w:rPr>
      </w:pPr>
      <w:r w:rsidRPr="00975626">
        <w:rPr>
          <w:rFonts w:ascii="Arial" w:eastAsiaTheme="majorEastAsia" w:hAnsi="Arial" w:cs="Arial"/>
          <w:bCs/>
          <w:kern w:val="0"/>
          <w:sz w:val="24"/>
          <w:szCs w:val="24"/>
          <w:lang w:eastAsia="en-GB"/>
          <w14:ligatures w14:val="none"/>
        </w:rPr>
        <w:t xml:space="preserve">McLaney, E. and </w:t>
      </w:r>
      <w:proofErr w:type="spellStart"/>
      <w:r w:rsidRPr="00975626">
        <w:rPr>
          <w:rFonts w:ascii="Arial" w:eastAsiaTheme="majorEastAsia" w:hAnsi="Arial" w:cs="Arial"/>
          <w:bCs/>
          <w:kern w:val="0"/>
          <w:sz w:val="24"/>
          <w:szCs w:val="24"/>
          <w:lang w:eastAsia="en-GB"/>
          <w14:ligatures w14:val="none"/>
        </w:rPr>
        <w:t>Atrill</w:t>
      </w:r>
      <w:proofErr w:type="spellEnd"/>
      <w:r w:rsidRPr="00975626">
        <w:rPr>
          <w:rFonts w:ascii="Arial" w:eastAsiaTheme="majorEastAsia" w:hAnsi="Arial" w:cs="Arial"/>
          <w:bCs/>
          <w:kern w:val="0"/>
          <w:sz w:val="24"/>
          <w:szCs w:val="24"/>
          <w:lang w:eastAsia="en-GB"/>
          <w14:ligatures w14:val="none"/>
        </w:rPr>
        <w:t>, P., 2020. Accounting and finance: an introduction. Pearson</w:t>
      </w:r>
    </w:p>
    <w:p w14:paraId="219A18DC" w14:textId="06D4C72F" w:rsidR="007C4476" w:rsidRPr="00975626" w:rsidRDefault="007C447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Mooney, S.K., 2020. Gender research in hospitality and tourism management: time to change the guard. International Journal of Contemporary Hospitality Management, 32(5), pp.1861-1879.</w:t>
      </w:r>
    </w:p>
    <w:p w14:paraId="4E772122" w14:textId="4344F021" w:rsidR="007C4476" w:rsidRPr="00975626" w:rsidRDefault="007C447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O’Toole, W. (2011) Events feasibility and development:  from strategy to operations. Elsevier: Oxford</w:t>
      </w:r>
    </w:p>
    <w:p w14:paraId="016D43A5" w14:textId="29A54F5B" w:rsidR="00975626" w:rsidRPr="00975626" w:rsidRDefault="0097562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People Management(2024). Almost half of LGBTQ+ workers have faced discrimination or prejudice at work because of their sexuality or gender identity, research finds. [online] www.peoplemanagement.co.uk. Available at: https://www.peoplemanagement.co.uk/article/1875424/almost-half-lgbtq+-workers-faced-discrimination-prejudice-work-sexuality-gender-identity-research-finds.</w:t>
      </w:r>
    </w:p>
    <w:p w14:paraId="5BE4BC60" w14:textId="742A94B9" w:rsidR="007C4476" w:rsidRPr="00975626" w:rsidRDefault="007C447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Rogers, T. Wynn-Moylan, P (2022) Conferences and conventions: a global industry. 4th Edition. Routledge:  Oxford</w:t>
      </w:r>
    </w:p>
    <w:p w14:paraId="48E3B70A" w14:textId="3969C62D" w:rsidR="007C4476" w:rsidRPr="00975626" w:rsidRDefault="007C447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Shum, C., Gatling, A. and Garlington, J., 2020. All people are created equal? Racial discrimination and its impact on hospitality career satisfaction. International Journal of Hospitality Management, 89, p.102407.</w:t>
      </w:r>
    </w:p>
    <w:p w14:paraId="0FAAEF5F" w14:textId="54250848" w:rsidR="00975626" w:rsidRPr="00975626" w:rsidRDefault="0097562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Smith, A. (2012) Events and urban regeneration: the strategic use of events to revitalise cities. Routledge: Oxford</w:t>
      </w:r>
    </w:p>
    <w:p w14:paraId="313811EE" w14:textId="563ED722" w:rsidR="007C4476" w:rsidRPr="00975626" w:rsidRDefault="007C4476" w:rsidP="00975626">
      <w:pPr>
        <w:spacing w:line="360" w:lineRule="auto"/>
        <w:ind w:firstLine="720"/>
        <w:jc w:val="both"/>
        <w:rPr>
          <w:rFonts w:ascii="Arial" w:hAnsi="Arial" w:cs="Arial"/>
          <w:sz w:val="24"/>
          <w:szCs w:val="24"/>
          <w:lang w:eastAsia="en-GB"/>
        </w:rPr>
      </w:pPr>
      <w:r w:rsidRPr="00975626">
        <w:rPr>
          <w:rFonts w:ascii="Arial" w:hAnsi="Arial" w:cs="Arial"/>
          <w:sz w:val="24"/>
          <w:szCs w:val="24"/>
          <w:lang w:eastAsia="en-GB"/>
        </w:rPr>
        <w:t xml:space="preserve">www.visitberlin.de. (n.d.). ICC - </w:t>
      </w:r>
      <w:proofErr w:type="spellStart"/>
      <w:r w:rsidRPr="00975626">
        <w:rPr>
          <w:rFonts w:ascii="Arial" w:hAnsi="Arial" w:cs="Arial"/>
          <w:sz w:val="24"/>
          <w:szCs w:val="24"/>
          <w:lang w:eastAsia="en-GB"/>
        </w:rPr>
        <w:t>Internationales</w:t>
      </w:r>
      <w:proofErr w:type="spellEnd"/>
      <w:r w:rsidRPr="00975626">
        <w:rPr>
          <w:rFonts w:ascii="Arial" w:hAnsi="Arial" w:cs="Arial"/>
          <w:sz w:val="24"/>
          <w:szCs w:val="24"/>
          <w:lang w:eastAsia="en-GB"/>
        </w:rPr>
        <w:t xml:space="preserve"> Congress Centrum Berlin. [online] Available at: https://www.visitberlin.de/en/icc-internationales-congress-centrum-berlin.</w:t>
      </w:r>
    </w:p>
    <w:sectPr w:rsidR="007C4476" w:rsidRPr="00975626">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5C2CD" w14:textId="77777777" w:rsidR="00C66578" w:rsidRDefault="00C66578" w:rsidP="009E1E75">
      <w:pPr>
        <w:spacing w:after="0" w:line="240" w:lineRule="auto"/>
      </w:pPr>
      <w:r>
        <w:separator/>
      </w:r>
    </w:p>
  </w:endnote>
  <w:endnote w:type="continuationSeparator" w:id="0">
    <w:p w14:paraId="78FC0983" w14:textId="77777777" w:rsidR="00C66578" w:rsidRDefault="00C66578" w:rsidP="009E1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3907952"/>
      <w:docPartObj>
        <w:docPartGallery w:val="Page Numbers (Bottom of Page)"/>
        <w:docPartUnique/>
      </w:docPartObj>
    </w:sdtPr>
    <w:sdtEndPr>
      <w:rPr>
        <w:noProof/>
      </w:rPr>
    </w:sdtEndPr>
    <w:sdtContent>
      <w:p w14:paraId="617672D0" w14:textId="09E1CA02" w:rsidR="009E1E75" w:rsidRDefault="009E1E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5B61F7" w14:textId="77777777" w:rsidR="009E1E75" w:rsidRDefault="009E1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C591F" w14:textId="77777777" w:rsidR="00C66578" w:rsidRDefault="00C66578" w:rsidP="009E1E75">
      <w:pPr>
        <w:spacing w:after="0" w:line="240" w:lineRule="auto"/>
      </w:pPr>
      <w:r>
        <w:separator/>
      </w:r>
    </w:p>
  </w:footnote>
  <w:footnote w:type="continuationSeparator" w:id="0">
    <w:p w14:paraId="63A91426" w14:textId="77777777" w:rsidR="00C66578" w:rsidRDefault="00C66578" w:rsidP="009E1E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212745" w14:textId="37C98E26" w:rsidR="00661E46" w:rsidRDefault="00661E46">
    <w:pPr>
      <w:pStyle w:val="Header"/>
    </w:pPr>
    <w:r>
      <w:rPr>
        <w:noProof/>
      </w:rPr>
      <w:drawing>
        <wp:inline distT="0" distB="0" distL="0" distR="0" wp14:anchorId="4A5F1342" wp14:editId="75337C9F">
          <wp:extent cx="546100" cy="546100"/>
          <wp:effectExtent l="0" t="0" r="6350" b="6350"/>
          <wp:docPr id="191043822" name="Picture 1" descr="A logo with hands holding a glo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3822" name="Picture 1" descr="A logo with hands holding a globe&#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546100" cy="546100"/>
                  </a:xfrm>
                  <a:prstGeom prst="rect">
                    <a:avLst/>
                  </a:prstGeom>
                </pic:spPr>
              </pic:pic>
            </a:graphicData>
          </a:graphic>
        </wp:inline>
      </w:drawing>
    </w:r>
    <w:r>
      <w:rPr>
        <w:noProof/>
      </w:rPr>
      <mc:AlternateContent>
        <mc:Choice Requires="wps">
          <w:drawing>
            <wp:inline distT="0" distB="0" distL="0" distR="0" wp14:anchorId="3814CA01" wp14:editId="10966042">
              <wp:extent cx="304800" cy="304800"/>
              <wp:effectExtent l="0" t="0" r="0" b="0"/>
              <wp:docPr id="734650244" name="AutoShape 1" descr="A modern and professional logo for 'Diverse Leaders Summit: Race &amp; Gender in Hospitality Leadership'. The design should incorporate elements symbolizing diversity, equality, and inclusion, such as interlocking hands, a globe, or abstract human figures in different colors. The color palette should be bold yet professional, featuring shades of blue, gold, and purple to represent professionalism and inclusivity. The typography should be clean and elegant, with a modern sans-serif fon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31D4B7" id="AutoShape 1" o:spid="_x0000_s1026" alt="A modern and professional logo for 'Diverse Leaders Summit: Race &amp; Gender in Hospitality Leadership'. The design should incorporate elements symbolizing diversity, equality, and inclusion, such as interlocking hands, a globe, or abstract human figures in different colors. The color palette should be bold yet professional, featuring shades of blue, gold, and purple to represent professionalism and inclusivity. The typography should be clean and elegant, with a modern sans-serif fon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B06E9"/>
    <w:multiLevelType w:val="hybridMultilevel"/>
    <w:tmpl w:val="9AC86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9541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E75"/>
    <w:rsid w:val="001515C4"/>
    <w:rsid w:val="00572F07"/>
    <w:rsid w:val="0057481B"/>
    <w:rsid w:val="00661E46"/>
    <w:rsid w:val="006E410D"/>
    <w:rsid w:val="007B0CC3"/>
    <w:rsid w:val="007C4476"/>
    <w:rsid w:val="00975626"/>
    <w:rsid w:val="009E1E75"/>
    <w:rsid w:val="00B151A8"/>
    <w:rsid w:val="00C66578"/>
    <w:rsid w:val="00C82D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6B8646"/>
  <w15:chartTrackingRefBased/>
  <w15:docId w15:val="{6F1B9C5E-B4E1-4571-AC7C-1748F7B84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9E1E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E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E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E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9E1E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E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E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E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E75"/>
    <w:rPr>
      <w:rFonts w:eastAsiaTheme="majorEastAsia" w:cstheme="majorBidi"/>
      <w:color w:val="272727" w:themeColor="text1" w:themeTint="D8"/>
    </w:rPr>
  </w:style>
  <w:style w:type="paragraph" w:styleId="Title">
    <w:name w:val="Title"/>
    <w:basedOn w:val="Normal"/>
    <w:next w:val="Normal"/>
    <w:link w:val="TitleChar"/>
    <w:uiPriority w:val="10"/>
    <w:qFormat/>
    <w:rsid w:val="009E1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E75"/>
    <w:pPr>
      <w:spacing w:before="160"/>
      <w:jc w:val="center"/>
    </w:pPr>
    <w:rPr>
      <w:i/>
      <w:iCs/>
      <w:color w:val="404040" w:themeColor="text1" w:themeTint="BF"/>
    </w:rPr>
  </w:style>
  <w:style w:type="character" w:customStyle="1" w:styleId="QuoteChar">
    <w:name w:val="Quote Char"/>
    <w:basedOn w:val="DefaultParagraphFont"/>
    <w:link w:val="Quote"/>
    <w:uiPriority w:val="29"/>
    <w:rsid w:val="009E1E75"/>
    <w:rPr>
      <w:i/>
      <w:iCs/>
      <w:color w:val="404040" w:themeColor="text1" w:themeTint="BF"/>
    </w:rPr>
  </w:style>
  <w:style w:type="paragraph" w:styleId="ListParagraph">
    <w:name w:val="List Paragraph"/>
    <w:basedOn w:val="Normal"/>
    <w:uiPriority w:val="34"/>
    <w:qFormat/>
    <w:rsid w:val="009E1E75"/>
    <w:pPr>
      <w:ind w:left="720"/>
      <w:contextualSpacing/>
    </w:pPr>
  </w:style>
  <w:style w:type="character" w:styleId="IntenseEmphasis">
    <w:name w:val="Intense Emphasis"/>
    <w:basedOn w:val="DefaultParagraphFont"/>
    <w:uiPriority w:val="21"/>
    <w:qFormat/>
    <w:rsid w:val="009E1E75"/>
    <w:rPr>
      <w:i/>
      <w:iCs/>
      <w:color w:val="0F4761" w:themeColor="accent1" w:themeShade="BF"/>
    </w:rPr>
  </w:style>
  <w:style w:type="paragraph" w:styleId="IntenseQuote">
    <w:name w:val="Intense Quote"/>
    <w:basedOn w:val="Normal"/>
    <w:next w:val="Normal"/>
    <w:link w:val="IntenseQuoteChar"/>
    <w:uiPriority w:val="30"/>
    <w:qFormat/>
    <w:rsid w:val="009E1E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E75"/>
    <w:rPr>
      <w:i/>
      <w:iCs/>
      <w:color w:val="0F4761" w:themeColor="accent1" w:themeShade="BF"/>
    </w:rPr>
  </w:style>
  <w:style w:type="character" w:styleId="IntenseReference">
    <w:name w:val="Intense Reference"/>
    <w:basedOn w:val="DefaultParagraphFont"/>
    <w:uiPriority w:val="32"/>
    <w:qFormat/>
    <w:rsid w:val="009E1E75"/>
    <w:rPr>
      <w:b/>
      <w:bCs/>
      <w:smallCaps/>
      <w:color w:val="0F4761" w:themeColor="accent1" w:themeShade="BF"/>
      <w:spacing w:val="5"/>
    </w:rPr>
  </w:style>
  <w:style w:type="paragraph" w:styleId="Header">
    <w:name w:val="header"/>
    <w:basedOn w:val="Normal"/>
    <w:link w:val="HeaderChar"/>
    <w:uiPriority w:val="99"/>
    <w:unhideWhenUsed/>
    <w:rsid w:val="009E1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E75"/>
  </w:style>
  <w:style w:type="paragraph" w:styleId="Footer">
    <w:name w:val="footer"/>
    <w:basedOn w:val="Normal"/>
    <w:link w:val="FooterChar"/>
    <w:uiPriority w:val="99"/>
    <w:unhideWhenUsed/>
    <w:rsid w:val="009E1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E75"/>
  </w:style>
  <w:style w:type="table" w:styleId="TableGrid">
    <w:name w:val="Table Grid"/>
    <w:basedOn w:val="TableNormal"/>
    <w:uiPriority w:val="39"/>
    <w:rsid w:val="001515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4476"/>
    <w:pPr>
      <w:outlineLvl w:val="9"/>
    </w:pPr>
    <w:rPr>
      <w:kern w:val="0"/>
      <w:lang w:val="en-US"/>
      <w14:ligatures w14:val="none"/>
    </w:rPr>
  </w:style>
  <w:style w:type="paragraph" w:styleId="TOC1">
    <w:name w:val="toc 1"/>
    <w:basedOn w:val="Normal"/>
    <w:next w:val="Normal"/>
    <w:autoRedefine/>
    <w:uiPriority w:val="39"/>
    <w:unhideWhenUsed/>
    <w:rsid w:val="007C4476"/>
    <w:pPr>
      <w:spacing w:after="100"/>
    </w:pPr>
  </w:style>
  <w:style w:type="character" w:styleId="Hyperlink">
    <w:name w:val="Hyperlink"/>
    <w:basedOn w:val="DefaultParagraphFont"/>
    <w:uiPriority w:val="99"/>
    <w:unhideWhenUsed/>
    <w:rsid w:val="007C4476"/>
    <w:rPr>
      <w:color w:val="467886" w:themeColor="hyperlink"/>
      <w:u w:val="single"/>
    </w:rPr>
  </w:style>
  <w:style w:type="character" w:styleId="UnresolvedMention">
    <w:name w:val="Unresolved Mention"/>
    <w:basedOn w:val="DefaultParagraphFont"/>
    <w:uiPriority w:val="99"/>
    <w:semiHidden/>
    <w:unhideWhenUsed/>
    <w:rsid w:val="009756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8056423">
      <w:bodyDiv w:val="1"/>
      <w:marLeft w:val="0"/>
      <w:marRight w:val="0"/>
      <w:marTop w:val="0"/>
      <w:marBottom w:val="0"/>
      <w:divBdr>
        <w:top w:val="none" w:sz="0" w:space="0" w:color="auto"/>
        <w:left w:val="none" w:sz="0" w:space="0" w:color="auto"/>
        <w:bottom w:val="none" w:sz="0" w:space="0" w:color="auto"/>
        <w:right w:val="none" w:sz="0" w:space="0" w:color="auto"/>
      </w:divBdr>
    </w:div>
    <w:div w:id="1464150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featured-insights/diversity-and-inclusion/women-in-the-workplace" TargetMode="External"/><Relationship Id="rId3" Type="http://schemas.openxmlformats.org/officeDocument/2006/relationships/settings" Target="settings.xml"/><Relationship Id="rId7" Type="http://schemas.openxmlformats.org/officeDocument/2006/relationships/hyperlink" Target="https://www.itb.com/en/press/press-releases/news_15041.html"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Pages>
  <Words>3488</Words>
  <Characters>19886</Characters>
  <Application>Microsoft Office Word</Application>
  <DocSecurity>0</DocSecurity>
  <Lines>165</Lines>
  <Paragraphs>46</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 </vt:lpstr>
      <vt:lpstr>The Event Cycle</vt:lpstr>
      <vt:lpstr>Event Concept</vt:lpstr>
      <vt:lpstr>Aim and Objectives</vt:lpstr>
      <vt:lpstr>Event Management</vt:lpstr>
      <vt:lpstr>Event Budget</vt:lpstr>
      <vt:lpstr>Industry Trends / Issues / Impacts</vt:lpstr>
      <vt:lpstr>Situational and Cultural Considerations</vt:lpstr>
      <vt:lpstr>Conclusion</vt:lpstr>
      <vt:lpstr>References </vt:lpstr>
    </vt:vector>
  </TitlesOfParts>
  <Company/>
  <LinksUpToDate>false</LinksUpToDate>
  <CharactersWithSpaces>23328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2025-02-28T20:25:00Z</dcterms:created>
  <dcterms:modified xsi:type="dcterms:W3CDTF">2025-02-28T21:22:00Z</dcterms:modified>
</cp:coreProperties>
</file>