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1CD166D" w14:textId="2D188F94" w:rsidR="0043384C" w:rsidRPr="00D46D03" w:rsidRDefault="00AB79B0">
      <w:pPr>
        <w:rPr>
          <w:rFonts w:cstheme="minorHAnsi"/>
          <w:b/>
          <w:bCs/>
          <w:sz w:val="21"/>
          <w:szCs w:val="21"/>
          <w:u w:val="single"/>
        </w:rPr>
      </w:pPr>
      <w:r w:rsidRPr="00D46D03">
        <w:rPr>
          <w:rFonts w:cstheme="minorHAnsi"/>
          <w:b/>
          <w:bCs/>
          <w:sz w:val="21"/>
          <w:szCs w:val="21"/>
          <w:u w:val="single"/>
        </w:rPr>
        <w:t>Literature Review</w:t>
      </w:r>
    </w:p>
    <w:p w14:paraId="6DA07A75" w14:textId="4086BDB6" w:rsidR="00AB79B0" w:rsidRPr="003C6B24" w:rsidRDefault="00AB79B0">
      <w:pPr>
        <w:rPr>
          <w:rFonts w:cstheme="minorHAnsi"/>
          <w:sz w:val="21"/>
          <w:szCs w:val="21"/>
        </w:rPr>
      </w:pPr>
    </w:p>
    <w:p w14:paraId="5B42C2BA" w14:textId="2248E4CD" w:rsidR="00AC2089" w:rsidRPr="00D46D03" w:rsidRDefault="00AC2089">
      <w:pPr>
        <w:rPr>
          <w:rFonts w:cstheme="minorHAnsi"/>
          <w:b/>
          <w:bCs/>
          <w:sz w:val="21"/>
          <w:szCs w:val="21"/>
          <w:u w:val="single"/>
        </w:rPr>
      </w:pPr>
      <w:r w:rsidRPr="00D46D03">
        <w:rPr>
          <w:rFonts w:cstheme="minorHAnsi"/>
          <w:b/>
          <w:bCs/>
          <w:sz w:val="21"/>
          <w:szCs w:val="21"/>
          <w:u w:val="single"/>
        </w:rPr>
        <w:t>Introduction</w:t>
      </w:r>
    </w:p>
    <w:p w14:paraId="0C28CC8E" w14:textId="40E0AD6E" w:rsidR="00AB79B0" w:rsidRPr="003C6B24" w:rsidRDefault="00AC2089">
      <w:pPr>
        <w:rPr>
          <w:rFonts w:cstheme="minorHAnsi"/>
          <w:sz w:val="21"/>
          <w:szCs w:val="21"/>
        </w:rPr>
      </w:pPr>
      <w:r w:rsidRPr="003C6B24">
        <w:rPr>
          <w:rFonts w:cstheme="minorHAnsi"/>
          <w:sz w:val="21"/>
          <w:szCs w:val="21"/>
        </w:rPr>
        <w:t>T</w:t>
      </w:r>
      <w:r w:rsidR="00AB79B0" w:rsidRPr="003C6B24">
        <w:rPr>
          <w:rFonts w:cstheme="minorHAnsi"/>
          <w:sz w:val="21"/>
          <w:szCs w:val="21"/>
        </w:rPr>
        <w:t xml:space="preserve">his </w:t>
      </w:r>
      <w:r w:rsidR="00833E97">
        <w:rPr>
          <w:rFonts w:cstheme="minorHAnsi"/>
          <w:sz w:val="21"/>
          <w:szCs w:val="21"/>
        </w:rPr>
        <w:t xml:space="preserve">part </w:t>
      </w:r>
      <w:r w:rsidR="00AB79B0" w:rsidRPr="003C6B24">
        <w:rPr>
          <w:rFonts w:cstheme="minorHAnsi"/>
          <w:sz w:val="21"/>
          <w:szCs w:val="21"/>
        </w:rPr>
        <w:t xml:space="preserve">of the dissertation will aim to critically </w:t>
      </w:r>
      <w:r w:rsidR="007440AE" w:rsidRPr="003C6B24">
        <w:rPr>
          <w:rFonts w:cstheme="minorHAnsi"/>
          <w:sz w:val="21"/>
          <w:szCs w:val="21"/>
        </w:rPr>
        <w:t>evaluate and</w:t>
      </w:r>
      <w:r w:rsidR="00AB79B0" w:rsidRPr="003C6B24">
        <w:rPr>
          <w:rFonts w:cstheme="minorHAnsi"/>
          <w:sz w:val="21"/>
          <w:szCs w:val="21"/>
        </w:rPr>
        <w:t xml:space="preserve"> analyse academic sources of literature in relation to </w:t>
      </w:r>
      <w:r w:rsidR="00F1148F" w:rsidRPr="003C6B24">
        <w:rPr>
          <w:rFonts w:cstheme="minorHAnsi"/>
          <w:sz w:val="21"/>
          <w:szCs w:val="21"/>
        </w:rPr>
        <w:t xml:space="preserve">the importance of community engagement and how local initiatives can help build and foster positive relationships between the police and local communities. </w:t>
      </w:r>
    </w:p>
    <w:p w14:paraId="70DC4AE9" w14:textId="34EB9C6C" w:rsidR="00D138D4" w:rsidRPr="003C6B24" w:rsidRDefault="00D138D4">
      <w:pPr>
        <w:rPr>
          <w:rFonts w:cstheme="minorHAnsi"/>
          <w:sz w:val="21"/>
          <w:szCs w:val="21"/>
        </w:rPr>
      </w:pPr>
      <w:r w:rsidRPr="003C6B24">
        <w:rPr>
          <w:rFonts w:cstheme="minorHAnsi"/>
          <w:sz w:val="21"/>
          <w:szCs w:val="21"/>
        </w:rPr>
        <w:t xml:space="preserve">This </w:t>
      </w:r>
      <w:r w:rsidR="00833E97">
        <w:rPr>
          <w:rFonts w:cstheme="minorHAnsi"/>
          <w:sz w:val="21"/>
          <w:szCs w:val="21"/>
        </w:rPr>
        <w:t xml:space="preserve">part </w:t>
      </w:r>
      <w:r w:rsidR="00833E97" w:rsidRPr="003C6B24">
        <w:rPr>
          <w:rFonts w:cstheme="minorHAnsi"/>
          <w:sz w:val="21"/>
          <w:szCs w:val="21"/>
        </w:rPr>
        <w:t>will</w:t>
      </w:r>
      <w:r w:rsidRPr="003C6B24">
        <w:rPr>
          <w:rFonts w:cstheme="minorHAnsi"/>
          <w:sz w:val="21"/>
          <w:szCs w:val="21"/>
        </w:rPr>
        <w:t xml:space="preserve"> complete the first objective</w:t>
      </w:r>
    </w:p>
    <w:p w14:paraId="251BCF4C" w14:textId="79560996" w:rsidR="00D138D4" w:rsidRPr="003C6B24" w:rsidRDefault="00D138D4">
      <w:pPr>
        <w:rPr>
          <w:rFonts w:cstheme="minorHAnsi"/>
          <w:sz w:val="21"/>
          <w:szCs w:val="21"/>
        </w:rPr>
      </w:pPr>
      <w:r w:rsidRPr="003C6B24">
        <w:rPr>
          <w:rFonts w:cstheme="minorHAnsi"/>
          <w:sz w:val="21"/>
          <w:szCs w:val="21"/>
        </w:rPr>
        <w:t xml:space="preserve"> </w:t>
      </w:r>
      <w:r w:rsidR="00833E97" w:rsidRPr="003C6B24">
        <w:rPr>
          <w:rFonts w:cstheme="minorHAnsi"/>
          <w:sz w:val="21"/>
          <w:szCs w:val="21"/>
        </w:rPr>
        <w:t>“To</w:t>
      </w:r>
      <w:r w:rsidRPr="003C6B24">
        <w:rPr>
          <w:rFonts w:cstheme="minorHAnsi"/>
          <w:sz w:val="21"/>
          <w:szCs w:val="21"/>
        </w:rPr>
        <w:t xml:space="preserve"> evaluate</w:t>
      </w:r>
      <w:r w:rsidR="001F2190" w:rsidRPr="003C6B24">
        <w:rPr>
          <w:rFonts w:cstheme="minorHAnsi"/>
          <w:sz w:val="21"/>
          <w:szCs w:val="21"/>
        </w:rPr>
        <w:t xml:space="preserve"> the importance of </w:t>
      </w:r>
      <w:r w:rsidR="00F1148F" w:rsidRPr="003C6B24">
        <w:rPr>
          <w:rFonts w:cstheme="minorHAnsi"/>
          <w:sz w:val="21"/>
          <w:szCs w:val="21"/>
        </w:rPr>
        <w:t xml:space="preserve">police community engagement </w:t>
      </w:r>
      <w:r w:rsidR="001F2190" w:rsidRPr="003C6B24">
        <w:rPr>
          <w:rFonts w:cstheme="minorHAnsi"/>
          <w:sz w:val="21"/>
          <w:szCs w:val="21"/>
        </w:rPr>
        <w:t>“</w:t>
      </w:r>
    </w:p>
    <w:p w14:paraId="6BF85509" w14:textId="3B498902" w:rsidR="007440AE" w:rsidRPr="003C6B24" w:rsidRDefault="00FC19C0" w:rsidP="001F2190">
      <w:pPr>
        <w:spacing w:before="100" w:beforeAutospacing="1" w:after="100" w:afterAutospacing="1" w:line="240" w:lineRule="auto"/>
        <w:rPr>
          <w:rFonts w:eastAsia="Times New Roman" w:cstheme="minorHAnsi"/>
          <w:sz w:val="21"/>
          <w:szCs w:val="21"/>
          <w:lang w:eastAsia="en-GB"/>
        </w:rPr>
      </w:pPr>
      <w:r w:rsidRPr="003C6B24">
        <w:rPr>
          <w:rFonts w:eastAsia="Times New Roman" w:cstheme="minorHAnsi"/>
          <w:sz w:val="21"/>
          <w:szCs w:val="21"/>
          <w:lang w:eastAsia="en-GB"/>
        </w:rPr>
        <w:t>This literature review explores existing research</w:t>
      </w:r>
      <w:r w:rsidR="001F2190" w:rsidRPr="003C6B24">
        <w:rPr>
          <w:rFonts w:eastAsia="Times New Roman" w:cstheme="minorHAnsi"/>
          <w:sz w:val="21"/>
          <w:szCs w:val="21"/>
          <w:lang w:eastAsia="en-GB"/>
        </w:rPr>
        <w:t xml:space="preserve"> on the importance of community engagement with the police.</w:t>
      </w:r>
    </w:p>
    <w:p w14:paraId="03AB9063" w14:textId="48C06164" w:rsidR="00887E69" w:rsidRPr="00D46D03" w:rsidRDefault="00887E69">
      <w:pPr>
        <w:rPr>
          <w:rFonts w:cstheme="minorHAnsi"/>
          <w:b/>
          <w:bCs/>
          <w:sz w:val="21"/>
          <w:szCs w:val="21"/>
        </w:rPr>
      </w:pPr>
      <w:r w:rsidRPr="00D46D03">
        <w:rPr>
          <w:rFonts w:cstheme="minorHAnsi"/>
          <w:b/>
          <w:bCs/>
          <w:sz w:val="21"/>
          <w:szCs w:val="21"/>
          <w:u w:val="single"/>
        </w:rPr>
        <w:t>What role does community engagement play in Policing?</w:t>
      </w:r>
    </w:p>
    <w:p w14:paraId="01A6AC0D" w14:textId="35EEC2D8" w:rsidR="00F813AF" w:rsidRPr="003C6B24" w:rsidRDefault="00F813AF">
      <w:pPr>
        <w:rPr>
          <w:rFonts w:cstheme="minorHAnsi"/>
          <w:sz w:val="21"/>
          <w:szCs w:val="21"/>
        </w:rPr>
      </w:pPr>
      <w:r w:rsidRPr="003C6B24">
        <w:rPr>
          <w:rFonts w:cstheme="minorHAnsi"/>
          <w:sz w:val="21"/>
          <w:szCs w:val="21"/>
        </w:rPr>
        <w:t xml:space="preserve">The main objective of this research is to understand how community engagement plays a crucial role in law enforcement especially within the framework of neighbourhood policing. </w:t>
      </w:r>
      <w:r w:rsidR="00D138D4" w:rsidRPr="003C6B24">
        <w:rPr>
          <w:rFonts w:cstheme="minorHAnsi"/>
          <w:sz w:val="21"/>
          <w:szCs w:val="21"/>
        </w:rPr>
        <w:t xml:space="preserve"> </w:t>
      </w:r>
      <w:r w:rsidR="007E1584" w:rsidRPr="003C6B24">
        <w:rPr>
          <w:rFonts w:cstheme="minorHAnsi"/>
          <w:sz w:val="21"/>
          <w:szCs w:val="21"/>
        </w:rPr>
        <w:t>Research has</w:t>
      </w:r>
      <w:r w:rsidR="00D138D4" w:rsidRPr="003C6B24">
        <w:rPr>
          <w:rFonts w:cstheme="minorHAnsi"/>
          <w:sz w:val="21"/>
          <w:szCs w:val="21"/>
        </w:rPr>
        <w:t xml:space="preserve"> shown that </w:t>
      </w:r>
      <w:r w:rsidR="00833E97" w:rsidRPr="003C6B24">
        <w:rPr>
          <w:rFonts w:cstheme="minorHAnsi"/>
          <w:sz w:val="21"/>
          <w:szCs w:val="21"/>
        </w:rPr>
        <w:t>by encouraging</w:t>
      </w:r>
      <w:r w:rsidRPr="003C6B24">
        <w:rPr>
          <w:rFonts w:cstheme="minorHAnsi"/>
          <w:sz w:val="21"/>
          <w:szCs w:val="21"/>
        </w:rPr>
        <w:t xml:space="preserve"> collaboration between the police and </w:t>
      </w:r>
      <w:r w:rsidR="007440AE" w:rsidRPr="003C6B24">
        <w:rPr>
          <w:rFonts w:cstheme="minorHAnsi"/>
          <w:sz w:val="21"/>
          <w:szCs w:val="21"/>
        </w:rPr>
        <w:t>residents’</w:t>
      </w:r>
      <w:r w:rsidRPr="003C6B24">
        <w:rPr>
          <w:rFonts w:cstheme="minorHAnsi"/>
          <w:sz w:val="21"/>
          <w:szCs w:val="21"/>
        </w:rPr>
        <w:t xml:space="preserve"> community engagement facilitates identifying and resolving localised policing concerns, resulting in positive police community relationships and mutually advantageous results.</w:t>
      </w:r>
      <w:r w:rsidR="00887E69" w:rsidRPr="003C6B24">
        <w:rPr>
          <w:rFonts w:cstheme="minorHAnsi"/>
          <w:sz w:val="21"/>
          <w:szCs w:val="21"/>
        </w:rPr>
        <w:t xml:space="preserve"> </w:t>
      </w:r>
      <w:sdt>
        <w:sdtPr>
          <w:rPr>
            <w:rFonts w:cstheme="minorHAnsi"/>
            <w:sz w:val="21"/>
            <w:szCs w:val="21"/>
          </w:rPr>
          <w:id w:val="47808007"/>
          <w:citation/>
        </w:sdtPr>
        <w:sdtEndPr/>
        <w:sdtContent>
          <w:r w:rsidR="00887E69" w:rsidRPr="003C6B24">
            <w:rPr>
              <w:rFonts w:cstheme="minorHAnsi"/>
              <w:sz w:val="21"/>
              <w:szCs w:val="21"/>
            </w:rPr>
            <w:fldChar w:fldCharType="begin"/>
          </w:r>
          <w:r w:rsidR="00833E97">
            <w:rPr>
              <w:rFonts w:cstheme="minorHAnsi"/>
              <w:sz w:val="21"/>
              <w:szCs w:val="21"/>
            </w:rPr>
            <w:instrText xml:space="preserve">CITATION Stu06 \l 2057 </w:instrText>
          </w:r>
          <w:r w:rsidR="00887E69" w:rsidRPr="003C6B24">
            <w:rPr>
              <w:rFonts w:cstheme="minorHAnsi"/>
              <w:sz w:val="21"/>
              <w:szCs w:val="21"/>
            </w:rPr>
            <w:fldChar w:fldCharType="separate"/>
          </w:r>
          <w:r w:rsidR="00833E97" w:rsidRPr="00833E97">
            <w:rPr>
              <w:rFonts w:cstheme="minorHAnsi"/>
              <w:noProof/>
              <w:sz w:val="21"/>
              <w:szCs w:val="21"/>
            </w:rPr>
            <w:t>(Stuart Lister , Deborah Platts Fowler , Andrew Stainforth, 2006)</w:t>
          </w:r>
          <w:r w:rsidR="00887E69" w:rsidRPr="003C6B24">
            <w:rPr>
              <w:rFonts w:cstheme="minorHAnsi"/>
              <w:sz w:val="21"/>
              <w:szCs w:val="21"/>
            </w:rPr>
            <w:fldChar w:fldCharType="end"/>
          </w:r>
        </w:sdtContent>
      </w:sdt>
      <w:r w:rsidR="00887E69" w:rsidRPr="003C6B24">
        <w:rPr>
          <w:rFonts w:cstheme="minorHAnsi"/>
          <w:sz w:val="21"/>
          <w:szCs w:val="21"/>
        </w:rPr>
        <w:t>.</w:t>
      </w:r>
    </w:p>
    <w:p w14:paraId="0C65EFF7" w14:textId="445E55FA" w:rsidR="00FC19C0" w:rsidRPr="003C6B24" w:rsidRDefault="00887E69" w:rsidP="00FC19C0">
      <w:pPr>
        <w:spacing w:before="100" w:beforeAutospacing="1" w:after="100" w:afterAutospacing="1" w:line="240" w:lineRule="auto"/>
        <w:rPr>
          <w:rFonts w:cstheme="minorHAnsi"/>
          <w:sz w:val="21"/>
          <w:szCs w:val="21"/>
        </w:rPr>
      </w:pPr>
      <w:r w:rsidRPr="003C6B24">
        <w:rPr>
          <w:rFonts w:cstheme="minorHAnsi"/>
          <w:sz w:val="21"/>
          <w:szCs w:val="21"/>
        </w:rPr>
        <w:t xml:space="preserve">Community engagement involves empowering citizens and communities to participate in policing based on their preferences, involving the provision of information and encouragement for communities to tackle local concerns and have a say in decisions. Community engagement, whether occasional or ongoing, formal or informal can resolve around particular events or situations. </w:t>
      </w:r>
      <w:sdt>
        <w:sdtPr>
          <w:rPr>
            <w:rFonts w:cstheme="minorHAnsi"/>
            <w:sz w:val="21"/>
            <w:szCs w:val="21"/>
          </w:rPr>
          <w:id w:val="1445812274"/>
          <w:citation/>
        </w:sdtPr>
        <w:sdtEndPr/>
        <w:sdtContent>
          <w:r w:rsidRPr="003C6B24">
            <w:rPr>
              <w:rFonts w:cstheme="minorHAnsi"/>
              <w:sz w:val="21"/>
              <w:szCs w:val="21"/>
            </w:rPr>
            <w:fldChar w:fldCharType="begin"/>
          </w:r>
          <w:r w:rsidR="00833E97">
            <w:rPr>
              <w:rFonts w:cstheme="minorHAnsi"/>
              <w:sz w:val="21"/>
              <w:szCs w:val="21"/>
            </w:rPr>
            <w:instrText xml:space="preserve">CITATION Col133 \l 2057 </w:instrText>
          </w:r>
          <w:r w:rsidRPr="003C6B24">
            <w:rPr>
              <w:rFonts w:cstheme="minorHAnsi"/>
              <w:sz w:val="21"/>
              <w:szCs w:val="21"/>
            </w:rPr>
            <w:fldChar w:fldCharType="separate"/>
          </w:r>
          <w:r w:rsidR="00833E97" w:rsidRPr="00833E97">
            <w:rPr>
              <w:rFonts w:cstheme="minorHAnsi"/>
              <w:noProof/>
              <w:sz w:val="21"/>
              <w:szCs w:val="21"/>
            </w:rPr>
            <w:t>(College of Policing, 2013)</w:t>
          </w:r>
          <w:r w:rsidRPr="003C6B24">
            <w:rPr>
              <w:rFonts w:cstheme="minorHAnsi"/>
              <w:sz w:val="21"/>
              <w:szCs w:val="21"/>
            </w:rPr>
            <w:fldChar w:fldCharType="end"/>
          </w:r>
        </w:sdtContent>
      </w:sdt>
      <w:r w:rsidRPr="003C6B24">
        <w:rPr>
          <w:rFonts w:cstheme="minorHAnsi"/>
          <w:sz w:val="21"/>
          <w:szCs w:val="21"/>
        </w:rPr>
        <w:t>.</w:t>
      </w:r>
    </w:p>
    <w:p w14:paraId="60BADA7C" w14:textId="6FF3F98A" w:rsidR="00FC19C0" w:rsidRPr="003C6B24" w:rsidRDefault="00887E69" w:rsidP="00FC19C0">
      <w:pPr>
        <w:spacing w:before="100" w:beforeAutospacing="1" w:after="100" w:afterAutospacing="1" w:line="240" w:lineRule="auto"/>
        <w:rPr>
          <w:rFonts w:eastAsia="Times New Roman" w:cstheme="minorHAnsi"/>
          <w:sz w:val="21"/>
          <w:szCs w:val="21"/>
          <w:lang w:eastAsia="en-GB"/>
        </w:rPr>
      </w:pPr>
      <w:r w:rsidRPr="003C6B24">
        <w:rPr>
          <w:rFonts w:cstheme="minorHAnsi"/>
          <w:sz w:val="21"/>
          <w:szCs w:val="21"/>
        </w:rPr>
        <w:t xml:space="preserve"> </w:t>
      </w:r>
      <w:r w:rsidR="00FC19C0" w:rsidRPr="003C6B24">
        <w:rPr>
          <w:rFonts w:eastAsia="Times New Roman" w:cstheme="minorHAnsi"/>
          <w:sz w:val="21"/>
          <w:szCs w:val="21"/>
          <w:lang w:eastAsia="en-GB"/>
        </w:rPr>
        <w:t xml:space="preserve">Community engagement has become a central focus of contemporary policing strategies across democratic societies. As public trust in law enforcement has faced challenges due to incidents of misconduct, perceived lack of transparency, and inconsistent community relations, initiatives aimed at improving police-public interactions have taken on increased significance. </w:t>
      </w:r>
    </w:p>
    <w:p w14:paraId="2B79B900" w14:textId="62A62CD4" w:rsidR="008207FF" w:rsidRPr="003C6B24" w:rsidRDefault="008207FF" w:rsidP="008207FF">
      <w:pPr>
        <w:rPr>
          <w:rFonts w:cstheme="minorHAnsi"/>
          <w:sz w:val="21"/>
          <w:szCs w:val="21"/>
        </w:rPr>
      </w:pPr>
      <w:r w:rsidRPr="003C6B24">
        <w:rPr>
          <w:rFonts w:cstheme="minorHAnsi"/>
          <w:sz w:val="21"/>
          <w:szCs w:val="21"/>
        </w:rPr>
        <w:t xml:space="preserve">Partnerships with community organisations, social services, and local leaders can help bridge a gap by establishing trust and creating channels for communication and understanding. The police service is unable to hand every incident independently and depends on partners to assist and advise them, leveraging their specific expertise and abilities to resolve issues. The foundation of all policing centres around securing public safety, safeguarding local </w:t>
      </w:r>
      <w:r w:rsidR="007E1584" w:rsidRPr="003C6B24">
        <w:rPr>
          <w:rFonts w:cstheme="minorHAnsi"/>
          <w:sz w:val="21"/>
          <w:szCs w:val="21"/>
        </w:rPr>
        <w:t>communities,</w:t>
      </w:r>
      <w:r w:rsidRPr="003C6B24">
        <w:rPr>
          <w:rFonts w:cstheme="minorHAnsi"/>
          <w:sz w:val="21"/>
          <w:szCs w:val="21"/>
        </w:rPr>
        <w:t xml:space="preserve"> and addressing specific local concerns. Through the utilisation of collaborative partnerships, these objectives can be fulfilled. </w:t>
      </w:r>
      <w:sdt>
        <w:sdtPr>
          <w:rPr>
            <w:rFonts w:cstheme="minorHAnsi"/>
            <w:sz w:val="21"/>
            <w:szCs w:val="21"/>
          </w:rPr>
          <w:id w:val="1822536778"/>
          <w:citation/>
        </w:sdtPr>
        <w:sdtEndPr/>
        <w:sdtContent>
          <w:r w:rsidRPr="003C6B24">
            <w:rPr>
              <w:rFonts w:cstheme="minorHAnsi"/>
              <w:sz w:val="21"/>
              <w:szCs w:val="21"/>
            </w:rPr>
            <w:fldChar w:fldCharType="begin"/>
          </w:r>
          <w:r w:rsidR="00833E97">
            <w:rPr>
              <w:rFonts w:cstheme="minorHAnsi"/>
              <w:sz w:val="21"/>
              <w:szCs w:val="21"/>
            </w:rPr>
            <w:instrText xml:space="preserve">CITATION Chr24 \l 2057 </w:instrText>
          </w:r>
          <w:r w:rsidRPr="003C6B24">
            <w:rPr>
              <w:rFonts w:cstheme="minorHAnsi"/>
              <w:sz w:val="21"/>
              <w:szCs w:val="21"/>
            </w:rPr>
            <w:fldChar w:fldCharType="separate"/>
          </w:r>
          <w:r w:rsidR="00833E97" w:rsidRPr="00833E97">
            <w:rPr>
              <w:rFonts w:cstheme="minorHAnsi"/>
              <w:noProof/>
              <w:sz w:val="21"/>
              <w:szCs w:val="21"/>
            </w:rPr>
            <w:t>(Farrell, 2024)</w:t>
          </w:r>
          <w:r w:rsidRPr="003C6B24">
            <w:rPr>
              <w:rFonts w:cstheme="minorHAnsi"/>
              <w:sz w:val="21"/>
              <w:szCs w:val="21"/>
            </w:rPr>
            <w:fldChar w:fldCharType="end"/>
          </w:r>
        </w:sdtContent>
      </w:sdt>
      <w:r w:rsidRPr="003C6B24">
        <w:rPr>
          <w:rFonts w:cstheme="minorHAnsi"/>
          <w:sz w:val="21"/>
          <w:szCs w:val="21"/>
        </w:rPr>
        <w:t xml:space="preserve">. </w:t>
      </w:r>
    </w:p>
    <w:p w14:paraId="1E7D7BB9" w14:textId="1DF9102F" w:rsidR="003155C5" w:rsidRPr="003C6B24" w:rsidRDefault="008207FF" w:rsidP="003155C5">
      <w:pPr>
        <w:spacing w:before="100" w:beforeAutospacing="1" w:after="100" w:afterAutospacing="1" w:line="240" w:lineRule="auto"/>
        <w:rPr>
          <w:rFonts w:eastAsia="Times New Roman" w:cstheme="minorHAnsi"/>
          <w:sz w:val="21"/>
          <w:szCs w:val="21"/>
          <w:lang w:eastAsia="en-GB"/>
        </w:rPr>
      </w:pPr>
      <w:r w:rsidRPr="003C6B24">
        <w:rPr>
          <w:rFonts w:cstheme="minorHAnsi"/>
          <w:sz w:val="21"/>
          <w:szCs w:val="21"/>
        </w:rPr>
        <w:t xml:space="preserve">The document “Communications and Engagement Strategy 2023 -2027” by the Independent Office for Police Conduct (IOPC) outlines their aims of how to improve engagement by the police in the wider community. This strategy focuses on fostering trust, transparency and accountability. It emphasises the importance of enabling the IOPC to mediate between the police and the communities they serve. It outlines a new approach to stakeholder engagement and communication and aligns closely with the overarching strategic plan, “Building trust and confidence in Policing”. </w:t>
      </w:r>
      <w:sdt>
        <w:sdtPr>
          <w:rPr>
            <w:rFonts w:cstheme="minorHAnsi"/>
            <w:sz w:val="21"/>
            <w:szCs w:val="21"/>
          </w:rPr>
          <w:id w:val="-537124728"/>
          <w:citation/>
        </w:sdtPr>
        <w:sdtEndPr/>
        <w:sdtContent>
          <w:r w:rsidRPr="003C6B24">
            <w:rPr>
              <w:rFonts w:cstheme="minorHAnsi"/>
              <w:sz w:val="21"/>
              <w:szCs w:val="21"/>
            </w:rPr>
            <w:fldChar w:fldCharType="begin"/>
          </w:r>
          <w:r w:rsidR="00833E97">
            <w:rPr>
              <w:rFonts w:cstheme="minorHAnsi"/>
              <w:sz w:val="21"/>
              <w:szCs w:val="21"/>
            </w:rPr>
            <w:instrText xml:space="preserve">CITATION Ind231 \l 2057 </w:instrText>
          </w:r>
          <w:r w:rsidRPr="003C6B24">
            <w:rPr>
              <w:rFonts w:cstheme="minorHAnsi"/>
              <w:sz w:val="21"/>
              <w:szCs w:val="21"/>
            </w:rPr>
            <w:fldChar w:fldCharType="separate"/>
          </w:r>
          <w:r w:rsidR="00833E97" w:rsidRPr="00833E97">
            <w:rPr>
              <w:rFonts w:cstheme="minorHAnsi"/>
              <w:noProof/>
              <w:sz w:val="21"/>
              <w:szCs w:val="21"/>
            </w:rPr>
            <w:t>(Conduct, 2023)</w:t>
          </w:r>
          <w:r w:rsidRPr="003C6B24">
            <w:rPr>
              <w:rFonts w:cstheme="minorHAnsi"/>
              <w:sz w:val="21"/>
              <w:szCs w:val="21"/>
            </w:rPr>
            <w:fldChar w:fldCharType="end"/>
          </w:r>
        </w:sdtContent>
      </w:sdt>
      <w:r w:rsidRPr="003C6B24">
        <w:rPr>
          <w:rFonts w:cstheme="minorHAnsi"/>
          <w:sz w:val="21"/>
          <w:szCs w:val="21"/>
        </w:rPr>
        <w:t>. These clear objectives can help police forces reduce crime, improve public safety and promote mutual respect between citizens and authorities. Furthermore, the strategy aims to strengthen the complaints’ system, again, to help build confidence with the public and police.</w:t>
      </w:r>
      <w:r w:rsidR="003155C5" w:rsidRPr="003C6B24">
        <w:rPr>
          <w:rFonts w:eastAsia="Times New Roman" w:cstheme="minorHAnsi"/>
          <w:sz w:val="21"/>
          <w:szCs w:val="21"/>
          <w:lang w:eastAsia="en-GB"/>
        </w:rPr>
        <w:t xml:space="preserve"> </w:t>
      </w:r>
    </w:p>
    <w:p w14:paraId="55381775" w14:textId="7BD4F4DC" w:rsidR="003155C5" w:rsidRPr="003C6B24" w:rsidRDefault="003155C5" w:rsidP="003155C5">
      <w:pPr>
        <w:spacing w:before="100" w:beforeAutospacing="1" w:after="100" w:afterAutospacing="1" w:line="240" w:lineRule="auto"/>
        <w:rPr>
          <w:rFonts w:eastAsia="Times New Roman" w:cstheme="minorHAnsi"/>
          <w:sz w:val="21"/>
          <w:szCs w:val="21"/>
          <w:lang w:eastAsia="en-GB"/>
        </w:rPr>
      </w:pPr>
      <w:r w:rsidRPr="003C6B24">
        <w:rPr>
          <w:rFonts w:eastAsia="Times New Roman" w:cstheme="minorHAnsi"/>
          <w:sz w:val="21"/>
          <w:szCs w:val="21"/>
          <w:lang w:eastAsia="en-GB"/>
        </w:rPr>
        <w:t xml:space="preserve">Police-community engagement refers to practices and strategies aimed at fostering open dialogue, transparency, and collaboration between law enforcement agencies and the public. Such engagement </w:t>
      </w:r>
      <w:r w:rsidRPr="003C6B24">
        <w:rPr>
          <w:rFonts w:eastAsia="Times New Roman" w:cstheme="minorHAnsi"/>
          <w:sz w:val="21"/>
          <w:szCs w:val="21"/>
          <w:lang w:eastAsia="en-GB"/>
        </w:rPr>
        <w:lastRenderedPageBreak/>
        <w:t xml:space="preserve">seeks to improve trust, encourage the reporting of crime, and ensure that policing priorities reflect community concerns. Research has consistently shown that communities with strong police relationships report higher levels of safety and satisfaction </w:t>
      </w:r>
      <w:sdt>
        <w:sdtPr>
          <w:rPr>
            <w:rFonts w:eastAsia="Times New Roman" w:cstheme="minorHAnsi"/>
            <w:sz w:val="21"/>
            <w:szCs w:val="21"/>
            <w:lang w:eastAsia="en-GB"/>
          </w:rPr>
          <w:id w:val="154889217"/>
          <w:citation/>
        </w:sdtPr>
        <w:sdtContent>
          <w:r w:rsidR="00D46D03">
            <w:rPr>
              <w:rFonts w:eastAsia="Times New Roman" w:cstheme="minorHAnsi"/>
              <w:sz w:val="21"/>
              <w:szCs w:val="21"/>
              <w:lang w:eastAsia="en-GB"/>
            </w:rPr>
            <w:fldChar w:fldCharType="begin"/>
          </w:r>
          <w:r w:rsidR="00D46D03">
            <w:rPr>
              <w:rFonts w:eastAsia="Times New Roman" w:cstheme="minorHAnsi"/>
              <w:sz w:val="21"/>
              <w:szCs w:val="21"/>
              <w:lang w:eastAsia="en-GB"/>
            </w:rPr>
            <w:instrText xml:space="preserve"> CITATION And12 \l 2057 </w:instrText>
          </w:r>
          <w:r w:rsidR="00D46D03">
            <w:rPr>
              <w:rFonts w:eastAsia="Times New Roman" w:cstheme="minorHAnsi"/>
              <w:sz w:val="21"/>
              <w:szCs w:val="21"/>
              <w:lang w:eastAsia="en-GB"/>
            </w:rPr>
            <w:fldChar w:fldCharType="separate"/>
          </w:r>
          <w:r w:rsidR="00D46D03" w:rsidRPr="00D46D03">
            <w:rPr>
              <w:rFonts w:eastAsia="Times New Roman" w:cstheme="minorHAnsi"/>
              <w:noProof/>
              <w:sz w:val="21"/>
              <w:szCs w:val="21"/>
              <w:lang w:eastAsia="en-GB"/>
            </w:rPr>
            <w:t>(Myhill, 2012)</w:t>
          </w:r>
          <w:r w:rsidR="00D46D03">
            <w:rPr>
              <w:rFonts w:eastAsia="Times New Roman" w:cstheme="minorHAnsi"/>
              <w:sz w:val="21"/>
              <w:szCs w:val="21"/>
              <w:lang w:eastAsia="en-GB"/>
            </w:rPr>
            <w:fldChar w:fldCharType="end"/>
          </w:r>
        </w:sdtContent>
      </w:sdt>
    </w:p>
    <w:p w14:paraId="2B6D4BB8" w14:textId="426AC936" w:rsidR="00666BB4" w:rsidRPr="003C6B24" w:rsidRDefault="003155C5" w:rsidP="00666BB4">
      <w:pPr>
        <w:spacing w:before="100" w:beforeAutospacing="1" w:after="100" w:afterAutospacing="1" w:line="240" w:lineRule="auto"/>
        <w:rPr>
          <w:rFonts w:eastAsia="Times New Roman" w:cstheme="minorHAnsi"/>
          <w:sz w:val="21"/>
          <w:szCs w:val="21"/>
          <w:lang w:eastAsia="en-GB"/>
        </w:rPr>
      </w:pPr>
      <w:r w:rsidRPr="003C6B24">
        <w:rPr>
          <w:rFonts w:eastAsia="Times New Roman" w:cstheme="minorHAnsi"/>
          <w:sz w:val="21"/>
          <w:szCs w:val="21"/>
          <w:lang w:eastAsia="en-GB"/>
        </w:rPr>
        <w:t xml:space="preserve">The South Wales Police, Crime and Justice Plan 2025 -29 </w:t>
      </w:r>
      <w:r w:rsidR="007E1584" w:rsidRPr="003C6B24">
        <w:rPr>
          <w:rFonts w:eastAsia="Times New Roman" w:cstheme="minorHAnsi"/>
          <w:sz w:val="21"/>
          <w:szCs w:val="21"/>
          <w:lang w:eastAsia="en-GB"/>
        </w:rPr>
        <w:t xml:space="preserve">focuses on delivering effective policing, fostering community cohesion and transparency. The first objective of the plan is to “build people’s trust in local policing”. </w:t>
      </w:r>
      <w:bookmarkStart w:id="0" w:name="_Toc181651568"/>
      <w:r w:rsidR="00666BB4" w:rsidRPr="003C6B24">
        <w:rPr>
          <w:rFonts w:eastAsia="Times New Roman" w:cstheme="minorHAnsi"/>
          <w:sz w:val="21"/>
          <w:szCs w:val="21"/>
          <w:lang w:eastAsia="en-GB"/>
        </w:rPr>
        <w:t xml:space="preserve">To ensure that policing in South Wales is visible and </w:t>
      </w:r>
      <w:r w:rsidR="00A75796" w:rsidRPr="003C6B24">
        <w:rPr>
          <w:rFonts w:eastAsia="Times New Roman" w:cstheme="minorHAnsi"/>
          <w:sz w:val="21"/>
          <w:szCs w:val="21"/>
          <w:lang w:eastAsia="en-GB"/>
        </w:rPr>
        <w:t>“in</w:t>
      </w:r>
      <w:r w:rsidR="00666BB4" w:rsidRPr="003C6B24">
        <w:rPr>
          <w:rFonts w:eastAsia="Times New Roman" w:cstheme="minorHAnsi"/>
          <w:sz w:val="21"/>
          <w:szCs w:val="21"/>
          <w:lang w:eastAsia="en-GB"/>
        </w:rPr>
        <w:t xml:space="preserve"> touch with the needs of the community”.</w:t>
      </w:r>
      <w:r w:rsidR="002D431F">
        <w:rPr>
          <w:rFonts w:eastAsia="Times New Roman" w:cstheme="minorHAnsi"/>
          <w:sz w:val="21"/>
          <w:szCs w:val="21"/>
          <w:lang w:eastAsia="en-GB"/>
        </w:rPr>
        <w:t xml:space="preserve"> </w:t>
      </w:r>
      <w:sdt>
        <w:sdtPr>
          <w:rPr>
            <w:rFonts w:eastAsia="Times New Roman" w:cstheme="minorHAnsi"/>
            <w:sz w:val="21"/>
            <w:szCs w:val="21"/>
            <w:lang w:eastAsia="en-GB"/>
          </w:rPr>
          <w:id w:val="-1007980796"/>
          <w:citation/>
        </w:sdtPr>
        <w:sdtContent>
          <w:r w:rsidR="002D431F">
            <w:rPr>
              <w:rFonts w:eastAsia="Times New Roman" w:cstheme="minorHAnsi"/>
              <w:sz w:val="21"/>
              <w:szCs w:val="21"/>
              <w:lang w:eastAsia="en-GB"/>
            </w:rPr>
            <w:fldChar w:fldCharType="begin"/>
          </w:r>
          <w:r w:rsidR="00D46D03">
            <w:rPr>
              <w:rFonts w:eastAsia="Times New Roman" w:cstheme="minorHAnsi"/>
              <w:sz w:val="21"/>
              <w:szCs w:val="21"/>
              <w:lang w:eastAsia="en-GB"/>
            </w:rPr>
            <w:instrText xml:space="preserve">CITATION Emm25 \l 2057 </w:instrText>
          </w:r>
          <w:r w:rsidR="002D431F">
            <w:rPr>
              <w:rFonts w:eastAsia="Times New Roman" w:cstheme="minorHAnsi"/>
              <w:sz w:val="21"/>
              <w:szCs w:val="21"/>
              <w:lang w:eastAsia="en-GB"/>
            </w:rPr>
            <w:fldChar w:fldCharType="separate"/>
          </w:r>
          <w:r w:rsidR="00D46D03" w:rsidRPr="00D46D03">
            <w:rPr>
              <w:rFonts w:eastAsia="Times New Roman" w:cstheme="minorHAnsi"/>
              <w:noProof/>
              <w:sz w:val="21"/>
              <w:szCs w:val="21"/>
              <w:lang w:eastAsia="en-GB"/>
            </w:rPr>
            <w:t>(Wools, 2025)</w:t>
          </w:r>
          <w:r w:rsidR="002D431F">
            <w:rPr>
              <w:rFonts w:eastAsia="Times New Roman" w:cstheme="minorHAnsi"/>
              <w:sz w:val="21"/>
              <w:szCs w:val="21"/>
              <w:lang w:eastAsia="en-GB"/>
            </w:rPr>
            <w:fldChar w:fldCharType="end"/>
          </w:r>
        </w:sdtContent>
      </w:sdt>
    </w:p>
    <w:p w14:paraId="79FCE958" w14:textId="6404D16F" w:rsidR="006F1116" w:rsidRPr="003C6B24" w:rsidRDefault="006F1116" w:rsidP="00666BB4">
      <w:pPr>
        <w:spacing w:before="100" w:beforeAutospacing="1" w:after="100" w:afterAutospacing="1" w:line="240" w:lineRule="auto"/>
        <w:rPr>
          <w:rFonts w:eastAsia="Times New Roman" w:cstheme="minorHAnsi"/>
          <w:sz w:val="21"/>
          <w:szCs w:val="21"/>
          <w:lang w:eastAsia="en-GB"/>
        </w:rPr>
      </w:pPr>
    </w:p>
    <w:p w14:paraId="27E3699D" w14:textId="17650DA0" w:rsidR="006F1116" w:rsidRPr="00D46D03" w:rsidRDefault="006F1116" w:rsidP="00666BB4">
      <w:pPr>
        <w:spacing w:before="100" w:beforeAutospacing="1" w:after="100" w:afterAutospacing="1" w:line="240" w:lineRule="auto"/>
        <w:rPr>
          <w:rFonts w:eastAsia="Times New Roman" w:cstheme="minorHAnsi"/>
          <w:b/>
          <w:bCs/>
          <w:sz w:val="21"/>
          <w:szCs w:val="21"/>
          <w:lang w:eastAsia="en-GB"/>
        </w:rPr>
      </w:pPr>
      <w:r w:rsidRPr="00D46D03">
        <w:rPr>
          <w:rFonts w:eastAsia="Times New Roman" w:cstheme="minorHAnsi"/>
          <w:b/>
          <w:bCs/>
          <w:sz w:val="21"/>
          <w:szCs w:val="21"/>
          <w:u w:val="single"/>
          <w:lang w:eastAsia="en-GB"/>
        </w:rPr>
        <w:t>Findings from research</w:t>
      </w:r>
    </w:p>
    <w:p w14:paraId="386453A6" w14:textId="0C494CAA" w:rsidR="00924486" w:rsidRPr="003C6B24" w:rsidRDefault="006F1116" w:rsidP="00666BB4">
      <w:pPr>
        <w:spacing w:before="100" w:beforeAutospacing="1" w:after="100" w:afterAutospacing="1" w:line="240" w:lineRule="auto"/>
        <w:rPr>
          <w:rFonts w:eastAsia="Times New Roman" w:cstheme="minorHAnsi"/>
          <w:color w:val="0000FF"/>
          <w:sz w:val="21"/>
          <w:szCs w:val="21"/>
          <w:u w:val="single"/>
          <w:lang w:eastAsia="en-GB"/>
        </w:rPr>
      </w:pPr>
      <w:r w:rsidRPr="003C6B24">
        <w:rPr>
          <w:rFonts w:eastAsia="Times New Roman" w:cstheme="minorHAnsi"/>
          <w:sz w:val="21"/>
          <w:szCs w:val="21"/>
          <w:lang w:eastAsia="en-GB"/>
        </w:rPr>
        <w:t xml:space="preserve">A study by the University of Cambridge in </w:t>
      </w:r>
      <w:r w:rsidR="00D34126" w:rsidRPr="003C6B24">
        <w:rPr>
          <w:rFonts w:eastAsia="Times New Roman" w:cstheme="minorHAnsi"/>
          <w:sz w:val="21"/>
          <w:szCs w:val="21"/>
          <w:lang w:eastAsia="en-GB"/>
        </w:rPr>
        <w:t>Peterborough</w:t>
      </w:r>
      <w:r w:rsidRPr="003C6B24">
        <w:rPr>
          <w:rFonts w:eastAsia="Times New Roman" w:cstheme="minorHAnsi"/>
          <w:sz w:val="21"/>
          <w:szCs w:val="21"/>
          <w:lang w:eastAsia="en-GB"/>
        </w:rPr>
        <w:t xml:space="preserve"> demonstrated that foot patrols by Police Community </w:t>
      </w:r>
      <w:r w:rsidR="00833E97" w:rsidRPr="003C6B24">
        <w:rPr>
          <w:rFonts w:eastAsia="Times New Roman" w:cstheme="minorHAnsi"/>
          <w:sz w:val="21"/>
          <w:szCs w:val="21"/>
          <w:lang w:eastAsia="en-GB"/>
        </w:rPr>
        <w:t xml:space="preserve">Support </w:t>
      </w:r>
      <w:r w:rsidR="00833E97">
        <w:rPr>
          <w:rFonts w:eastAsia="Times New Roman" w:cstheme="minorHAnsi"/>
          <w:sz w:val="21"/>
          <w:szCs w:val="21"/>
          <w:lang w:eastAsia="en-GB"/>
        </w:rPr>
        <w:t>Off</w:t>
      </w:r>
      <w:r w:rsidR="00833E97" w:rsidRPr="003C6B24">
        <w:rPr>
          <w:rFonts w:eastAsia="Times New Roman" w:cstheme="minorHAnsi"/>
          <w:sz w:val="21"/>
          <w:szCs w:val="21"/>
          <w:lang w:eastAsia="en-GB"/>
        </w:rPr>
        <w:t>icers</w:t>
      </w:r>
      <w:r w:rsidRPr="003C6B24">
        <w:rPr>
          <w:rFonts w:eastAsia="Times New Roman" w:cstheme="minorHAnsi"/>
          <w:sz w:val="21"/>
          <w:szCs w:val="21"/>
          <w:lang w:eastAsia="en-GB"/>
        </w:rPr>
        <w:t xml:space="preserve"> in crime hotspots led to a significant reduction in crime</w:t>
      </w:r>
      <w:r w:rsidR="00924486" w:rsidRPr="003C6B24">
        <w:rPr>
          <w:rFonts w:eastAsia="Times New Roman" w:cstheme="minorHAnsi"/>
          <w:sz w:val="21"/>
          <w:szCs w:val="21"/>
          <w:lang w:eastAsia="en-GB"/>
        </w:rPr>
        <w:t xml:space="preserve">. </w:t>
      </w:r>
      <w:r w:rsidR="00D46D03" w:rsidRPr="003C6B24">
        <w:rPr>
          <w:rFonts w:eastAsia="Times New Roman" w:cstheme="minorHAnsi"/>
          <w:sz w:val="21"/>
          <w:szCs w:val="21"/>
          <w:lang w:eastAsia="en-GB"/>
        </w:rPr>
        <w:t>Specifically,</w:t>
      </w:r>
      <w:r w:rsidR="00924486" w:rsidRPr="003C6B24">
        <w:rPr>
          <w:rFonts w:eastAsia="Times New Roman" w:cstheme="minorHAnsi"/>
          <w:sz w:val="21"/>
          <w:szCs w:val="21"/>
          <w:lang w:eastAsia="en-GB"/>
        </w:rPr>
        <w:t xml:space="preserve"> an additional 21 minutes of daily foot patrols in designated areas resulted in a 39% decrease in victim reported crimes as well as a 20% reduction in em</w:t>
      </w:r>
      <w:r w:rsidR="00924486" w:rsidRPr="003C6B24">
        <w:rPr>
          <w:rFonts w:cstheme="minorHAnsi"/>
          <w:sz w:val="21"/>
          <w:szCs w:val="21"/>
        </w:rPr>
        <w:t>ergency calls</w:t>
      </w:r>
      <w:r w:rsidR="00924486" w:rsidRPr="003C6B24">
        <w:rPr>
          <w:rFonts w:eastAsia="Times New Roman" w:cstheme="minorHAnsi"/>
          <w:sz w:val="21"/>
          <w:szCs w:val="21"/>
          <w:lang w:eastAsia="en-GB"/>
        </w:rPr>
        <w:t>,</w:t>
      </w:r>
      <w:r w:rsidR="002D431F">
        <w:rPr>
          <w:rFonts w:eastAsia="Times New Roman" w:cstheme="minorHAnsi"/>
          <w:sz w:val="21"/>
          <w:szCs w:val="21"/>
          <w:lang w:eastAsia="en-GB"/>
        </w:rPr>
        <w:t xml:space="preserve"> </w:t>
      </w:r>
      <w:sdt>
        <w:sdtPr>
          <w:rPr>
            <w:rFonts w:eastAsia="Times New Roman" w:cstheme="minorHAnsi"/>
            <w:sz w:val="21"/>
            <w:szCs w:val="21"/>
            <w:lang w:eastAsia="en-GB"/>
          </w:rPr>
          <w:id w:val="-895737054"/>
          <w:citation/>
        </w:sdtPr>
        <w:sdtContent>
          <w:r w:rsidR="002D431F">
            <w:rPr>
              <w:rFonts w:eastAsia="Times New Roman" w:cstheme="minorHAnsi"/>
              <w:sz w:val="21"/>
              <w:szCs w:val="21"/>
              <w:lang w:eastAsia="en-GB"/>
            </w:rPr>
            <w:fldChar w:fldCharType="begin"/>
          </w:r>
          <w:r w:rsidR="002D431F">
            <w:rPr>
              <w:rFonts w:eastAsia="Times New Roman" w:cstheme="minorHAnsi"/>
              <w:sz w:val="21"/>
              <w:szCs w:val="21"/>
              <w:lang w:eastAsia="en-GB"/>
            </w:rPr>
            <w:instrText xml:space="preserve"> CITATION Uni16 \l 2057 </w:instrText>
          </w:r>
          <w:r w:rsidR="002D431F">
            <w:rPr>
              <w:rFonts w:eastAsia="Times New Roman" w:cstheme="minorHAnsi"/>
              <w:sz w:val="21"/>
              <w:szCs w:val="21"/>
              <w:lang w:eastAsia="en-GB"/>
            </w:rPr>
            <w:fldChar w:fldCharType="separate"/>
          </w:r>
          <w:r w:rsidR="002D431F" w:rsidRPr="002D431F">
            <w:rPr>
              <w:rFonts w:eastAsia="Times New Roman" w:cstheme="minorHAnsi"/>
              <w:noProof/>
              <w:sz w:val="21"/>
              <w:szCs w:val="21"/>
              <w:lang w:eastAsia="en-GB"/>
            </w:rPr>
            <w:t>(Cambridge, 2016)</w:t>
          </w:r>
          <w:r w:rsidR="002D431F">
            <w:rPr>
              <w:rFonts w:eastAsia="Times New Roman" w:cstheme="minorHAnsi"/>
              <w:sz w:val="21"/>
              <w:szCs w:val="21"/>
              <w:lang w:eastAsia="en-GB"/>
            </w:rPr>
            <w:fldChar w:fldCharType="end"/>
          </w:r>
        </w:sdtContent>
      </w:sdt>
      <w:r w:rsidR="002D431F">
        <w:t xml:space="preserve">. </w:t>
      </w:r>
    </w:p>
    <w:p w14:paraId="73D14067" w14:textId="772E8626" w:rsidR="006F1116" w:rsidRPr="003C6B24" w:rsidRDefault="00021CC7" w:rsidP="00666BB4">
      <w:pPr>
        <w:spacing w:before="100" w:beforeAutospacing="1" w:after="100" w:afterAutospacing="1" w:line="240" w:lineRule="auto"/>
        <w:rPr>
          <w:rFonts w:eastAsia="Times New Roman" w:cstheme="minorHAnsi"/>
          <w:sz w:val="21"/>
          <w:szCs w:val="21"/>
          <w:lang w:eastAsia="en-GB"/>
        </w:rPr>
      </w:pPr>
      <w:r w:rsidRPr="003C6B24">
        <w:rPr>
          <w:rFonts w:eastAsia="Times New Roman" w:cstheme="minorHAnsi"/>
          <w:sz w:val="21"/>
          <w:szCs w:val="21"/>
          <w:lang w:eastAsia="en-GB"/>
        </w:rPr>
        <w:t xml:space="preserve"> An</w:t>
      </w:r>
      <w:r w:rsidR="00924486" w:rsidRPr="003C6B24">
        <w:rPr>
          <w:rFonts w:eastAsia="Times New Roman" w:cstheme="minorHAnsi"/>
          <w:sz w:val="21"/>
          <w:szCs w:val="21"/>
          <w:lang w:eastAsia="en-GB"/>
        </w:rPr>
        <w:t xml:space="preserve"> initiative involving 16 pilot sites across eight police forces focused on community engagement strategies, including regular public meetings and addressing local concerns. This approach led to a 12–15% increase in public confidence in the police within a year.</w:t>
      </w:r>
      <w:sdt>
        <w:sdtPr>
          <w:rPr>
            <w:rFonts w:eastAsia="Times New Roman" w:cstheme="minorHAnsi"/>
            <w:sz w:val="21"/>
            <w:szCs w:val="21"/>
            <w:lang w:eastAsia="en-GB"/>
          </w:rPr>
          <w:id w:val="964779474"/>
          <w:citation/>
        </w:sdtPr>
        <w:sdtContent>
          <w:r w:rsidR="002D431F">
            <w:rPr>
              <w:rFonts w:eastAsia="Times New Roman" w:cstheme="minorHAnsi"/>
              <w:sz w:val="21"/>
              <w:szCs w:val="21"/>
              <w:lang w:eastAsia="en-GB"/>
            </w:rPr>
            <w:fldChar w:fldCharType="begin"/>
          </w:r>
          <w:r w:rsidR="002D431F">
            <w:rPr>
              <w:rFonts w:eastAsia="Times New Roman" w:cstheme="minorHAnsi"/>
              <w:sz w:val="21"/>
              <w:szCs w:val="21"/>
              <w:lang w:eastAsia="en-GB"/>
            </w:rPr>
            <w:instrText xml:space="preserve"> CITATION Den09 \l 2057 </w:instrText>
          </w:r>
          <w:r w:rsidR="002D431F">
            <w:rPr>
              <w:rFonts w:eastAsia="Times New Roman" w:cstheme="minorHAnsi"/>
              <w:sz w:val="21"/>
              <w:szCs w:val="21"/>
              <w:lang w:eastAsia="en-GB"/>
            </w:rPr>
            <w:fldChar w:fldCharType="separate"/>
          </w:r>
          <w:r w:rsidR="002D431F">
            <w:rPr>
              <w:rFonts w:eastAsia="Times New Roman" w:cstheme="minorHAnsi"/>
              <w:noProof/>
              <w:sz w:val="21"/>
              <w:szCs w:val="21"/>
              <w:lang w:eastAsia="en-GB"/>
            </w:rPr>
            <w:t xml:space="preserve"> </w:t>
          </w:r>
          <w:r w:rsidR="002D431F" w:rsidRPr="002D431F">
            <w:rPr>
              <w:rFonts w:eastAsia="Times New Roman" w:cstheme="minorHAnsi"/>
              <w:noProof/>
              <w:sz w:val="21"/>
              <w:szCs w:val="21"/>
              <w:lang w:eastAsia="en-GB"/>
            </w:rPr>
            <w:t>(O'Conner, 2009)</w:t>
          </w:r>
          <w:r w:rsidR="002D431F">
            <w:rPr>
              <w:rFonts w:eastAsia="Times New Roman" w:cstheme="minorHAnsi"/>
              <w:sz w:val="21"/>
              <w:szCs w:val="21"/>
              <w:lang w:eastAsia="en-GB"/>
            </w:rPr>
            <w:fldChar w:fldCharType="end"/>
          </w:r>
        </w:sdtContent>
      </w:sdt>
      <w:r w:rsidR="002D431F">
        <w:rPr>
          <w:rFonts w:eastAsia="Times New Roman" w:cstheme="minorHAnsi"/>
          <w:sz w:val="21"/>
          <w:szCs w:val="21"/>
          <w:lang w:eastAsia="en-GB"/>
        </w:rPr>
        <w:t xml:space="preserve">. </w:t>
      </w:r>
    </w:p>
    <w:p w14:paraId="7AA597BB" w14:textId="77777777" w:rsidR="00583C0B" w:rsidRPr="003C6B24" w:rsidRDefault="00583C0B" w:rsidP="00583C0B">
      <w:pPr>
        <w:spacing w:before="100" w:beforeAutospacing="1" w:after="100" w:afterAutospacing="1" w:line="240" w:lineRule="auto"/>
        <w:rPr>
          <w:rFonts w:eastAsia="Times New Roman" w:cstheme="minorHAnsi"/>
          <w:sz w:val="21"/>
          <w:szCs w:val="21"/>
          <w:lang w:eastAsia="en-GB"/>
        </w:rPr>
      </w:pPr>
      <w:r w:rsidRPr="003C6B24">
        <w:rPr>
          <w:rFonts w:eastAsia="Times New Roman" w:cstheme="minorHAnsi"/>
          <w:sz w:val="21"/>
          <w:szCs w:val="21"/>
          <w:lang w:eastAsia="en-GB"/>
        </w:rPr>
        <w:t>While direct statistics on beat meetings are scarce, the positive outcomes associated with community engagement and visible policing suggest that such meetings can play a crucial role in:</w:t>
      </w:r>
    </w:p>
    <w:p w14:paraId="3DBAEBA0" w14:textId="77777777" w:rsidR="00583C0B" w:rsidRPr="003C6B24" w:rsidRDefault="00583C0B" w:rsidP="00583C0B">
      <w:pPr>
        <w:numPr>
          <w:ilvl w:val="0"/>
          <w:numId w:val="1"/>
        </w:numPr>
        <w:spacing w:before="100" w:beforeAutospacing="1" w:after="100" w:afterAutospacing="1" w:line="240" w:lineRule="auto"/>
        <w:rPr>
          <w:rFonts w:eastAsia="Times New Roman" w:cstheme="minorHAnsi"/>
          <w:sz w:val="21"/>
          <w:szCs w:val="21"/>
          <w:lang w:eastAsia="en-GB"/>
        </w:rPr>
      </w:pPr>
      <w:r w:rsidRPr="003C6B24">
        <w:rPr>
          <w:rFonts w:eastAsia="Times New Roman" w:cstheme="minorHAnsi"/>
          <w:sz w:val="21"/>
          <w:szCs w:val="21"/>
          <w:lang w:eastAsia="en-GB"/>
        </w:rPr>
        <w:t>Building trust and legitimacy within communities.</w:t>
      </w:r>
    </w:p>
    <w:p w14:paraId="46EE3B5B" w14:textId="77777777" w:rsidR="00583C0B" w:rsidRPr="003C6B24" w:rsidRDefault="00583C0B" w:rsidP="00583C0B">
      <w:pPr>
        <w:numPr>
          <w:ilvl w:val="0"/>
          <w:numId w:val="1"/>
        </w:numPr>
        <w:spacing w:before="100" w:beforeAutospacing="1" w:after="100" w:afterAutospacing="1" w:line="240" w:lineRule="auto"/>
        <w:rPr>
          <w:rFonts w:eastAsia="Times New Roman" w:cstheme="minorHAnsi"/>
          <w:sz w:val="21"/>
          <w:szCs w:val="21"/>
          <w:lang w:eastAsia="en-GB"/>
        </w:rPr>
      </w:pPr>
      <w:r w:rsidRPr="003C6B24">
        <w:rPr>
          <w:rFonts w:eastAsia="Times New Roman" w:cstheme="minorHAnsi"/>
          <w:sz w:val="21"/>
          <w:szCs w:val="21"/>
          <w:lang w:eastAsia="en-GB"/>
        </w:rPr>
        <w:t>Identifying and addressing local concerns effectively.</w:t>
      </w:r>
    </w:p>
    <w:p w14:paraId="3C67F0EB" w14:textId="77777777" w:rsidR="00583C0B" w:rsidRPr="003C6B24" w:rsidRDefault="00583C0B" w:rsidP="00583C0B">
      <w:pPr>
        <w:numPr>
          <w:ilvl w:val="0"/>
          <w:numId w:val="1"/>
        </w:numPr>
        <w:spacing w:before="100" w:beforeAutospacing="1" w:after="100" w:afterAutospacing="1" w:line="240" w:lineRule="auto"/>
        <w:rPr>
          <w:rFonts w:eastAsia="Times New Roman" w:cstheme="minorHAnsi"/>
          <w:sz w:val="21"/>
          <w:szCs w:val="21"/>
          <w:lang w:eastAsia="en-GB"/>
        </w:rPr>
      </w:pPr>
      <w:r w:rsidRPr="003C6B24">
        <w:rPr>
          <w:rFonts w:eastAsia="Times New Roman" w:cstheme="minorHAnsi"/>
          <w:sz w:val="21"/>
          <w:szCs w:val="21"/>
          <w:lang w:eastAsia="en-GB"/>
        </w:rPr>
        <w:t>Enhancing collaboration between the police and the public.</w:t>
      </w:r>
    </w:p>
    <w:p w14:paraId="7A923F8F" w14:textId="42B9AC31" w:rsidR="00583C0B" w:rsidRDefault="00583C0B" w:rsidP="00583C0B">
      <w:pPr>
        <w:spacing w:before="100" w:beforeAutospacing="1" w:after="100" w:afterAutospacing="1" w:line="240" w:lineRule="auto"/>
        <w:rPr>
          <w:rFonts w:eastAsia="Times New Roman" w:cstheme="minorHAnsi"/>
          <w:sz w:val="21"/>
          <w:szCs w:val="21"/>
          <w:lang w:eastAsia="en-GB"/>
        </w:rPr>
      </w:pPr>
      <w:r w:rsidRPr="003C6B24">
        <w:rPr>
          <w:rFonts w:eastAsia="Times New Roman" w:cstheme="minorHAnsi"/>
          <w:sz w:val="21"/>
          <w:szCs w:val="21"/>
          <w:lang w:eastAsia="en-GB"/>
        </w:rPr>
        <w:t>These meetings, as part of broader community policing strategies, contribute to improved public confidence and crime reduction.</w:t>
      </w:r>
    </w:p>
    <w:p w14:paraId="108B5ACC" w14:textId="4D270EE3" w:rsidR="00021CC7" w:rsidRDefault="00632F1E" w:rsidP="00583C0B">
      <w:pPr>
        <w:spacing w:before="100" w:beforeAutospacing="1" w:after="100" w:afterAutospacing="1" w:line="240" w:lineRule="auto"/>
        <w:rPr>
          <w:rFonts w:eastAsia="Times New Roman" w:cstheme="minorHAnsi"/>
          <w:sz w:val="21"/>
          <w:szCs w:val="21"/>
          <w:lang w:eastAsia="en-GB"/>
        </w:rPr>
      </w:pPr>
      <w:r>
        <w:rPr>
          <w:rFonts w:eastAsia="Times New Roman" w:cstheme="minorHAnsi"/>
          <w:sz w:val="21"/>
          <w:szCs w:val="21"/>
          <w:lang w:eastAsia="en-GB"/>
        </w:rPr>
        <w:t xml:space="preserve">The Policing </w:t>
      </w:r>
      <w:r w:rsidR="00021CC7">
        <w:rPr>
          <w:rFonts w:eastAsia="Times New Roman" w:cstheme="minorHAnsi"/>
          <w:sz w:val="21"/>
          <w:szCs w:val="21"/>
          <w:lang w:eastAsia="en-GB"/>
        </w:rPr>
        <w:t>Productivity</w:t>
      </w:r>
      <w:r>
        <w:rPr>
          <w:rFonts w:eastAsia="Times New Roman" w:cstheme="minorHAnsi"/>
          <w:sz w:val="21"/>
          <w:szCs w:val="21"/>
          <w:lang w:eastAsia="en-GB"/>
        </w:rPr>
        <w:t xml:space="preserve"> </w:t>
      </w:r>
      <w:r w:rsidR="00021CC7">
        <w:rPr>
          <w:rFonts w:eastAsia="Times New Roman" w:cstheme="minorHAnsi"/>
          <w:sz w:val="21"/>
          <w:szCs w:val="21"/>
          <w:lang w:eastAsia="en-GB"/>
        </w:rPr>
        <w:t>Review Home</w:t>
      </w:r>
      <w:r>
        <w:rPr>
          <w:rFonts w:eastAsia="Times New Roman" w:cstheme="minorHAnsi"/>
          <w:sz w:val="21"/>
          <w:szCs w:val="21"/>
          <w:lang w:eastAsia="en-GB"/>
        </w:rPr>
        <w:t xml:space="preserve"> Office (2023) </w:t>
      </w:r>
      <w:r w:rsidR="00021CC7">
        <w:rPr>
          <w:rFonts w:eastAsia="Times New Roman" w:cstheme="minorHAnsi"/>
          <w:sz w:val="21"/>
          <w:szCs w:val="21"/>
          <w:lang w:eastAsia="en-GB"/>
        </w:rPr>
        <w:t>highlights the significant role Neighbourhood Policing Teams (NPT’s) play in achieving measurable reductions in crime and disorder. Forces which have invested in dedicated NPT’s report notable decreases in anti-social behaviour demonstrating the value of community focused policing models in improving both safety and public confidence.</w:t>
      </w:r>
    </w:p>
    <w:p w14:paraId="1BD3028F" w14:textId="1F436308" w:rsidR="00D17CEA" w:rsidRDefault="00E73A70" w:rsidP="00D17CEA">
      <w:pPr>
        <w:spacing w:before="100" w:beforeAutospacing="1" w:after="100" w:afterAutospacing="1" w:line="240" w:lineRule="auto"/>
        <w:rPr>
          <w:rFonts w:eastAsia="Times New Roman" w:cstheme="minorHAnsi"/>
          <w:sz w:val="21"/>
          <w:szCs w:val="21"/>
          <w:lang w:eastAsia="en-GB"/>
        </w:rPr>
      </w:pPr>
      <w:r>
        <w:rPr>
          <w:rFonts w:eastAsia="Times New Roman" w:cstheme="minorHAnsi"/>
          <w:sz w:val="21"/>
          <w:szCs w:val="21"/>
          <w:lang w:eastAsia="en-GB"/>
        </w:rPr>
        <w:t xml:space="preserve">For example, Merseyside Police’s Knowsley team recorded a 44% reduction in </w:t>
      </w:r>
      <w:r w:rsidR="00D17CEA">
        <w:rPr>
          <w:rFonts w:eastAsia="Times New Roman" w:cstheme="minorHAnsi"/>
          <w:sz w:val="21"/>
          <w:szCs w:val="21"/>
          <w:lang w:eastAsia="en-GB"/>
        </w:rPr>
        <w:t>ASB’s and</w:t>
      </w:r>
      <w:r>
        <w:rPr>
          <w:rFonts w:eastAsia="Times New Roman" w:cstheme="minorHAnsi"/>
          <w:sz w:val="21"/>
          <w:szCs w:val="21"/>
          <w:lang w:eastAsia="en-GB"/>
        </w:rPr>
        <w:t xml:space="preserve"> a 28</w:t>
      </w:r>
      <w:r w:rsidR="00D17CEA">
        <w:rPr>
          <w:rFonts w:eastAsia="Times New Roman" w:cstheme="minorHAnsi"/>
          <w:sz w:val="21"/>
          <w:szCs w:val="21"/>
          <w:lang w:eastAsia="en-GB"/>
        </w:rPr>
        <w:t xml:space="preserve">% fall </w:t>
      </w:r>
      <w:r>
        <w:rPr>
          <w:rFonts w:eastAsia="Times New Roman" w:cstheme="minorHAnsi"/>
          <w:sz w:val="21"/>
          <w:szCs w:val="21"/>
          <w:lang w:eastAsia="en-GB"/>
        </w:rPr>
        <w:t xml:space="preserve">in residential burglaries. Essex police similarly reported a 57% </w:t>
      </w:r>
      <w:r w:rsidR="002D431F">
        <w:rPr>
          <w:rFonts w:eastAsia="Times New Roman" w:cstheme="minorHAnsi"/>
          <w:sz w:val="21"/>
          <w:szCs w:val="21"/>
          <w:lang w:eastAsia="en-GB"/>
        </w:rPr>
        <w:t>drop-in</w:t>
      </w:r>
      <w:r>
        <w:rPr>
          <w:rFonts w:eastAsia="Times New Roman" w:cstheme="minorHAnsi"/>
          <w:sz w:val="21"/>
          <w:szCs w:val="21"/>
          <w:lang w:eastAsia="en-GB"/>
        </w:rPr>
        <w:t xml:space="preserve"> town </w:t>
      </w:r>
      <w:r w:rsidR="00D17CEA">
        <w:rPr>
          <w:rFonts w:eastAsia="Times New Roman" w:cstheme="minorHAnsi"/>
          <w:sz w:val="21"/>
          <w:szCs w:val="21"/>
          <w:lang w:eastAsia="en-GB"/>
        </w:rPr>
        <w:t>centre</w:t>
      </w:r>
      <w:r>
        <w:rPr>
          <w:rFonts w:eastAsia="Times New Roman" w:cstheme="minorHAnsi"/>
          <w:sz w:val="21"/>
          <w:szCs w:val="21"/>
          <w:lang w:eastAsia="en-GB"/>
        </w:rPr>
        <w:t xml:space="preserve"> ASB incidents since 2018/19</w:t>
      </w:r>
      <w:r w:rsidR="003F5996">
        <w:rPr>
          <w:rFonts w:eastAsia="Times New Roman" w:cstheme="minorHAnsi"/>
          <w:sz w:val="21"/>
          <w:szCs w:val="21"/>
          <w:lang w:eastAsia="en-GB"/>
        </w:rPr>
        <w:t xml:space="preserve">. </w:t>
      </w:r>
      <w:r w:rsidR="002D431F">
        <w:rPr>
          <w:rFonts w:eastAsia="Times New Roman" w:cstheme="minorHAnsi"/>
          <w:sz w:val="21"/>
          <w:szCs w:val="21"/>
          <w:lang w:eastAsia="en-GB"/>
        </w:rPr>
        <w:t xml:space="preserve">This </w:t>
      </w:r>
      <w:r w:rsidR="00D46D03">
        <w:rPr>
          <w:rFonts w:eastAsia="Times New Roman" w:cstheme="minorHAnsi"/>
          <w:sz w:val="21"/>
          <w:szCs w:val="21"/>
          <w:lang w:eastAsia="en-GB"/>
        </w:rPr>
        <w:t>suggests that</w:t>
      </w:r>
      <w:r>
        <w:rPr>
          <w:rFonts w:eastAsia="Times New Roman" w:cstheme="minorHAnsi"/>
          <w:sz w:val="21"/>
          <w:szCs w:val="21"/>
          <w:lang w:eastAsia="en-GB"/>
        </w:rPr>
        <w:t xml:space="preserve"> long term investment in neighbourhood policing contributes to sustained crime prevention outcomes.</w:t>
      </w:r>
      <w:r w:rsidR="002D431F">
        <w:rPr>
          <w:rFonts w:eastAsia="Times New Roman" w:cstheme="minorHAnsi"/>
          <w:sz w:val="21"/>
          <w:szCs w:val="21"/>
          <w:lang w:eastAsia="en-GB"/>
        </w:rPr>
        <w:t xml:space="preserve"> </w:t>
      </w:r>
      <w:sdt>
        <w:sdtPr>
          <w:rPr>
            <w:rFonts w:eastAsia="Times New Roman" w:cstheme="minorHAnsi"/>
            <w:sz w:val="21"/>
            <w:szCs w:val="21"/>
            <w:lang w:eastAsia="en-GB"/>
          </w:rPr>
          <w:id w:val="1287315337"/>
          <w:citation/>
        </w:sdtPr>
        <w:sdtContent>
          <w:r w:rsidR="002D431F">
            <w:rPr>
              <w:rFonts w:eastAsia="Times New Roman" w:cstheme="minorHAnsi"/>
              <w:sz w:val="21"/>
              <w:szCs w:val="21"/>
              <w:lang w:eastAsia="en-GB"/>
            </w:rPr>
            <w:fldChar w:fldCharType="begin"/>
          </w:r>
          <w:r w:rsidR="002D431F">
            <w:rPr>
              <w:rFonts w:eastAsia="Times New Roman" w:cstheme="minorHAnsi"/>
              <w:sz w:val="21"/>
              <w:szCs w:val="21"/>
              <w:lang w:eastAsia="en-GB"/>
            </w:rPr>
            <w:instrText xml:space="preserve"> CITATION Gov241 \l 2057 </w:instrText>
          </w:r>
          <w:r w:rsidR="002D431F">
            <w:rPr>
              <w:rFonts w:eastAsia="Times New Roman" w:cstheme="minorHAnsi"/>
              <w:sz w:val="21"/>
              <w:szCs w:val="21"/>
              <w:lang w:eastAsia="en-GB"/>
            </w:rPr>
            <w:fldChar w:fldCharType="separate"/>
          </w:r>
          <w:r w:rsidR="002D431F" w:rsidRPr="002D431F">
            <w:rPr>
              <w:rFonts w:eastAsia="Times New Roman" w:cstheme="minorHAnsi"/>
              <w:noProof/>
              <w:sz w:val="21"/>
              <w:szCs w:val="21"/>
              <w:lang w:eastAsia="en-GB"/>
            </w:rPr>
            <w:t>(Gov.UK, 2024)</w:t>
          </w:r>
          <w:r w:rsidR="002D431F">
            <w:rPr>
              <w:rFonts w:eastAsia="Times New Roman" w:cstheme="minorHAnsi"/>
              <w:sz w:val="21"/>
              <w:szCs w:val="21"/>
              <w:lang w:eastAsia="en-GB"/>
            </w:rPr>
            <w:fldChar w:fldCharType="end"/>
          </w:r>
        </w:sdtContent>
      </w:sdt>
    </w:p>
    <w:p w14:paraId="3B009035" w14:textId="30532E26" w:rsidR="009636A9" w:rsidRPr="003C6B24" w:rsidRDefault="00E73A70" w:rsidP="00583C0B">
      <w:pPr>
        <w:spacing w:before="100" w:beforeAutospacing="1" w:after="100" w:afterAutospacing="1" w:line="240" w:lineRule="auto"/>
        <w:rPr>
          <w:rFonts w:eastAsia="Times New Roman" w:cstheme="minorHAnsi"/>
          <w:sz w:val="21"/>
          <w:szCs w:val="21"/>
          <w:lang w:eastAsia="en-GB"/>
        </w:rPr>
      </w:pPr>
      <w:r>
        <w:rPr>
          <w:rFonts w:eastAsia="Times New Roman" w:cstheme="minorHAnsi"/>
          <w:sz w:val="21"/>
          <w:szCs w:val="21"/>
          <w:lang w:eastAsia="en-GB"/>
        </w:rPr>
        <w:t xml:space="preserve">These reductions are consistent with existing academic research that emphasises the importance </w:t>
      </w:r>
      <w:r w:rsidR="00D17CEA">
        <w:rPr>
          <w:rFonts w:eastAsia="Times New Roman" w:cstheme="minorHAnsi"/>
          <w:sz w:val="21"/>
          <w:szCs w:val="21"/>
          <w:lang w:eastAsia="en-GB"/>
        </w:rPr>
        <w:t>of neighbourhood</w:t>
      </w:r>
      <w:r>
        <w:rPr>
          <w:rFonts w:eastAsia="Times New Roman" w:cstheme="minorHAnsi"/>
          <w:sz w:val="21"/>
          <w:szCs w:val="21"/>
          <w:lang w:eastAsia="en-GB"/>
        </w:rPr>
        <w:t xml:space="preserve"> po</w:t>
      </w:r>
      <w:r w:rsidR="00D17CEA">
        <w:rPr>
          <w:rFonts w:eastAsia="Times New Roman" w:cstheme="minorHAnsi"/>
          <w:sz w:val="21"/>
          <w:szCs w:val="21"/>
          <w:lang w:eastAsia="en-GB"/>
        </w:rPr>
        <w:t xml:space="preserve">licing as a central strategy </w:t>
      </w:r>
      <w:r w:rsidR="00833E97">
        <w:rPr>
          <w:rFonts w:eastAsia="Times New Roman" w:cstheme="minorHAnsi"/>
          <w:sz w:val="21"/>
          <w:szCs w:val="21"/>
          <w:lang w:eastAsia="en-GB"/>
        </w:rPr>
        <w:t>for a</w:t>
      </w:r>
      <w:r w:rsidR="00D17CEA">
        <w:rPr>
          <w:rFonts w:eastAsia="Times New Roman" w:cstheme="minorHAnsi"/>
          <w:sz w:val="21"/>
          <w:szCs w:val="21"/>
          <w:lang w:eastAsia="en-GB"/>
        </w:rPr>
        <w:t xml:space="preserve"> visible and responsive presence. </w:t>
      </w:r>
    </w:p>
    <w:p w14:paraId="2B6EBC8E" w14:textId="77777777" w:rsidR="002D431F" w:rsidRDefault="002D431F" w:rsidP="00666BB4">
      <w:pPr>
        <w:spacing w:before="100" w:beforeAutospacing="1" w:after="100" w:afterAutospacing="1" w:line="240" w:lineRule="auto"/>
        <w:rPr>
          <w:rFonts w:eastAsia="Times New Roman" w:cstheme="minorHAnsi"/>
          <w:sz w:val="21"/>
          <w:szCs w:val="21"/>
          <w:u w:val="single"/>
          <w:lang w:eastAsia="en-GB"/>
        </w:rPr>
      </w:pPr>
    </w:p>
    <w:p w14:paraId="2557C995" w14:textId="77777777" w:rsidR="002D431F" w:rsidRDefault="002D431F" w:rsidP="00666BB4">
      <w:pPr>
        <w:spacing w:before="100" w:beforeAutospacing="1" w:after="100" w:afterAutospacing="1" w:line="240" w:lineRule="auto"/>
        <w:rPr>
          <w:rFonts w:eastAsia="Times New Roman" w:cstheme="minorHAnsi"/>
          <w:sz w:val="21"/>
          <w:szCs w:val="21"/>
          <w:u w:val="single"/>
          <w:lang w:eastAsia="en-GB"/>
        </w:rPr>
      </w:pPr>
    </w:p>
    <w:p w14:paraId="4660F821" w14:textId="77777777" w:rsidR="002D431F" w:rsidRDefault="002D431F" w:rsidP="00666BB4">
      <w:pPr>
        <w:spacing w:before="100" w:beforeAutospacing="1" w:after="100" w:afterAutospacing="1" w:line="240" w:lineRule="auto"/>
        <w:rPr>
          <w:rFonts w:eastAsia="Times New Roman" w:cstheme="minorHAnsi"/>
          <w:sz w:val="21"/>
          <w:szCs w:val="21"/>
          <w:u w:val="single"/>
          <w:lang w:eastAsia="en-GB"/>
        </w:rPr>
      </w:pPr>
    </w:p>
    <w:p w14:paraId="70FB8002" w14:textId="77777777" w:rsidR="00D46D03" w:rsidRDefault="00D46D03" w:rsidP="00666BB4">
      <w:pPr>
        <w:spacing w:before="100" w:beforeAutospacing="1" w:after="100" w:afterAutospacing="1" w:line="240" w:lineRule="auto"/>
        <w:rPr>
          <w:rFonts w:eastAsia="Times New Roman" w:cstheme="minorHAnsi"/>
          <w:sz w:val="21"/>
          <w:szCs w:val="21"/>
          <w:u w:val="single"/>
          <w:lang w:eastAsia="en-GB"/>
        </w:rPr>
      </w:pPr>
    </w:p>
    <w:p w14:paraId="58943F93" w14:textId="52CBD6C7" w:rsidR="00924486" w:rsidRPr="00D46D03" w:rsidRDefault="00583C0B" w:rsidP="00666BB4">
      <w:pPr>
        <w:spacing w:before="100" w:beforeAutospacing="1" w:after="100" w:afterAutospacing="1" w:line="240" w:lineRule="auto"/>
        <w:rPr>
          <w:rFonts w:eastAsia="Times New Roman" w:cstheme="minorHAnsi"/>
          <w:b/>
          <w:bCs/>
          <w:sz w:val="21"/>
          <w:szCs w:val="21"/>
          <w:u w:val="single"/>
          <w:lang w:eastAsia="en-GB"/>
        </w:rPr>
      </w:pPr>
      <w:r w:rsidRPr="00D46D03">
        <w:rPr>
          <w:rFonts w:eastAsia="Times New Roman" w:cstheme="minorHAnsi"/>
          <w:b/>
          <w:bCs/>
          <w:sz w:val="21"/>
          <w:szCs w:val="21"/>
          <w:u w:val="single"/>
          <w:lang w:eastAsia="en-GB"/>
        </w:rPr>
        <w:lastRenderedPageBreak/>
        <w:t>Gaps in research</w:t>
      </w:r>
    </w:p>
    <w:p w14:paraId="0671F7BF" w14:textId="3C0065EC" w:rsidR="00E53006" w:rsidRPr="003C6B24" w:rsidRDefault="00E53006" w:rsidP="00666BB4">
      <w:pPr>
        <w:spacing w:before="100" w:beforeAutospacing="1" w:after="100" w:afterAutospacing="1" w:line="240" w:lineRule="auto"/>
        <w:rPr>
          <w:rFonts w:eastAsia="Times New Roman" w:cstheme="minorHAnsi"/>
          <w:sz w:val="21"/>
          <w:szCs w:val="21"/>
          <w:lang w:eastAsia="en-GB"/>
        </w:rPr>
      </w:pPr>
      <w:r w:rsidRPr="003C6B24">
        <w:rPr>
          <w:rFonts w:eastAsia="Times New Roman" w:cstheme="minorHAnsi"/>
          <w:sz w:val="21"/>
          <w:szCs w:val="21"/>
          <w:lang w:eastAsia="en-GB"/>
        </w:rPr>
        <w:t xml:space="preserve">In a report published by (Science) it found that in a </w:t>
      </w:r>
      <w:r w:rsidR="00804459" w:rsidRPr="003C6B24">
        <w:rPr>
          <w:rFonts w:eastAsia="Times New Roman" w:cstheme="minorHAnsi"/>
          <w:sz w:val="21"/>
          <w:szCs w:val="21"/>
          <w:lang w:eastAsia="en-GB"/>
        </w:rPr>
        <w:t>large-scale</w:t>
      </w:r>
      <w:r w:rsidRPr="003C6B24">
        <w:rPr>
          <w:rFonts w:eastAsia="Times New Roman" w:cstheme="minorHAnsi"/>
          <w:sz w:val="21"/>
          <w:szCs w:val="21"/>
          <w:lang w:eastAsia="en-GB"/>
        </w:rPr>
        <w:t xml:space="preserve"> study across six countries community policing initiatives did not significantly improve public trust or reduce crime rates. From </w:t>
      </w:r>
      <w:r w:rsidR="00804459" w:rsidRPr="003C6B24">
        <w:rPr>
          <w:rFonts w:eastAsia="Times New Roman" w:cstheme="minorHAnsi"/>
          <w:sz w:val="21"/>
          <w:szCs w:val="21"/>
          <w:lang w:eastAsia="en-GB"/>
        </w:rPr>
        <w:t>this</w:t>
      </w:r>
      <w:r w:rsidRPr="003C6B24">
        <w:rPr>
          <w:rFonts w:eastAsia="Times New Roman" w:cstheme="minorHAnsi"/>
          <w:sz w:val="21"/>
          <w:szCs w:val="21"/>
          <w:lang w:eastAsia="en-GB"/>
        </w:rPr>
        <w:t xml:space="preserve"> research, it highlights the need </w:t>
      </w:r>
      <w:r w:rsidR="00804459" w:rsidRPr="003C6B24">
        <w:rPr>
          <w:rFonts w:eastAsia="Times New Roman" w:cstheme="minorHAnsi"/>
          <w:sz w:val="21"/>
          <w:szCs w:val="21"/>
          <w:lang w:eastAsia="en-GB"/>
        </w:rPr>
        <w:t>for</w:t>
      </w:r>
      <w:r w:rsidRPr="003C6B24">
        <w:rPr>
          <w:rFonts w:eastAsia="Times New Roman" w:cstheme="minorHAnsi"/>
          <w:sz w:val="21"/>
          <w:szCs w:val="21"/>
          <w:lang w:eastAsia="en-GB"/>
        </w:rPr>
        <w:t xml:space="preserve"> context -specific adaptions and caution against a one size fits all approach.</w:t>
      </w:r>
      <w:r w:rsidRPr="003C6B24">
        <w:rPr>
          <w:rFonts w:cstheme="minorHAnsi"/>
          <w:sz w:val="21"/>
          <w:szCs w:val="21"/>
        </w:rPr>
        <w:t xml:space="preserve"> </w:t>
      </w:r>
      <w:sdt>
        <w:sdtPr>
          <w:rPr>
            <w:rFonts w:cstheme="minorHAnsi"/>
            <w:sz w:val="21"/>
            <w:szCs w:val="21"/>
          </w:rPr>
          <w:id w:val="-1820420279"/>
          <w:citation/>
        </w:sdtPr>
        <w:sdtContent>
          <w:r w:rsidR="00A75796">
            <w:rPr>
              <w:rFonts w:cstheme="minorHAnsi"/>
              <w:sz w:val="21"/>
              <w:szCs w:val="21"/>
            </w:rPr>
            <w:fldChar w:fldCharType="begin"/>
          </w:r>
          <w:r w:rsidR="00A75796">
            <w:rPr>
              <w:rFonts w:cstheme="minorHAnsi"/>
              <w:sz w:val="21"/>
              <w:szCs w:val="21"/>
            </w:rPr>
            <w:instrText xml:space="preserve"> CITATION Gra21 \l 2057 </w:instrText>
          </w:r>
          <w:r w:rsidR="00A75796">
            <w:rPr>
              <w:rFonts w:cstheme="minorHAnsi"/>
              <w:sz w:val="21"/>
              <w:szCs w:val="21"/>
            </w:rPr>
            <w:fldChar w:fldCharType="separate"/>
          </w:r>
          <w:r w:rsidR="00A75796" w:rsidRPr="00A75796">
            <w:rPr>
              <w:rFonts w:cstheme="minorHAnsi"/>
              <w:noProof/>
              <w:sz w:val="21"/>
              <w:szCs w:val="21"/>
            </w:rPr>
            <w:t>(Blair, 2021)</w:t>
          </w:r>
          <w:r w:rsidR="00A75796">
            <w:rPr>
              <w:rFonts w:cstheme="minorHAnsi"/>
              <w:sz w:val="21"/>
              <w:szCs w:val="21"/>
            </w:rPr>
            <w:fldChar w:fldCharType="end"/>
          </w:r>
        </w:sdtContent>
      </w:sdt>
    </w:p>
    <w:p w14:paraId="7409743B" w14:textId="225DD9DB" w:rsidR="001B3AB4" w:rsidRPr="003C6B24" w:rsidRDefault="001B3AB4" w:rsidP="00666BB4">
      <w:pPr>
        <w:spacing w:before="100" w:beforeAutospacing="1" w:after="100" w:afterAutospacing="1" w:line="240" w:lineRule="auto"/>
        <w:rPr>
          <w:rFonts w:eastAsia="Times New Roman" w:cstheme="minorHAnsi"/>
          <w:sz w:val="21"/>
          <w:szCs w:val="21"/>
          <w:lang w:eastAsia="en-GB"/>
        </w:rPr>
      </w:pPr>
      <w:r w:rsidRPr="003C6B24">
        <w:rPr>
          <w:rFonts w:eastAsia="Times New Roman" w:cstheme="minorHAnsi"/>
          <w:sz w:val="21"/>
          <w:szCs w:val="21"/>
          <w:lang w:eastAsia="en-GB"/>
        </w:rPr>
        <w:t>In the Annual report by HMICFRS (2023) found that a lack of data and evaluation in neighbourhood policing efforts suggesting that without proper assessment, it's challenging to determine the effectiveness of community policing strategies.</w:t>
      </w:r>
      <w:r w:rsidRPr="003C6B24">
        <w:rPr>
          <w:rFonts w:cstheme="minorHAnsi"/>
          <w:sz w:val="21"/>
          <w:szCs w:val="21"/>
        </w:rPr>
        <w:t xml:space="preserve"> </w:t>
      </w:r>
      <w:sdt>
        <w:sdtPr>
          <w:rPr>
            <w:rFonts w:cstheme="minorHAnsi"/>
            <w:sz w:val="21"/>
            <w:szCs w:val="21"/>
          </w:rPr>
          <w:id w:val="-1250880117"/>
          <w:citation/>
        </w:sdtPr>
        <w:sdtContent>
          <w:r w:rsidR="00A75796">
            <w:rPr>
              <w:rFonts w:cstheme="minorHAnsi"/>
              <w:sz w:val="21"/>
              <w:szCs w:val="21"/>
            </w:rPr>
            <w:fldChar w:fldCharType="begin"/>
          </w:r>
          <w:r w:rsidR="00A75796">
            <w:rPr>
              <w:rFonts w:cstheme="minorHAnsi"/>
              <w:sz w:val="21"/>
              <w:szCs w:val="21"/>
            </w:rPr>
            <w:instrText xml:space="preserve"> CITATION His24 \l 2057 </w:instrText>
          </w:r>
          <w:r w:rsidR="00A75796">
            <w:rPr>
              <w:rFonts w:cstheme="minorHAnsi"/>
              <w:sz w:val="21"/>
              <w:szCs w:val="21"/>
            </w:rPr>
            <w:fldChar w:fldCharType="separate"/>
          </w:r>
          <w:r w:rsidR="00A75796" w:rsidRPr="00A75796">
            <w:rPr>
              <w:rFonts w:cstheme="minorHAnsi"/>
              <w:noProof/>
              <w:sz w:val="21"/>
              <w:szCs w:val="21"/>
            </w:rPr>
            <w:t>(Services, 2024)</w:t>
          </w:r>
          <w:r w:rsidR="00A75796">
            <w:rPr>
              <w:rFonts w:cstheme="minorHAnsi"/>
              <w:sz w:val="21"/>
              <w:szCs w:val="21"/>
            </w:rPr>
            <w:fldChar w:fldCharType="end"/>
          </w:r>
        </w:sdtContent>
      </w:sdt>
      <w:r w:rsidR="00A75796">
        <w:t xml:space="preserve">. </w:t>
      </w:r>
      <w:r w:rsidRPr="003C6B24">
        <w:rPr>
          <w:rFonts w:eastAsia="Times New Roman" w:cstheme="minorHAnsi"/>
          <w:sz w:val="21"/>
          <w:szCs w:val="21"/>
          <w:lang w:eastAsia="en-GB"/>
        </w:rPr>
        <w:t xml:space="preserve"> </w:t>
      </w:r>
    </w:p>
    <w:p w14:paraId="3B801656" w14:textId="33C14470" w:rsidR="00804459" w:rsidRPr="00804459" w:rsidRDefault="00182759" w:rsidP="00833E97">
      <w:pPr>
        <w:spacing w:before="100" w:beforeAutospacing="1" w:after="100" w:afterAutospacing="1" w:line="240" w:lineRule="auto"/>
        <w:rPr>
          <w:rFonts w:ascii="Times New Roman" w:eastAsia="Times New Roman" w:hAnsi="Times New Roman" w:cs="Times New Roman"/>
          <w:sz w:val="24"/>
          <w:szCs w:val="24"/>
          <w:lang w:eastAsia="en-GB"/>
        </w:rPr>
      </w:pPr>
      <w:r w:rsidRPr="003C6B24">
        <w:rPr>
          <w:rFonts w:eastAsia="Times New Roman" w:cstheme="minorHAnsi"/>
          <w:sz w:val="21"/>
          <w:szCs w:val="21"/>
          <w:lang w:eastAsia="en-GB"/>
        </w:rPr>
        <w:t xml:space="preserve">The South Wales </w:t>
      </w:r>
      <w:r w:rsidR="00192B54" w:rsidRPr="003C6B24">
        <w:rPr>
          <w:rFonts w:eastAsia="Times New Roman" w:cstheme="minorHAnsi"/>
          <w:sz w:val="21"/>
          <w:szCs w:val="21"/>
          <w:lang w:eastAsia="en-GB"/>
        </w:rPr>
        <w:t>Police and Crime Plan 2023-</w:t>
      </w:r>
      <w:r w:rsidR="00804459" w:rsidRPr="003C6B24">
        <w:rPr>
          <w:rFonts w:eastAsia="Times New Roman" w:cstheme="minorHAnsi"/>
          <w:sz w:val="21"/>
          <w:szCs w:val="21"/>
          <w:lang w:eastAsia="en-GB"/>
        </w:rPr>
        <w:t>2027 outlines</w:t>
      </w:r>
      <w:r w:rsidRPr="003C6B24">
        <w:rPr>
          <w:rFonts w:eastAsia="Times New Roman" w:cstheme="minorHAnsi"/>
          <w:sz w:val="21"/>
          <w:szCs w:val="21"/>
          <w:lang w:eastAsia="en-GB"/>
        </w:rPr>
        <w:t xml:space="preserve"> a commitment to fostering safe and confident communities through community engagement initiatives. </w:t>
      </w:r>
      <w:r w:rsidR="00192B54" w:rsidRPr="003C6B24">
        <w:rPr>
          <w:rFonts w:eastAsia="Times New Roman" w:cstheme="minorHAnsi"/>
          <w:sz w:val="21"/>
          <w:szCs w:val="21"/>
          <w:lang w:eastAsia="en-GB"/>
        </w:rPr>
        <w:t xml:space="preserve">While the plan emphasises community engagement there is a lack of comprehensive evaluation </w:t>
      </w:r>
      <w:r w:rsidRPr="003C6B24">
        <w:rPr>
          <w:rFonts w:eastAsia="Times New Roman" w:cstheme="minorHAnsi"/>
          <w:sz w:val="21"/>
          <w:szCs w:val="21"/>
          <w:lang w:eastAsia="en-GB"/>
        </w:rPr>
        <w:t xml:space="preserve">to </w:t>
      </w:r>
      <w:r w:rsidR="00192B54" w:rsidRPr="003C6B24">
        <w:rPr>
          <w:rFonts w:eastAsia="Times New Roman" w:cstheme="minorHAnsi"/>
          <w:sz w:val="21"/>
          <w:szCs w:val="21"/>
          <w:lang w:eastAsia="en-GB"/>
        </w:rPr>
        <w:t xml:space="preserve">assess specific strategies. In </w:t>
      </w:r>
      <w:r w:rsidRPr="003C6B24">
        <w:rPr>
          <w:rFonts w:eastAsia="Times New Roman" w:cstheme="minorHAnsi"/>
          <w:sz w:val="21"/>
          <w:szCs w:val="21"/>
          <w:lang w:eastAsia="en-GB"/>
        </w:rPr>
        <w:t xml:space="preserve">initiatives such as South Wales listens impact assessments are in place but the impact on community trust and crime reduction has not been thoroughly studied. </w:t>
      </w:r>
      <w:r w:rsidR="003C6B24" w:rsidRPr="003C6B24">
        <w:rPr>
          <w:rFonts w:eastAsia="Times New Roman" w:cstheme="minorHAnsi"/>
          <w:sz w:val="21"/>
          <w:szCs w:val="21"/>
          <w:lang w:eastAsia="en-GB"/>
        </w:rPr>
        <w:t xml:space="preserve"> These gaps in this research may impede the effective implementation and evaluation of </w:t>
      </w:r>
      <w:r w:rsidR="009E2BAD" w:rsidRPr="003C6B24">
        <w:rPr>
          <w:rFonts w:eastAsia="Times New Roman" w:cstheme="minorHAnsi"/>
          <w:sz w:val="21"/>
          <w:szCs w:val="21"/>
          <w:lang w:eastAsia="en-GB"/>
        </w:rPr>
        <w:t>these initiatives</w:t>
      </w:r>
      <w:r w:rsidR="003C6B24" w:rsidRPr="003C6B24">
        <w:rPr>
          <w:rFonts w:eastAsia="Times New Roman" w:cstheme="minorHAnsi"/>
          <w:sz w:val="21"/>
          <w:szCs w:val="21"/>
          <w:lang w:eastAsia="en-GB"/>
        </w:rPr>
        <w:t>.</w:t>
      </w:r>
    </w:p>
    <w:p w14:paraId="5342F681" w14:textId="5FA56C81" w:rsidR="00804459" w:rsidRPr="009E2BAD" w:rsidRDefault="00804459" w:rsidP="00833E97">
      <w:pPr>
        <w:spacing w:before="100" w:beforeAutospacing="1" w:after="100" w:afterAutospacing="1" w:line="240" w:lineRule="auto"/>
        <w:rPr>
          <w:rFonts w:eastAsia="Times New Roman" w:cstheme="minorHAnsi"/>
          <w:sz w:val="21"/>
          <w:szCs w:val="21"/>
          <w:lang w:eastAsia="en-GB"/>
        </w:rPr>
      </w:pPr>
      <w:r w:rsidRPr="009E2BAD">
        <w:rPr>
          <w:rFonts w:eastAsia="Times New Roman" w:cstheme="minorHAnsi"/>
          <w:sz w:val="21"/>
          <w:szCs w:val="21"/>
          <w:lang w:eastAsia="en-GB"/>
        </w:rPr>
        <w:t xml:space="preserve">Efforts have been made to engage diverse communities, including initiatives like the 'Young Voices Conversation'. Nonetheless, challenges persist in reaching certain groups, such as rural populations and minority ethnic communities, due to factors like outdated population data and limited tailored outreach programs. </w:t>
      </w:r>
      <w:sdt>
        <w:sdtPr>
          <w:rPr>
            <w:rFonts w:eastAsia="Times New Roman" w:cstheme="minorHAnsi"/>
            <w:sz w:val="21"/>
            <w:szCs w:val="21"/>
            <w:lang w:eastAsia="en-GB"/>
          </w:rPr>
          <w:id w:val="-571270811"/>
          <w:citation/>
        </w:sdtPr>
        <w:sdtContent>
          <w:r w:rsidR="00A75796">
            <w:rPr>
              <w:rFonts w:eastAsia="Times New Roman" w:cstheme="minorHAnsi"/>
              <w:sz w:val="21"/>
              <w:szCs w:val="21"/>
              <w:lang w:eastAsia="en-GB"/>
            </w:rPr>
            <w:fldChar w:fldCharType="begin"/>
          </w:r>
          <w:r w:rsidR="00A75796">
            <w:rPr>
              <w:rFonts w:eastAsia="Times New Roman" w:cstheme="minorHAnsi"/>
              <w:sz w:val="21"/>
              <w:szCs w:val="21"/>
              <w:lang w:eastAsia="en-GB"/>
            </w:rPr>
            <w:instrText xml:space="preserve"> CITATION Ser22 \l 2057 </w:instrText>
          </w:r>
          <w:r w:rsidR="00A75796">
            <w:rPr>
              <w:rFonts w:eastAsia="Times New Roman" w:cstheme="minorHAnsi"/>
              <w:sz w:val="21"/>
              <w:szCs w:val="21"/>
              <w:lang w:eastAsia="en-GB"/>
            </w:rPr>
            <w:fldChar w:fldCharType="separate"/>
          </w:r>
          <w:r w:rsidR="00A75796" w:rsidRPr="00A75796">
            <w:rPr>
              <w:rFonts w:eastAsia="Times New Roman" w:cstheme="minorHAnsi"/>
              <w:noProof/>
              <w:sz w:val="21"/>
              <w:szCs w:val="21"/>
              <w:lang w:eastAsia="en-GB"/>
            </w:rPr>
            <w:t>(Services, 2022)</w:t>
          </w:r>
          <w:r w:rsidR="00A75796">
            <w:rPr>
              <w:rFonts w:eastAsia="Times New Roman" w:cstheme="minorHAnsi"/>
              <w:sz w:val="21"/>
              <w:szCs w:val="21"/>
              <w:lang w:eastAsia="en-GB"/>
            </w:rPr>
            <w:fldChar w:fldCharType="end"/>
          </w:r>
        </w:sdtContent>
      </w:sdt>
      <w:r w:rsidR="00A75796">
        <w:rPr>
          <w:rFonts w:eastAsia="Times New Roman" w:cstheme="minorHAnsi"/>
          <w:sz w:val="21"/>
          <w:szCs w:val="21"/>
          <w:lang w:eastAsia="en-GB"/>
        </w:rPr>
        <w:t xml:space="preserve">. </w:t>
      </w:r>
    </w:p>
    <w:p w14:paraId="4AF7964B" w14:textId="1981BA3D" w:rsidR="00804459" w:rsidRPr="009E2BAD" w:rsidRDefault="00804459" w:rsidP="00833E97">
      <w:pPr>
        <w:spacing w:before="100" w:beforeAutospacing="1" w:after="100" w:afterAutospacing="1" w:line="240" w:lineRule="auto"/>
        <w:rPr>
          <w:rFonts w:eastAsia="Times New Roman" w:cstheme="minorHAnsi"/>
          <w:sz w:val="21"/>
          <w:szCs w:val="21"/>
          <w:lang w:eastAsia="en-GB"/>
        </w:rPr>
      </w:pPr>
      <w:r w:rsidRPr="009E2BAD">
        <w:rPr>
          <w:rFonts w:eastAsia="Times New Roman" w:cstheme="minorHAnsi"/>
          <w:sz w:val="21"/>
          <w:szCs w:val="21"/>
          <w:lang w:eastAsia="en-GB"/>
        </w:rPr>
        <w:t>Volunteer initiatives, including the police youth-volunteers scheme and community safety partnerships, play a role in community engagement. Yet, there is limited research on the long-term sustainability and impact of these programs, particularly concerning volunteer retention and community outcomes.</w:t>
      </w:r>
      <w:r w:rsidR="00A75796">
        <w:rPr>
          <w:rFonts w:eastAsia="Times New Roman" w:cstheme="minorHAnsi"/>
          <w:sz w:val="21"/>
          <w:szCs w:val="21"/>
          <w:lang w:eastAsia="en-GB"/>
        </w:rPr>
        <w:t xml:space="preserve"> </w:t>
      </w:r>
      <w:r w:rsidRPr="009E2BAD">
        <w:rPr>
          <w:rFonts w:eastAsia="Times New Roman" w:cstheme="minorHAnsi"/>
          <w:sz w:val="21"/>
          <w:szCs w:val="21"/>
          <w:lang w:eastAsia="en-GB"/>
        </w:rPr>
        <w:t xml:space="preserve"> </w:t>
      </w:r>
      <w:sdt>
        <w:sdtPr>
          <w:rPr>
            <w:rFonts w:eastAsia="Times New Roman" w:cstheme="minorHAnsi"/>
            <w:sz w:val="21"/>
            <w:szCs w:val="21"/>
            <w:lang w:eastAsia="en-GB"/>
          </w:rPr>
          <w:id w:val="-1730455340"/>
          <w:citation/>
        </w:sdtPr>
        <w:sdtContent>
          <w:r w:rsidR="00A75796">
            <w:rPr>
              <w:rFonts w:eastAsia="Times New Roman" w:cstheme="minorHAnsi"/>
              <w:sz w:val="21"/>
              <w:szCs w:val="21"/>
              <w:lang w:eastAsia="en-GB"/>
            </w:rPr>
            <w:fldChar w:fldCharType="begin"/>
          </w:r>
          <w:r w:rsidR="00A75796">
            <w:rPr>
              <w:rFonts w:eastAsia="Times New Roman" w:cstheme="minorHAnsi"/>
              <w:sz w:val="21"/>
              <w:szCs w:val="21"/>
              <w:lang w:eastAsia="en-GB"/>
            </w:rPr>
            <w:instrText xml:space="preserve"> CITATION Ser22 \l 2057 </w:instrText>
          </w:r>
          <w:r w:rsidR="00A75796">
            <w:rPr>
              <w:rFonts w:eastAsia="Times New Roman" w:cstheme="minorHAnsi"/>
              <w:sz w:val="21"/>
              <w:szCs w:val="21"/>
              <w:lang w:eastAsia="en-GB"/>
            </w:rPr>
            <w:fldChar w:fldCharType="separate"/>
          </w:r>
          <w:r w:rsidR="00A75796" w:rsidRPr="00A75796">
            <w:rPr>
              <w:rFonts w:eastAsia="Times New Roman" w:cstheme="minorHAnsi"/>
              <w:noProof/>
              <w:sz w:val="21"/>
              <w:szCs w:val="21"/>
              <w:lang w:eastAsia="en-GB"/>
            </w:rPr>
            <w:t>(Services, 2022)</w:t>
          </w:r>
          <w:r w:rsidR="00A75796">
            <w:rPr>
              <w:rFonts w:eastAsia="Times New Roman" w:cstheme="minorHAnsi"/>
              <w:sz w:val="21"/>
              <w:szCs w:val="21"/>
              <w:lang w:eastAsia="en-GB"/>
            </w:rPr>
            <w:fldChar w:fldCharType="end"/>
          </w:r>
        </w:sdtContent>
      </w:sdt>
      <w:r w:rsidR="00A75796">
        <w:rPr>
          <w:rFonts w:eastAsia="Times New Roman" w:cstheme="minorHAnsi"/>
          <w:sz w:val="21"/>
          <w:szCs w:val="21"/>
          <w:lang w:eastAsia="en-GB"/>
        </w:rPr>
        <w:t xml:space="preserve">. </w:t>
      </w:r>
    </w:p>
    <w:p w14:paraId="5FC63DEF" w14:textId="29E6B33D" w:rsidR="00804459" w:rsidRPr="009E2BAD" w:rsidRDefault="00804459" w:rsidP="00833E97">
      <w:pPr>
        <w:spacing w:before="100" w:beforeAutospacing="1" w:after="100" w:afterAutospacing="1" w:line="240" w:lineRule="auto"/>
        <w:rPr>
          <w:rFonts w:eastAsia="Times New Roman" w:cstheme="minorHAnsi"/>
          <w:sz w:val="21"/>
          <w:szCs w:val="21"/>
          <w:lang w:eastAsia="en-GB"/>
        </w:rPr>
      </w:pPr>
      <w:r w:rsidRPr="009E2BAD">
        <w:rPr>
          <w:rFonts w:eastAsia="Times New Roman" w:cstheme="minorHAnsi"/>
          <w:sz w:val="21"/>
          <w:szCs w:val="21"/>
          <w:lang w:eastAsia="en-GB"/>
        </w:rPr>
        <w:t xml:space="preserve">The plan highlights the importance of community feedback in shaping policing priorities. However, there is a need for more robust systems to ensure that community input is systematically collected, analysed, and integrated into policy development and operational practices. </w:t>
      </w:r>
    </w:p>
    <w:p w14:paraId="017975DE" w14:textId="517A97DB" w:rsidR="00FF2930" w:rsidRPr="003C6B24" w:rsidRDefault="001B3AB4" w:rsidP="00D17CEA">
      <w:pPr>
        <w:spacing w:before="100" w:beforeAutospacing="1" w:after="100" w:afterAutospacing="1" w:line="240" w:lineRule="auto"/>
        <w:rPr>
          <w:rFonts w:eastAsia="Times New Roman" w:cstheme="minorHAnsi"/>
          <w:sz w:val="21"/>
          <w:szCs w:val="21"/>
          <w:lang w:eastAsia="en-GB"/>
        </w:rPr>
      </w:pPr>
      <w:r w:rsidRPr="003C6B24">
        <w:rPr>
          <w:rFonts w:eastAsia="Times New Roman" w:cstheme="minorHAnsi"/>
          <w:sz w:val="21"/>
          <w:szCs w:val="21"/>
          <w:lang w:eastAsia="en-GB"/>
        </w:rPr>
        <w:t>These sources collectively emphasize the importance of context-specific research, the need for robust evaluation mechanisms, and the inclusion of both community and officer perspectives in shaping effective community policing strategies.</w:t>
      </w:r>
    </w:p>
    <w:p w14:paraId="00CD0299" w14:textId="1711BCBB" w:rsidR="00FF2930" w:rsidRPr="00D46D03" w:rsidRDefault="00FF2930" w:rsidP="00FF2930">
      <w:pPr>
        <w:pStyle w:val="Heading1"/>
        <w:rPr>
          <w:rFonts w:asciiTheme="minorHAnsi" w:hAnsiTheme="minorHAnsi" w:cstheme="minorHAnsi"/>
          <w:b/>
          <w:bCs/>
          <w:color w:val="000000" w:themeColor="text1"/>
          <w:sz w:val="21"/>
          <w:szCs w:val="21"/>
          <w:u w:val="single"/>
        </w:rPr>
      </w:pPr>
      <w:r w:rsidRPr="00D46D03">
        <w:rPr>
          <w:rFonts w:asciiTheme="minorHAnsi" w:hAnsiTheme="minorHAnsi" w:cstheme="minorHAnsi"/>
          <w:b/>
          <w:bCs/>
          <w:color w:val="000000" w:themeColor="text1"/>
          <w:sz w:val="21"/>
          <w:szCs w:val="21"/>
          <w:u w:val="single"/>
        </w:rPr>
        <w:t>Conclusion</w:t>
      </w:r>
      <w:bookmarkEnd w:id="0"/>
    </w:p>
    <w:p w14:paraId="3B9BF182" w14:textId="2461A819" w:rsidR="00FF2930" w:rsidRDefault="00FF2930" w:rsidP="00FF2930">
      <w:pPr>
        <w:rPr>
          <w:rFonts w:cstheme="minorHAnsi"/>
          <w:sz w:val="21"/>
          <w:szCs w:val="21"/>
        </w:rPr>
      </w:pPr>
      <w:r w:rsidRPr="003C6B24">
        <w:rPr>
          <w:rFonts w:cstheme="minorHAnsi"/>
          <w:sz w:val="21"/>
          <w:szCs w:val="21"/>
        </w:rPr>
        <w:t xml:space="preserve">In conclusion, this literature review </w:t>
      </w:r>
      <w:r w:rsidR="0097538B" w:rsidRPr="003C6B24">
        <w:rPr>
          <w:rFonts w:cstheme="minorHAnsi"/>
          <w:sz w:val="21"/>
          <w:szCs w:val="21"/>
        </w:rPr>
        <w:t>has examined</w:t>
      </w:r>
      <w:r w:rsidRPr="003C6B24">
        <w:rPr>
          <w:rFonts w:cstheme="minorHAnsi"/>
          <w:sz w:val="21"/>
          <w:szCs w:val="21"/>
        </w:rPr>
        <w:t xml:space="preserve"> the existing body of research surrounding the importance of community engagement with the police. </w:t>
      </w:r>
      <w:r w:rsidR="00A85E24" w:rsidRPr="003C6B24">
        <w:rPr>
          <w:rFonts w:cstheme="minorHAnsi"/>
          <w:sz w:val="21"/>
          <w:szCs w:val="21"/>
        </w:rPr>
        <w:t xml:space="preserve">There is a lack of focused evaluation on informal, </w:t>
      </w:r>
      <w:r w:rsidR="00924486" w:rsidRPr="003C6B24">
        <w:rPr>
          <w:rFonts w:cstheme="minorHAnsi"/>
          <w:sz w:val="21"/>
          <w:szCs w:val="21"/>
        </w:rPr>
        <w:t>dialogue-based</w:t>
      </w:r>
      <w:r w:rsidR="00A85E24" w:rsidRPr="003C6B24">
        <w:rPr>
          <w:rFonts w:cstheme="minorHAnsi"/>
          <w:sz w:val="21"/>
          <w:szCs w:val="21"/>
        </w:rPr>
        <w:t xml:space="preserve"> approaches such as Cuppa with a </w:t>
      </w:r>
      <w:r w:rsidR="0097538B" w:rsidRPr="003C6B24">
        <w:rPr>
          <w:rFonts w:cstheme="minorHAnsi"/>
          <w:sz w:val="21"/>
          <w:szCs w:val="21"/>
        </w:rPr>
        <w:t>Copper and</w:t>
      </w:r>
      <w:r w:rsidR="00A85E24" w:rsidRPr="003C6B24">
        <w:rPr>
          <w:rFonts w:cstheme="minorHAnsi"/>
          <w:sz w:val="21"/>
          <w:szCs w:val="21"/>
        </w:rPr>
        <w:t xml:space="preserve"> although these initiatives are under pinned by the principles of trust building, </w:t>
      </w:r>
      <w:r w:rsidR="00D17CEA" w:rsidRPr="003C6B24">
        <w:rPr>
          <w:rFonts w:cstheme="minorHAnsi"/>
          <w:sz w:val="21"/>
          <w:szCs w:val="21"/>
        </w:rPr>
        <w:t>transparency,</w:t>
      </w:r>
      <w:r w:rsidR="00A85E24" w:rsidRPr="003C6B24">
        <w:rPr>
          <w:rFonts w:cstheme="minorHAnsi"/>
          <w:sz w:val="21"/>
          <w:szCs w:val="21"/>
        </w:rPr>
        <w:t xml:space="preserve"> and co-operation there remains a need for </w:t>
      </w:r>
      <w:r w:rsidR="00D17CEA" w:rsidRPr="003C6B24">
        <w:rPr>
          <w:rFonts w:cstheme="minorHAnsi"/>
          <w:sz w:val="21"/>
          <w:szCs w:val="21"/>
        </w:rPr>
        <w:t>evidence-based</w:t>
      </w:r>
      <w:r w:rsidR="00A85E24" w:rsidRPr="003C6B24">
        <w:rPr>
          <w:rFonts w:cstheme="minorHAnsi"/>
          <w:sz w:val="21"/>
          <w:szCs w:val="21"/>
        </w:rPr>
        <w:t xml:space="preserve"> research to determine their impact. This research seeks to address this gap by examining the implementation and outcomes of the Cuppa with a Copper initiative within South wales Police contributing new </w:t>
      </w:r>
      <w:r w:rsidR="0097538B" w:rsidRPr="003C6B24">
        <w:rPr>
          <w:rFonts w:cstheme="minorHAnsi"/>
          <w:sz w:val="21"/>
          <w:szCs w:val="21"/>
        </w:rPr>
        <w:t>insights</w:t>
      </w:r>
      <w:r w:rsidR="00A85E24" w:rsidRPr="003C6B24">
        <w:rPr>
          <w:rFonts w:cstheme="minorHAnsi"/>
          <w:sz w:val="21"/>
          <w:szCs w:val="21"/>
        </w:rPr>
        <w:t xml:space="preserve"> into how informal engagement can influence public perceptions and strengthen police community relationships. This literature review has laid the groundwork for further exploration in this dissertation, which will seek to build on these findings through primary research, enabling a more detailed understanding of how local police initiatives can help with community engagement.</w:t>
      </w:r>
    </w:p>
    <w:p w14:paraId="1827898D" w14:textId="77777777" w:rsidR="00D46D03" w:rsidRDefault="00D46D03" w:rsidP="00FF2930">
      <w:pPr>
        <w:rPr>
          <w:rFonts w:cstheme="minorHAnsi"/>
          <w:sz w:val="21"/>
          <w:szCs w:val="21"/>
        </w:rPr>
      </w:pPr>
    </w:p>
    <w:p w14:paraId="5A4457C2" w14:textId="77777777" w:rsidR="00D46D03" w:rsidRDefault="00D46D03" w:rsidP="00FF2930">
      <w:pPr>
        <w:rPr>
          <w:rFonts w:cstheme="minorHAnsi"/>
          <w:sz w:val="21"/>
          <w:szCs w:val="21"/>
        </w:rPr>
      </w:pPr>
    </w:p>
    <w:p w14:paraId="7169C723" w14:textId="77777777" w:rsidR="00D46D03" w:rsidRDefault="00D46D03" w:rsidP="00FF2930">
      <w:pPr>
        <w:rPr>
          <w:rFonts w:cstheme="minorHAnsi"/>
          <w:sz w:val="21"/>
          <w:szCs w:val="21"/>
        </w:rPr>
      </w:pPr>
    </w:p>
    <w:sdt>
      <w:sdtPr>
        <w:id w:val="-355026"/>
        <w:docPartObj>
          <w:docPartGallery w:val="Bibliographies"/>
          <w:docPartUnique/>
        </w:docPartObj>
      </w:sdtPr>
      <w:sdtEndPr>
        <w:rPr>
          <w:rFonts w:asciiTheme="minorHAnsi" w:eastAsiaTheme="minorHAnsi" w:hAnsiTheme="minorHAnsi" w:cstheme="minorBidi"/>
          <w:color w:val="auto"/>
          <w:sz w:val="22"/>
          <w:szCs w:val="22"/>
        </w:rPr>
      </w:sdtEndPr>
      <w:sdtContent>
        <w:p w14:paraId="58B37CC9" w14:textId="39A4BD46" w:rsidR="00D46D03" w:rsidRPr="00D46D03" w:rsidRDefault="00D46D03">
          <w:pPr>
            <w:pStyle w:val="Heading1"/>
            <w:rPr>
              <w:b/>
              <w:bCs/>
              <w:color w:val="auto"/>
              <w:u w:val="single"/>
            </w:rPr>
          </w:pPr>
          <w:r w:rsidRPr="00D46D03">
            <w:rPr>
              <w:b/>
              <w:bCs/>
              <w:color w:val="auto"/>
              <w:u w:val="single"/>
            </w:rPr>
            <w:t>References</w:t>
          </w:r>
        </w:p>
        <w:sdt>
          <w:sdtPr>
            <w:id w:val="-573587230"/>
            <w:bibliography/>
          </w:sdtPr>
          <w:sdtContent>
            <w:p w14:paraId="5D8E84B6" w14:textId="77777777" w:rsidR="00D46D03" w:rsidRDefault="00D46D03" w:rsidP="00D46D03">
              <w:pPr>
                <w:pStyle w:val="Bibliography"/>
                <w:rPr>
                  <w:noProof/>
                  <w:sz w:val="24"/>
                  <w:szCs w:val="24"/>
                </w:rPr>
              </w:pPr>
              <w:r>
                <w:fldChar w:fldCharType="begin"/>
              </w:r>
              <w:r>
                <w:instrText xml:space="preserve"> BIBLIOGRAPHY </w:instrText>
              </w:r>
              <w:r>
                <w:fldChar w:fldCharType="separate"/>
              </w:r>
              <w:r>
                <w:rPr>
                  <w:noProof/>
                </w:rPr>
                <w:t xml:space="preserve">Blair, G., 2021. </w:t>
              </w:r>
              <w:r>
                <w:rPr>
                  <w:i/>
                  <w:iCs/>
                  <w:noProof/>
                </w:rPr>
                <w:t xml:space="preserve">Community policing does not build citizen trust in police or reduce crime in the Global South. </w:t>
              </w:r>
              <w:r>
                <w:rPr>
                  <w:noProof/>
                </w:rPr>
                <w:t xml:space="preserve">[Online] </w:t>
              </w:r>
              <w:r>
                <w:rPr>
                  <w:noProof/>
                </w:rPr>
                <w:br/>
                <w:t xml:space="preserve">Available at: </w:t>
              </w:r>
              <w:r>
                <w:rPr>
                  <w:noProof/>
                  <w:u w:val="single"/>
                </w:rPr>
                <w:t>https://www.science.org/doi/10.1126/science.abd3446?utm_source=chatgpt.com</w:t>
              </w:r>
              <w:r>
                <w:rPr>
                  <w:noProof/>
                </w:rPr>
                <w:br/>
                <w:t>[Accessed 10th April 2025 ].</w:t>
              </w:r>
            </w:p>
            <w:p w14:paraId="3F8628C9" w14:textId="77777777" w:rsidR="00D46D03" w:rsidRDefault="00D46D03" w:rsidP="00D46D03">
              <w:pPr>
                <w:pStyle w:val="Bibliography"/>
                <w:rPr>
                  <w:noProof/>
                </w:rPr>
              </w:pPr>
              <w:r>
                <w:rPr>
                  <w:noProof/>
                </w:rPr>
                <w:t xml:space="preserve">Cambridge, U. O., 2016. </w:t>
              </w:r>
              <w:r>
                <w:rPr>
                  <w:i/>
                  <w:iCs/>
                  <w:noProof/>
                </w:rPr>
                <w:t xml:space="preserve">Policing: Two officers 'on the beat' prevent 86 assaults and save thousands in prison costs. </w:t>
              </w:r>
              <w:r>
                <w:rPr>
                  <w:noProof/>
                </w:rPr>
                <w:t xml:space="preserve">[Online] </w:t>
              </w:r>
              <w:r>
                <w:rPr>
                  <w:noProof/>
                </w:rPr>
                <w:br/>
                <w:t xml:space="preserve">Available at: </w:t>
              </w:r>
              <w:r>
                <w:rPr>
                  <w:noProof/>
                  <w:u w:val="single"/>
                </w:rPr>
                <w:t>https://www.sciencedaily.com/releases/2016/06/160614083845.htm?utm_source=chatgpt.com</w:t>
              </w:r>
              <w:r>
                <w:rPr>
                  <w:noProof/>
                </w:rPr>
                <w:br/>
                <w:t>[Accessed 9th March 2025 ].</w:t>
              </w:r>
            </w:p>
            <w:p w14:paraId="18D78BBA" w14:textId="77777777" w:rsidR="00D46D03" w:rsidRDefault="00D46D03" w:rsidP="00D46D03">
              <w:pPr>
                <w:pStyle w:val="Bibliography"/>
                <w:rPr>
                  <w:noProof/>
                </w:rPr>
              </w:pPr>
              <w:r>
                <w:rPr>
                  <w:noProof/>
                </w:rPr>
                <w:t xml:space="preserve">College of Policing, 2013. </w:t>
              </w:r>
              <w:r>
                <w:rPr>
                  <w:i/>
                  <w:iCs/>
                  <w:noProof/>
                </w:rPr>
                <w:t xml:space="preserve">Engagement. </w:t>
              </w:r>
              <w:r>
                <w:rPr>
                  <w:noProof/>
                </w:rPr>
                <w:t xml:space="preserve">[Online] </w:t>
              </w:r>
              <w:r>
                <w:rPr>
                  <w:noProof/>
                </w:rPr>
                <w:br/>
                <w:t xml:space="preserve">Available at: </w:t>
              </w:r>
              <w:r>
                <w:rPr>
                  <w:noProof/>
                  <w:u w:val="single"/>
                </w:rPr>
                <w:t>https://www.college.police.uk/app/engagement-and-communication/engagement</w:t>
              </w:r>
              <w:r>
                <w:rPr>
                  <w:noProof/>
                </w:rPr>
                <w:br/>
                <w:t>[Accessed 20th March 2025 ].</w:t>
              </w:r>
            </w:p>
            <w:p w14:paraId="201816D8" w14:textId="77777777" w:rsidR="00D46D03" w:rsidRDefault="00D46D03" w:rsidP="00D46D03">
              <w:pPr>
                <w:pStyle w:val="Bibliography"/>
                <w:rPr>
                  <w:noProof/>
                </w:rPr>
              </w:pPr>
              <w:r>
                <w:rPr>
                  <w:noProof/>
                </w:rPr>
                <w:t xml:space="preserve">Conduct, I. O. F. P., 2023. </w:t>
              </w:r>
              <w:r>
                <w:rPr>
                  <w:i/>
                  <w:iCs/>
                  <w:noProof/>
                </w:rPr>
                <w:t xml:space="preserve">Communications and engagement strategy - 2023/27. </w:t>
              </w:r>
              <w:r>
                <w:rPr>
                  <w:noProof/>
                </w:rPr>
                <w:t xml:space="preserve">[Online] </w:t>
              </w:r>
              <w:r>
                <w:rPr>
                  <w:noProof/>
                </w:rPr>
                <w:br/>
                <w:t xml:space="preserve">Available at: </w:t>
              </w:r>
              <w:r>
                <w:rPr>
                  <w:noProof/>
                  <w:u w:val="single"/>
                </w:rPr>
                <w:t>https://www.policeconduct.gov.uk/publications/communications-and-engagement-strategy-202327</w:t>
              </w:r>
              <w:r>
                <w:rPr>
                  <w:noProof/>
                </w:rPr>
                <w:br/>
                <w:t>[Accessed 20th March 2025 ].</w:t>
              </w:r>
            </w:p>
            <w:p w14:paraId="57311FC1" w14:textId="77777777" w:rsidR="00D46D03" w:rsidRDefault="00D46D03" w:rsidP="00D46D03">
              <w:pPr>
                <w:pStyle w:val="Bibliography"/>
                <w:rPr>
                  <w:noProof/>
                </w:rPr>
              </w:pPr>
              <w:r>
                <w:rPr>
                  <w:noProof/>
                </w:rPr>
                <w:t xml:space="preserve">Farrell, C., 2024. </w:t>
              </w:r>
              <w:r>
                <w:rPr>
                  <w:i/>
                  <w:iCs/>
                  <w:noProof/>
                </w:rPr>
                <w:t xml:space="preserve">Policing &amp; Partnership Working – Why is this important. </w:t>
              </w:r>
              <w:r>
                <w:rPr>
                  <w:noProof/>
                </w:rPr>
                <w:t xml:space="preserve">[Online] </w:t>
              </w:r>
              <w:r>
                <w:rPr>
                  <w:noProof/>
                </w:rPr>
                <w:br/>
                <w:t xml:space="preserve">Available at: </w:t>
              </w:r>
              <w:r>
                <w:rPr>
                  <w:noProof/>
                  <w:u w:val="single"/>
                </w:rPr>
                <w:t>https://careersinblue.co.uk/partnership-working-why-is-this-important/</w:t>
              </w:r>
              <w:r>
                <w:rPr>
                  <w:noProof/>
                </w:rPr>
                <w:br/>
                <w:t>[Accessed 19th March 2025 ].</w:t>
              </w:r>
            </w:p>
            <w:p w14:paraId="129C0D4D" w14:textId="77777777" w:rsidR="00D46D03" w:rsidRDefault="00D46D03" w:rsidP="00D46D03">
              <w:pPr>
                <w:pStyle w:val="Bibliography"/>
                <w:rPr>
                  <w:noProof/>
                </w:rPr>
              </w:pPr>
              <w:r>
                <w:rPr>
                  <w:noProof/>
                </w:rPr>
                <w:t xml:space="preserve">Gov.UK, 2024. </w:t>
              </w:r>
              <w:r>
                <w:rPr>
                  <w:i/>
                  <w:iCs/>
                  <w:noProof/>
                </w:rPr>
                <w:t xml:space="preserve">Policing Productivity Review (accessible). </w:t>
              </w:r>
              <w:r>
                <w:rPr>
                  <w:noProof/>
                </w:rPr>
                <w:t xml:space="preserve">[Online] </w:t>
              </w:r>
              <w:r>
                <w:rPr>
                  <w:noProof/>
                </w:rPr>
                <w:br/>
                <w:t xml:space="preserve">Available at: </w:t>
              </w:r>
              <w:r>
                <w:rPr>
                  <w:noProof/>
                  <w:u w:val="single"/>
                </w:rPr>
                <w:t>https://www.gov.uk/government/publications/policing-productivity-review/policing-productivity-review-accessible</w:t>
              </w:r>
              <w:r>
                <w:rPr>
                  <w:noProof/>
                </w:rPr>
                <w:br/>
                <w:t>[Accessed 14th March 2025 ].</w:t>
              </w:r>
            </w:p>
            <w:p w14:paraId="07B702D1" w14:textId="77777777" w:rsidR="00D46D03" w:rsidRDefault="00D46D03" w:rsidP="00D46D03">
              <w:pPr>
                <w:pStyle w:val="Bibliography"/>
                <w:rPr>
                  <w:noProof/>
                </w:rPr>
              </w:pPr>
              <w:r>
                <w:rPr>
                  <w:noProof/>
                </w:rPr>
                <w:t xml:space="preserve">Myhill, A., 2012. </w:t>
              </w:r>
              <w:r>
                <w:rPr>
                  <w:i/>
                  <w:iCs/>
                  <w:noProof/>
                </w:rPr>
                <w:t xml:space="preserve">Community engagement in policing Lessons from the literature. </w:t>
              </w:r>
              <w:r>
                <w:rPr>
                  <w:noProof/>
                </w:rPr>
                <w:t xml:space="preserve">[Online] </w:t>
              </w:r>
              <w:r>
                <w:rPr>
                  <w:noProof/>
                </w:rPr>
                <w:br/>
                <w:t xml:space="preserve">Available at: </w:t>
              </w:r>
              <w:r>
                <w:rPr>
                  <w:noProof/>
                  <w:u w:val="single"/>
                </w:rPr>
                <w:t>https://scispace.com/papers/community-engagement-in-policing-lessons-from-the-literature-25d0wiez19</w:t>
              </w:r>
              <w:r>
                <w:rPr>
                  <w:noProof/>
                </w:rPr>
                <w:br/>
                <w:t>[Accessed 8th March 2025 ].</w:t>
              </w:r>
            </w:p>
            <w:p w14:paraId="12F3B61D" w14:textId="77777777" w:rsidR="00D46D03" w:rsidRDefault="00D46D03" w:rsidP="00D46D03">
              <w:pPr>
                <w:pStyle w:val="Bibliography"/>
                <w:rPr>
                  <w:noProof/>
                </w:rPr>
              </w:pPr>
              <w:r>
                <w:rPr>
                  <w:noProof/>
                </w:rPr>
                <w:t xml:space="preserve">O'Conner, D., 2009. </w:t>
              </w:r>
              <w:r>
                <w:rPr>
                  <w:i/>
                  <w:iCs/>
                  <w:noProof/>
                </w:rPr>
                <w:t xml:space="preserve">Publication &amp; Records. </w:t>
              </w:r>
              <w:r>
                <w:rPr>
                  <w:noProof/>
                </w:rPr>
                <w:t xml:space="preserve">[Online] </w:t>
              </w:r>
              <w:r>
                <w:rPr>
                  <w:noProof/>
                </w:rPr>
                <w:br/>
                <w:t xml:space="preserve">Available at: </w:t>
              </w:r>
              <w:r>
                <w:rPr>
                  <w:noProof/>
                  <w:u w:val="single"/>
                </w:rPr>
                <w:t>https://publications.parliament.uk/pa/cm200809/cmselect/cmhaff/417/09042104.htm?utm_source=chatgpt.com</w:t>
              </w:r>
              <w:r>
                <w:rPr>
                  <w:noProof/>
                </w:rPr>
                <w:br/>
                <w:t>[Accessed 12th March 2025].</w:t>
              </w:r>
            </w:p>
            <w:p w14:paraId="2A9E3421" w14:textId="77777777" w:rsidR="00D46D03" w:rsidRDefault="00D46D03" w:rsidP="00D46D03">
              <w:pPr>
                <w:pStyle w:val="Bibliography"/>
                <w:rPr>
                  <w:noProof/>
                </w:rPr>
              </w:pPr>
              <w:r>
                <w:rPr>
                  <w:noProof/>
                </w:rPr>
                <w:t xml:space="preserve">Services, H. M. I. o. C. a. F. &amp;. R., 2022. </w:t>
              </w:r>
              <w:r>
                <w:rPr>
                  <w:i/>
                  <w:iCs/>
                  <w:noProof/>
                </w:rPr>
                <w:t xml:space="preserve">South Wales PEEL Assessments 2021/2022. </w:t>
              </w:r>
              <w:r>
                <w:rPr>
                  <w:noProof/>
                </w:rPr>
                <w:t xml:space="preserve">[Online] </w:t>
              </w:r>
              <w:r>
                <w:rPr>
                  <w:noProof/>
                </w:rPr>
                <w:br/>
                <w:t xml:space="preserve">Available at: </w:t>
              </w:r>
              <w:r>
                <w:rPr>
                  <w:noProof/>
                  <w:u w:val="single"/>
                </w:rPr>
                <w:t>https://hmicfrs.justiceinspectorates.gov.uk/peel-reports/south-wales-2021-22/?utm_source=chatgpt.com</w:t>
              </w:r>
              <w:r>
                <w:rPr>
                  <w:noProof/>
                </w:rPr>
                <w:br/>
                <w:t>[Accessed 4th April 2025 ].</w:t>
              </w:r>
            </w:p>
            <w:p w14:paraId="1242954E" w14:textId="77777777" w:rsidR="00D46D03" w:rsidRDefault="00D46D03" w:rsidP="00D46D03">
              <w:pPr>
                <w:pStyle w:val="Bibliography"/>
                <w:rPr>
                  <w:noProof/>
                </w:rPr>
              </w:pPr>
              <w:r>
                <w:rPr>
                  <w:noProof/>
                </w:rPr>
                <w:t xml:space="preserve">Services, H. M. I. o. C. a. F. &amp;. R., 2024. </w:t>
              </w:r>
              <w:r>
                <w:rPr>
                  <w:i/>
                  <w:iCs/>
                  <w:noProof/>
                </w:rPr>
                <w:t xml:space="preserve">State of Policing: The Annual Assessment of Policing in England and Wales 2023. </w:t>
              </w:r>
              <w:r>
                <w:rPr>
                  <w:noProof/>
                </w:rPr>
                <w:t xml:space="preserve">[Online] </w:t>
              </w:r>
              <w:r>
                <w:rPr>
                  <w:noProof/>
                </w:rPr>
                <w:br/>
                <w:t xml:space="preserve">Available at: </w:t>
              </w:r>
              <w:r>
                <w:rPr>
                  <w:noProof/>
                  <w:u w:val="single"/>
                </w:rPr>
                <w:t>https://hmicfrs.justiceinspectorates.gov.uk/publication-html/state-of-policing-the-annual-assessment-of-policing-in-england-and-wales-2023/?utm_source=chatgpt.com</w:t>
              </w:r>
              <w:r>
                <w:rPr>
                  <w:noProof/>
                </w:rPr>
                <w:br/>
                <w:t>[Accessed 4th April 2025 ].</w:t>
              </w:r>
            </w:p>
            <w:p w14:paraId="1F669779" w14:textId="77777777" w:rsidR="00D46D03" w:rsidRDefault="00D46D03" w:rsidP="00D46D03">
              <w:pPr>
                <w:pStyle w:val="Bibliography"/>
                <w:rPr>
                  <w:noProof/>
                </w:rPr>
              </w:pPr>
              <w:r>
                <w:rPr>
                  <w:noProof/>
                </w:rPr>
                <w:lastRenderedPageBreak/>
                <w:t xml:space="preserve">Stuart Lister , Deborah Platts Fowler , Andrew Stainforth, 2006. </w:t>
              </w:r>
              <w:r>
                <w:rPr>
                  <w:i/>
                  <w:iCs/>
                  <w:noProof/>
                </w:rPr>
                <w:t xml:space="preserve">Community Engagement. </w:t>
              </w:r>
              <w:r>
                <w:rPr>
                  <w:noProof/>
                </w:rPr>
                <w:t xml:space="preserve">[Online] </w:t>
              </w:r>
              <w:r>
                <w:rPr>
                  <w:noProof/>
                </w:rPr>
                <w:br/>
                <w:t xml:space="preserve">Available at: </w:t>
              </w:r>
              <w:r>
                <w:rPr>
                  <w:noProof/>
                  <w:u w:val="single"/>
                </w:rPr>
                <w:t>https://www.n8research.org.uk/media/CommunityEngagement_EvidenceReview.pdf</w:t>
              </w:r>
              <w:r>
                <w:rPr>
                  <w:noProof/>
                </w:rPr>
                <w:br/>
                <w:t>[Accessed 20th March 2025].</w:t>
              </w:r>
            </w:p>
            <w:p w14:paraId="3DCDB108" w14:textId="77777777" w:rsidR="00D46D03" w:rsidRDefault="00D46D03" w:rsidP="00D46D03">
              <w:pPr>
                <w:pStyle w:val="Bibliography"/>
                <w:rPr>
                  <w:noProof/>
                </w:rPr>
              </w:pPr>
              <w:r>
                <w:rPr>
                  <w:noProof/>
                </w:rPr>
                <w:t xml:space="preserve">Wools, E., 2025. </w:t>
              </w:r>
              <w:r>
                <w:rPr>
                  <w:i/>
                  <w:iCs/>
                  <w:noProof/>
                </w:rPr>
                <w:t xml:space="preserve">South Wales Police , Crime &amp; Justice Plan 2025 - 29. </w:t>
              </w:r>
              <w:r>
                <w:rPr>
                  <w:noProof/>
                </w:rPr>
                <w:t xml:space="preserve">[Online] </w:t>
              </w:r>
              <w:r>
                <w:rPr>
                  <w:noProof/>
                </w:rPr>
                <w:br/>
                <w:t xml:space="preserve">Available at: </w:t>
              </w:r>
              <w:r>
                <w:rPr>
                  <w:noProof/>
                  <w:u w:val="single"/>
                </w:rPr>
                <w:t>https://www.southwalescommissioner.org.uk/wp-content/uploads/2025/03/C24-0163_PCC_Police-Crime-and-Justice-Plan-2025_Single-Pages-2.pdf</w:t>
              </w:r>
              <w:r>
                <w:rPr>
                  <w:noProof/>
                </w:rPr>
                <w:br/>
                <w:t>[Accessed 28th March 2025].</w:t>
              </w:r>
            </w:p>
            <w:p w14:paraId="78C712B8" w14:textId="76E7E763" w:rsidR="00D46D03" w:rsidRDefault="00D46D03" w:rsidP="00D46D03">
              <w:r>
                <w:rPr>
                  <w:b/>
                  <w:bCs/>
                  <w:noProof/>
                </w:rPr>
                <w:fldChar w:fldCharType="end"/>
              </w:r>
            </w:p>
          </w:sdtContent>
        </w:sdt>
      </w:sdtContent>
    </w:sdt>
    <w:p w14:paraId="3EB59F77" w14:textId="77777777" w:rsidR="00D46D03" w:rsidRDefault="00D46D03" w:rsidP="00FF2930">
      <w:pPr>
        <w:rPr>
          <w:rFonts w:cstheme="minorHAnsi"/>
          <w:sz w:val="21"/>
          <w:szCs w:val="21"/>
        </w:rPr>
      </w:pPr>
    </w:p>
    <w:p w14:paraId="5CC0B483" w14:textId="77777777" w:rsidR="00833E97" w:rsidRDefault="00833E97" w:rsidP="00FF2930">
      <w:pPr>
        <w:rPr>
          <w:rFonts w:cstheme="minorHAnsi"/>
          <w:sz w:val="21"/>
          <w:szCs w:val="21"/>
        </w:rPr>
      </w:pPr>
    </w:p>
    <w:p w14:paraId="156D9C4D" w14:textId="24693AF6" w:rsidR="00833E97" w:rsidRDefault="00833E97" w:rsidP="00833E97"/>
    <w:p w14:paraId="486AD7CD" w14:textId="77777777" w:rsidR="00833E97" w:rsidRDefault="00833E97" w:rsidP="00FF2930">
      <w:pPr>
        <w:rPr>
          <w:rFonts w:cstheme="minorHAnsi"/>
          <w:sz w:val="21"/>
          <w:szCs w:val="21"/>
        </w:rPr>
      </w:pPr>
    </w:p>
    <w:p w14:paraId="71E81944" w14:textId="77777777" w:rsidR="00833E97" w:rsidRDefault="00833E97" w:rsidP="00FF2930">
      <w:pPr>
        <w:rPr>
          <w:rFonts w:cstheme="minorHAnsi"/>
          <w:sz w:val="21"/>
          <w:szCs w:val="21"/>
        </w:rPr>
      </w:pPr>
    </w:p>
    <w:p w14:paraId="5202A2C2" w14:textId="77777777" w:rsidR="00833E97" w:rsidRDefault="00833E97" w:rsidP="00FF2930">
      <w:pPr>
        <w:rPr>
          <w:rFonts w:cstheme="minorHAnsi"/>
          <w:sz w:val="21"/>
          <w:szCs w:val="21"/>
        </w:rPr>
      </w:pPr>
    </w:p>
    <w:p w14:paraId="66855D68" w14:textId="77777777" w:rsidR="00833E97" w:rsidRDefault="00833E97" w:rsidP="00FF2930">
      <w:pPr>
        <w:rPr>
          <w:rFonts w:cstheme="minorHAnsi"/>
          <w:sz w:val="21"/>
          <w:szCs w:val="21"/>
        </w:rPr>
      </w:pPr>
    </w:p>
    <w:p w14:paraId="05D32C1C" w14:textId="77777777" w:rsidR="00833E97" w:rsidRPr="003C6B24" w:rsidRDefault="00833E97" w:rsidP="00FF2930">
      <w:pPr>
        <w:rPr>
          <w:rFonts w:cstheme="minorHAnsi"/>
          <w:sz w:val="21"/>
          <w:szCs w:val="21"/>
        </w:rPr>
      </w:pPr>
    </w:p>
    <w:p w14:paraId="733BC48F" w14:textId="7053A83D" w:rsidR="003155C5" w:rsidRPr="007E1584" w:rsidRDefault="003155C5" w:rsidP="003155C5">
      <w:pPr>
        <w:spacing w:before="100" w:beforeAutospacing="1" w:after="100" w:afterAutospacing="1" w:line="240" w:lineRule="auto"/>
        <w:rPr>
          <w:rFonts w:eastAsia="Times New Roman" w:cstheme="minorHAnsi"/>
          <w:sz w:val="20"/>
          <w:szCs w:val="20"/>
          <w:lang w:eastAsia="en-GB"/>
        </w:rPr>
      </w:pPr>
    </w:p>
    <w:p w14:paraId="5C2CD72F" w14:textId="3D6349DB" w:rsidR="008207FF" w:rsidRDefault="008207FF" w:rsidP="008207FF">
      <w:pPr>
        <w:rPr>
          <w:sz w:val="24"/>
          <w:szCs w:val="24"/>
        </w:rPr>
      </w:pPr>
    </w:p>
    <w:p w14:paraId="1D32F56B" w14:textId="639257B4" w:rsidR="003155C5" w:rsidRDefault="003155C5" w:rsidP="008207FF">
      <w:pPr>
        <w:rPr>
          <w:sz w:val="24"/>
          <w:szCs w:val="24"/>
        </w:rPr>
      </w:pPr>
    </w:p>
    <w:p w14:paraId="003B89E2" w14:textId="77777777" w:rsidR="003155C5" w:rsidRDefault="003155C5" w:rsidP="008207FF">
      <w:pPr>
        <w:rPr>
          <w:sz w:val="24"/>
          <w:szCs w:val="24"/>
        </w:rPr>
      </w:pPr>
    </w:p>
    <w:p w14:paraId="7DB90C2E" w14:textId="77777777" w:rsidR="008207FF" w:rsidRDefault="008207FF" w:rsidP="00FC19C0">
      <w:pPr>
        <w:spacing w:before="100" w:beforeAutospacing="1" w:after="100" w:afterAutospacing="1" w:line="240" w:lineRule="auto"/>
        <w:rPr>
          <w:rFonts w:ascii="Times New Roman" w:eastAsia="Times New Roman" w:hAnsi="Times New Roman" w:cs="Times New Roman"/>
          <w:sz w:val="24"/>
          <w:szCs w:val="24"/>
          <w:lang w:eastAsia="en-GB"/>
        </w:rPr>
      </w:pPr>
    </w:p>
    <w:p w14:paraId="2C346225" w14:textId="26D34A10" w:rsidR="00FC19C0" w:rsidRPr="00487007" w:rsidRDefault="00FC19C0" w:rsidP="00FC19C0">
      <w:pPr>
        <w:spacing w:before="100" w:beforeAutospacing="1" w:after="100" w:afterAutospacing="1" w:line="240" w:lineRule="auto"/>
        <w:rPr>
          <w:rFonts w:ascii="Times New Roman" w:eastAsia="Times New Roman" w:hAnsi="Times New Roman" w:cs="Times New Roman"/>
          <w:sz w:val="24"/>
          <w:szCs w:val="24"/>
          <w:lang w:eastAsia="en-GB"/>
        </w:rPr>
      </w:pPr>
    </w:p>
    <w:p w14:paraId="0D276667" w14:textId="70A5DF0F" w:rsidR="00887E69" w:rsidRDefault="00887E69" w:rsidP="00887E69">
      <w:pPr>
        <w:rPr>
          <w:sz w:val="24"/>
          <w:szCs w:val="24"/>
        </w:rPr>
      </w:pPr>
    </w:p>
    <w:p w14:paraId="1AF7D433" w14:textId="77777777" w:rsidR="00FC19C0" w:rsidRDefault="00FC19C0" w:rsidP="00887E69">
      <w:pPr>
        <w:rPr>
          <w:sz w:val="24"/>
          <w:szCs w:val="24"/>
        </w:rPr>
      </w:pPr>
    </w:p>
    <w:p w14:paraId="126853B1" w14:textId="475F6413" w:rsidR="00887E69" w:rsidRDefault="00887E69">
      <w:pPr>
        <w:rPr>
          <w:sz w:val="24"/>
          <w:szCs w:val="24"/>
        </w:rPr>
      </w:pPr>
    </w:p>
    <w:p w14:paraId="318EFE47" w14:textId="77777777" w:rsidR="00887E69" w:rsidRDefault="00887E69"/>
    <w:sectPr w:rsidR="00887E6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D35C6A"/>
    <w:multiLevelType w:val="multilevel"/>
    <w:tmpl w:val="4AECB1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8B21018"/>
    <w:multiLevelType w:val="multilevel"/>
    <w:tmpl w:val="5128D9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91B5230"/>
    <w:multiLevelType w:val="multilevel"/>
    <w:tmpl w:val="A72260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5881024">
    <w:abstractNumId w:val="1"/>
  </w:num>
  <w:num w:numId="2" w16cid:durableId="1470592988">
    <w:abstractNumId w:val="0"/>
  </w:num>
  <w:num w:numId="3" w16cid:durableId="74213840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79B0"/>
    <w:rsid w:val="00021CC7"/>
    <w:rsid w:val="001642D3"/>
    <w:rsid w:val="00182759"/>
    <w:rsid w:val="00192B54"/>
    <w:rsid w:val="001B3AB4"/>
    <w:rsid w:val="001F2190"/>
    <w:rsid w:val="002D431F"/>
    <w:rsid w:val="003155C5"/>
    <w:rsid w:val="003C6B24"/>
    <w:rsid w:val="003F5996"/>
    <w:rsid w:val="0043384C"/>
    <w:rsid w:val="00583C0B"/>
    <w:rsid w:val="00632F1E"/>
    <w:rsid w:val="00666BB4"/>
    <w:rsid w:val="006F1116"/>
    <w:rsid w:val="007440AE"/>
    <w:rsid w:val="007C2A59"/>
    <w:rsid w:val="007E1584"/>
    <w:rsid w:val="00804459"/>
    <w:rsid w:val="008207FF"/>
    <w:rsid w:val="00833E97"/>
    <w:rsid w:val="00887E69"/>
    <w:rsid w:val="00924486"/>
    <w:rsid w:val="009636A9"/>
    <w:rsid w:val="0097538B"/>
    <w:rsid w:val="009E2BAD"/>
    <w:rsid w:val="00A75796"/>
    <w:rsid w:val="00A83317"/>
    <w:rsid w:val="00A85E24"/>
    <w:rsid w:val="00AB79B0"/>
    <w:rsid w:val="00AC2089"/>
    <w:rsid w:val="00AF4F97"/>
    <w:rsid w:val="00B21913"/>
    <w:rsid w:val="00CD16CC"/>
    <w:rsid w:val="00D138D4"/>
    <w:rsid w:val="00D17CEA"/>
    <w:rsid w:val="00D34126"/>
    <w:rsid w:val="00D46D03"/>
    <w:rsid w:val="00E53006"/>
    <w:rsid w:val="00E73A70"/>
    <w:rsid w:val="00EC593F"/>
    <w:rsid w:val="00F1148F"/>
    <w:rsid w:val="00F813AF"/>
    <w:rsid w:val="00FB36E4"/>
    <w:rsid w:val="00FB3C0F"/>
    <w:rsid w:val="00FC19C0"/>
    <w:rsid w:val="00FF29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E2824E"/>
  <w15:chartTrackingRefBased/>
  <w15:docId w15:val="{200A1318-E13F-489A-B6D3-42DC67073F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F293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2930"/>
    <w:rPr>
      <w:rFonts w:asciiTheme="majorHAnsi" w:eastAsiaTheme="majorEastAsia" w:hAnsiTheme="majorHAnsi" w:cstheme="majorBidi"/>
      <w:color w:val="2F5496" w:themeColor="accent1" w:themeShade="BF"/>
      <w:sz w:val="32"/>
      <w:szCs w:val="32"/>
    </w:rPr>
  </w:style>
  <w:style w:type="paragraph" w:styleId="Bibliography">
    <w:name w:val="Bibliography"/>
    <w:basedOn w:val="Normal"/>
    <w:next w:val="Normal"/>
    <w:uiPriority w:val="37"/>
    <w:unhideWhenUsed/>
    <w:rsid w:val="00833E9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2632231">
      <w:bodyDiv w:val="1"/>
      <w:marLeft w:val="0"/>
      <w:marRight w:val="0"/>
      <w:marTop w:val="0"/>
      <w:marBottom w:val="0"/>
      <w:divBdr>
        <w:top w:val="none" w:sz="0" w:space="0" w:color="auto"/>
        <w:left w:val="none" w:sz="0" w:space="0" w:color="auto"/>
        <w:bottom w:val="none" w:sz="0" w:space="0" w:color="auto"/>
        <w:right w:val="none" w:sz="0" w:space="0" w:color="auto"/>
      </w:divBdr>
    </w:div>
    <w:div w:id="108014728">
      <w:bodyDiv w:val="1"/>
      <w:marLeft w:val="0"/>
      <w:marRight w:val="0"/>
      <w:marTop w:val="0"/>
      <w:marBottom w:val="0"/>
      <w:divBdr>
        <w:top w:val="none" w:sz="0" w:space="0" w:color="auto"/>
        <w:left w:val="none" w:sz="0" w:space="0" w:color="auto"/>
        <w:bottom w:val="none" w:sz="0" w:space="0" w:color="auto"/>
        <w:right w:val="none" w:sz="0" w:space="0" w:color="auto"/>
      </w:divBdr>
    </w:div>
    <w:div w:id="109445171">
      <w:bodyDiv w:val="1"/>
      <w:marLeft w:val="0"/>
      <w:marRight w:val="0"/>
      <w:marTop w:val="0"/>
      <w:marBottom w:val="0"/>
      <w:divBdr>
        <w:top w:val="none" w:sz="0" w:space="0" w:color="auto"/>
        <w:left w:val="none" w:sz="0" w:space="0" w:color="auto"/>
        <w:bottom w:val="none" w:sz="0" w:space="0" w:color="auto"/>
        <w:right w:val="none" w:sz="0" w:space="0" w:color="auto"/>
      </w:divBdr>
    </w:div>
    <w:div w:id="301353317">
      <w:bodyDiv w:val="1"/>
      <w:marLeft w:val="0"/>
      <w:marRight w:val="0"/>
      <w:marTop w:val="0"/>
      <w:marBottom w:val="0"/>
      <w:divBdr>
        <w:top w:val="none" w:sz="0" w:space="0" w:color="auto"/>
        <w:left w:val="none" w:sz="0" w:space="0" w:color="auto"/>
        <w:bottom w:val="none" w:sz="0" w:space="0" w:color="auto"/>
        <w:right w:val="none" w:sz="0" w:space="0" w:color="auto"/>
      </w:divBdr>
    </w:div>
    <w:div w:id="318046357">
      <w:bodyDiv w:val="1"/>
      <w:marLeft w:val="0"/>
      <w:marRight w:val="0"/>
      <w:marTop w:val="0"/>
      <w:marBottom w:val="0"/>
      <w:divBdr>
        <w:top w:val="none" w:sz="0" w:space="0" w:color="auto"/>
        <w:left w:val="none" w:sz="0" w:space="0" w:color="auto"/>
        <w:bottom w:val="none" w:sz="0" w:space="0" w:color="auto"/>
        <w:right w:val="none" w:sz="0" w:space="0" w:color="auto"/>
      </w:divBdr>
    </w:div>
    <w:div w:id="537862286">
      <w:bodyDiv w:val="1"/>
      <w:marLeft w:val="0"/>
      <w:marRight w:val="0"/>
      <w:marTop w:val="0"/>
      <w:marBottom w:val="0"/>
      <w:divBdr>
        <w:top w:val="none" w:sz="0" w:space="0" w:color="auto"/>
        <w:left w:val="none" w:sz="0" w:space="0" w:color="auto"/>
        <w:bottom w:val="none" w:sz="0" w:space="0" w:color="auto"/>
        <w:right w:val="none" w:sz="0" w:space="0" w:color="auto"/>
      </w:divBdr>
    </w:div>
    <w:div w:id="568617383">
      <w:bodyDiv w:val="1"/>
      <w:marLeft w:val="0"/>
      <w:marRight w:val="0"/>
      <w:marTop w:val="0"/>
      <w:marBottom w:val="0"/>
      <w:divBdr>
        <w:top w:val="none" w:sz="0" w:space="0" w:color="auto"/>
        <w:left w:val="none" w:sz="0" w:space="0" w:color="auto"/>
        <w:bottom w:val="none" w:sz="0" w:space="0" w:color="auto"/>
        <w:right w:val="none" w:sz="0" w:space="0" w:color="auto"/>
      </w:divBdr>
    </w:div>
    <w:div w:id="606354316">
      <w:bodyDiv w:val="1"/>
      <w:marLeft w:val="0"/>
      <w:marRight w:val="0"/>
      <w:marTop w:val="0"/>
      <w:marBottom w:val="0"/>
      <w:divBdr>
        <w:top w:val="none" w:sz="0" w:space="0" w:color="auto"/>
        <w:left w:val="none" w:sz="0" w:space="0" w:color="auto"/>
        <w:bottom w:val="none" w:sz="0" w:space="0" w:color="auto"/>
        <w:right w:val="none" w:sz="0" w:space="0" w:color="auto"/>
      </w:divBdr>
    </w:div>
    <w:div w:id="670371176">
      <w:bodyDiv w:val="1"/>
      <w:marLeft w:val="0"/>
      <w:marRight w:val="0"/>
      <w:marTop w:val="0"/>
      <w:marBottom w:val="0"/>
      <w:divBdr>
        <w:top w:val="none" w:sz="0" w:space="0" w:color="auto"/>
        <w:left w:val="none" w:sz="0" w:space="0" w:color="auto"/>
        <w:bottom w:val="none" w:sz="0" w:space="0" w:color="auto"/>
        <w:right w:val="none" w:sz="0" w:space="0" w:color="auto"/>
      </w:divBdr>
    </w:div>
    <w:div w:id="722994048">
      <w:bodyDiv w:val="1"/>
      <w:marLeft w:val="0"/>
      <w:marRight w:val="0"/>
      <w:marTop w:val="0"/>
      <w:marBottom w:val="0"/>
      <w:divBdr>
        <w:top w:val="none" w:sz="0" w:space="0" w:color="auto"/>
        <w:left w:val="none" w:sz="0" w:space="0" w:color="auto"/>
        <w:bottom w:val="none" w:sz="0" w:space="0" w:color="auto"/>
        <w:right w:val="none" w:sz="0" w:space="0" w:color="auto"/>
      </w:divBdr>
    </w:div>
    <w:div w:id="839541401">
      <w:bodyDiv w:val="1"/>
      <w:marLeft w:val="0"/>
      <w:marRight w:val="0"/>
      <w:marTop w:val="0"/>
      <w:marBottom w:val="0"/>
      <w:divBdr>
        <w:top w:val="none" w:sz="0" w:space="0" w:color="auto"/>
        <w:left w:val="none" w:sz="0" w:space="0" w:color="auto"/>
        <w:bottom w:val="none" w:sz="0" w:space="0" w:color="auto"/>
        <w:right w:val="none" w:sz="0" w:space="0" w:color="auto"/>
      </w:divBdr>
    </w:div>
    <w:div w:id="879367910">
      <w:bodyDiv w:val="1"/>
      <w:marLeft w:val="0"/>
      <w:marRight w:val="0"/>
      <w:marTop w:val="0"/>
      <w:marBottom w:val="0"/>
      <w:divBdr>
        <w:top w:val="none" w:sz="0" w:space="0" w:color="auto"/>
        <w:left w:val="none" w:sz="0" w:space="0" w:color="auto"/>
        <w:bottom w:val="none" w:sz="0" w:space="0" w:color="auto"/>
        <w:right w:val="none" w:sz="0" w:space="0" w:color="auto"/>
      </w:divBdr>
    </w:div>
    <w:div w:id="919370281">
      <w:bodyDiv w:val="1"/>
      <w:marLeft w:val="0"/>
      <w:marRight w:val="0"/>
      <w:marTop w:val="0"/>
      <w:marBottom w:val="0"/>
      <w:divBdr>
        <w:top w:val="none" w:sz="0" w:space="0" w:color="auto"/>
        <w:left w:val="none" w:sz="0" w:space="0" w:color="auto"/>
        <w:bottom w:val="none" w:sz="0" w:space="0" w:color="auto"/>
        <w:right w:val="none" w:sz="0" w:space="0" w:color="auto"/>
      </w:divBdr>
    </w:div>
    <w:div w:id="947932441">
      <w:bodyDiv w:val="1"/>
      <w:marLeft w:val="0"/>
      <w:marRight w:val="0"/>
      <w:marTop w:val="0"/>
      <w:marBottom w:val="0"/>
      <w:divBdr>
        <w:top w:val="none" w:sz="0" w:space="0" w:color="auto"/>
        <w:left w:val="none" w:sz="0" w:space="0" w:color="auto"/>
        <w:bottom w:val="none" w:sz="0" w:space="0" w:color="auto"/>
        <w:right w:val="none" w:sz="0" w:space="0" w:color="auto"/>
      </w:divBdr>
    </w:div>
    <w:div w:id="950934243">
      <w:bodyDiv w:val="1"/>
      <w:marLeft w:val="0"/>
      <w:marRight w:val="0"/>
      <w:marTop w:val="0"/>
      <w:marBottom w:val="0"/>
      <w:divBdr>
        <w:top w:val="none" w:sz="0" w:space="0" w:color="auto"/>
        <w:left w:val="none" w:sz="0" w:space="0" w:color="auto"/>
        <w:bottom w:val="none" w:sz="0" w:space="0" w:color="auto"/>
        <w:right w:val="none" w:sz="0" w:space="0" w:color="auto"/>
      </w:divBdr>
    </w:div>
    <w:div w:id="1018627678">
      <w:bodyDiv w:val="1"/>
      <w:marLeft w:val="0"/>
      <w:marRight w:val="0"/>
      <w:marTop w:val="0"/>
      <w:marBottom w:val="0"/>
      <w:divBdr>
        <w:top w:val="none" w:sz="0" w:space="0" w:color="auto"/>
        <w:left w:val="none" w:sz="0" w:space="0" w:color="auto"/>
        <w:bottom w:val="none" w:sz="0" w:space="0" w:color="auto"/>
        <w:right w:val="none" w:sz="0" w:space="0" w:color="auto"/>
      </w:divBdr>
    </w:div>
    <w:div w:id="1030103973">
      <w:bodyDiv w:val="1"/>
      <w:marLeft w:val="0"/>
      <w:marRight w:val="0"/>
      <w:marTop w:val="0"/>
      <w:marBottom w:val="0"/>
      <w:divBdr>
        <w:top w:val="none" w:sz="0" w:space="0" w:color="auto"/>
        <w:left w:val="none" w:sz="0" w:space="0" w:color="auto"/>
        <w:bottom w:val="none" w:sz="0" w:space="0" w:color="auto"/>
        <w:right w:val="none" w:sz="0" w:space="0" w:color="auto"/>
      </w:divBdr>
    </w:div>
    <w:div w:id="1332836307">
      <w:bodyDiv w:val="1"/>
      <w:marLeft w:val="0"/>
      <w:marRight w:val="0"/>
      <w:marTop w:val="0"/>
      <w:marBottom w:val="0"/>
      <w:divBdr>
        <w:top w:val="none" w:sz="0" w:space="0" w:color="auto"/>
        <w:left w:val="none" w:sz="0" w:space="0" w:color="auto"/>
        <w:bottom w:val="none" w:sz="0" w:space="0" w:color="auto"/>
        <w:right w:val="none" w:sz="0" w:space="0" w:color="auto"/>
      </w:divBdr>
    </w:div>
    <w:div w:id="1340935252">
      <w:bodyDiv w:val="1"/>
      <w:marLeft w:val="0"/>
      <w:marRight w:val="0"/>
      <w:marTop w:val="0"/>
      <w:marBottom w:val="0"/>
      <w:divBdr>
        <w:top w:val="none" w:sz="0" w:space="0" w:color="auto"/>
        <w:left w:val="none" w:sz="0" w:space="0" w:color="auto"/>
        <w:bottom w:val="none" w:sz="0" w:space="0" w:color="auto"/>
        <w:right w:val="none" w:sz="0" w:space="0" w:color="auto"/>
      </w:divBdr>
    </w:div>
    <w:div w:id="1444180544">
      <w:bodyDiv w:val="1"/>
      <w:marLeft w:val="0"/>
      <w:marRight w:val="0"/>
      <w:marTop w:val="0"/>
      <w:marBottom w:val="0"/>
      <w:divBdr>
        <w:top w:val="none" w:sz="0" w:space="0" w:color="auto"/>
        <w:left w:val="none" w:sz="0" w:space="0" w:color="auto"/>
        <w:bottom w:val="none" w:sz="0" w:space="0" w:color="auto"/>
        <w:right w:val="none" w:sz="0" w:space="0" w:color="auto"/>
      </w:divBdr>
    </w:div>
    <w:div w:id="1484270898">
      <w:bodyDiv w:val="1"/>
      <w:marLeft w:val="0"/>
      <w:marRight w:val="0"/>
      <w:marTop w:val="0"/>
      <w:marBottom w:val="0"/>
      <w:divBdr>
        <w:top w:val="none" w:sz="0" w:space="0" w:color="auto"/>
        <w:left w:val="none" w:sz="0" w:space="0" w:color="auto"/>
        <w:bottom w:val="none" w:sz="0" w:space="0" w:color="auto"/>
        <w:right w:val="none" w:sz="0" w:space="0" w:color="auto"/>
      </w:divBdr>
    </w:div>
    <w:div w:id="1568422401">
      <w:bodyDiv w:val="1"/>
      <w:marLeft w:val="0"/>
      <w:marRight w:val="0"/>
      <w:marTop w:val="0"/>
      <w:marBottom w:val="0"/>
      <w:divBdr>
        <w:top w:val="none" w:sz="0" w:space="0" w:color="auto"/>
        <w:left w:val="none" w:sz="0" w:space="0" w:color="auto"/>
        <w:bottom w:val="none" w:sz="0" w:space="0" w:color="auto"/>
        <w:right w:val="none" w:sz="0" w:space="0" w:color="auto"/>
      </w:divBdr>
    </w:div>
    <w:div w:id="1582643512">
      <w:bodyDiv w:val="1"/>
      <w:marLeft w:val="0"/>
      <w:marRight w:val="0"/>
      <w:marTop w:val="0"/>
      <w:marBottom w:val="0"/>
      <w:divBdr>
        <w:top w:val="none" w:sz="0" w:space="0" w:color="auto"/>
        <w:left w:val="none" w:sz="0" w:space="0" w:color="auto"/>
        <w:bottom w:val="none" w:sz="0" w:space="0" w:color="auto"/>
        <w:right w:val="none" w:sz="0" w:space="0" w:color="auto"/>
      </w:divBdr>
    </w:div>
    <w:div w:id="1674988495">
      <w:bodyDiv w:val="1"/>
      <w:marLeft w:val="0"/>
      <w:marRight w:val="0"/>
      <w:marTop w:val="0"/>
      <w:marBottom w:val="0"/>
      <w:divBdr>
        <w:top w:val="none" w:sz="0" w:space="0" w:color="auto"/>
        <w:left w:val="none" w:sz="0" w:space="0" w:color="auto"/>
        <w:bottom w:val="none" w:sz="0" w:space="0" w:color="auto"/>
        <w:right w:val="none" w:sz="0" w:space="0" w:color="auto"/>
      </w:divBdr>
    </w:div>
    <w:div w:id="1721900050">
      <w:bodyDiv w:val="1"/>
      <w:marLeft w:val="0"/>
      <w:marRight w:val="0"/>
      <w:marTop w:val="0"/>
      <w:marBottom w:val="0"/>
      <w:divBdr>
        <w:top w:val="none" w:sz="0" w:space="0" w:color="auto"/>
        <w:left w:val="none" w:sz="0" w:space="0" w:color="auto"/>
        <w:bottom w:val="none" w:sz="0" w:space="0" w:color="auto"/>
        <w:right w:val="none" w:sz="0" w:space="0" w:color="auto"/>
      </w:divBdr>
    </w:div>
    <w:div w:id="1733844138">
      <w:bodyDiv w:val="1"/>
      <w:marLeft w:val="0"/>
      <w:marRight w:val="0"/>
      <w:marTop w:val="0"/>
      <w:marBottom w:val="0"/>
      <w:divBdr>
        <w:top w:val="none" w:sz="0" w:space="0" w:color="auto"/>
        <w:left w:val="none" w:sz="0" w:space="0" w:color="auto"/>
        <w:bottom w:val="none" w:sz="0" w:space="0" w:color="auto"/>
        <w:right w:val="none" w:sz="0" w:space="0" w:color="auto"/>
      </w:divBdr>
    </w:div>
    <w:div w:id="1766268955">
      <w:bodyDiv w:val="1"/>
      <w:marLeft w:val="0"/>
      <w:marRight w:val="0"/>
      <w:marTop w:val="0"/>
      <w:marBottom w:val="0"/>
      <w:divBdr>
        <w:top w:val="none" w:sz="0" w:space="0" w:color="auto"/>
        <w:left w:val="none" w:sz="0" w:space="0" w:color="auto"/>
        <w:bottom w:val="none" w:sz="0" w:space="0" w:color="auto"/>
        <w:right w:val="none" w:sz="0" w:space="0" w:color="auto"/>
      </w:divBdr>
    </w:div>
    <w:div w:id="1771046017">
      <w:bodyDiv w:val="1"/>
      <w:marLeft w:val="0"/>
      <w:marRight w:val="0"/>
      <w:marTop w:val="0"/>
      <w:marBottom w:val="0"/>
      <w:divBdr>
        <w:top w:val="none" w:sz="0" w:space="0" w:color="auto"/>
        <w:left w:val="none" w:sz="0" w:space="0" w:color="auto"/>
        <w:bottom w:val="none" w:sz="0" w:space="0" w:color="auto"/>
        <w:right w:val="none" w:sz="0" w:space="0" w:color="auto"/>
      </w:divBdr>
    </w:div>
    <w:div w:id="1823540764">
      <w:bodyDiv w:val="1"/>
      <w:marLeft w:val="0"/>
      <w:marRight w:val="0"/>
      <w:marTop w:val="0"/>
      <w:marBottom w:val="0"/>
      <w:divBdr>
        <w:top w:val="none" w:sz="0" w:space="0" w:color="auto"/>
        <w:left w:val="none" w:sz="0" w:space="0" w:color="auto"/>
        <w:bottom w:val="none" w:sz="0" w:space="0" w:color="auto"/>
        <w:right w:val="none" w:sz="0" w:space="0" w:color="auto"/>
      </w:divBdr>
    </w:div>
    <w:div w:id="1825049243">
      <w:bodyDiv w:val="1"/>
      <w:marLeft w:val="0"/>
      <w:marRight w:val="0"/>
      <w:marTop w:val="0"/>
      <w:marBottom w:val="0"/>
      <w:divBdr>
        <w:top w:val="none" w:sz="0" w:space="0" w:color="auto"/>
        <w:left w:val="none" w:sz="0" w:space="0" w:color="auto"/>
        <w:bottom w:val="none" w:sz="0" w:space="0" w:color="auto"/>
        <w:right w:val="none" w:sz="0" w:space="0" w:color="auto"/>
      </w:divBdr>
    </w:div>
    <w:div w:id="2057699892">
      <w:bodyDiv w:val="1"/>
      <w:marLeft w:val="0"/>
      <w:marRight w:val="0"/>
      <w:marTop w:val="0"/>
      <w:marBottom w:val="0"/>
      <w:divBdr>
        <w:top w:val="none" w:sz="0" w:space="0" w:color="auto"/>
        <w:left w:val="none" w:sz="0" w:space="0" w:color="auto"/>
        <w:bottom w:val="none" w:sz="0" w:space="0" w:color="auto"/>
        <w:right w:val="none" w:sz="0" w:space="0" w:color="auto"/>
      </w:divBdr>
    </w:div>
    <w:div w:id="2094278427">
      <w:bodyDiv w:val="1"/>
      <w:marLeft w:val="0"/>
      <w:marRight w:val="0"/>
      <w:marTop w:val="0"/>
      <w:marBottom w:val="0"/>
      <w:divBdr>
        <w:top w:val="none" w:sz="0" w:space="0" w:color="auto"/>
        <w:left w:val="none" w:sz="0" w:space="0" w:color="auto"/>
        <w:bottom w:val="none" w:sz="0" w:space="0" w:color="auto"/>
        <w:right w:val="none" w:sz="0" w:space="0" w:color="auto"/>
      </w:divBdr>
    </w:div>
    <w:div w:id="21070763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Stu06</b:Tag>
    <b:SourceType>InternetSite</b:SourceType>
    <b:Guid>{9C6460AD-590B-4D57-B5D6-F67386844565}</b:Guid>
    <b:Author>
      <b:Author>
        <b:Corporate>Stuart Lister , Deborah Platts Fowler , Andrew Stainforth</b:Corporate>
      </b:Author>
    </b:Author>
    <b:Title>Community Engagement</b:Title>
    <b:Year>2006</b:Year>
    <b:YearAccessed>2025</b:YearAccessed>
    <b:MonthAccessed>March </b:MonthAccessed>
    <b:DayAccessed>20th</b:DayAccessed>
    <b:URL>https://www.n8research.org.uk/media/CommunityEngagement_EvidenceReview.pdf</b:URL>
    <b:RefOrder>1</b:RefOrder>
  </b:Source>
  <b:Source>
    <b:Tag>Col133</b:Tag>
    <b:SourceType>InternetSite</b:SourceType>
    <b:Guid>{42F9E554-9FCD-4A93-ABFA-C053B596DA83}</b:Guid>
    <b:Author>
      <b:Author>
        <b:Corporate>College of Policing</b:Corporate>
      </b:Author>
    </b:Author>
    <b:Title>Engagement</b:Title>
    <b:Year>2013</b:Year>
    <b:YearAccessed>2025 </b:YearAccessed>
    <b:MonthAccessed>March</b:MonthAccessed>
    <b:DayAccessed>20th</b:DayAccessed>
    <b:URL>https://www.college.police.uk/app/engagement-and-communication/engagement</b:URL>
    <b:RefOrder>2</b:RefOrder>
  </b:Source>
  <b:Source>
    <b:Tag>Ind231</b:Tag>
    <b:SourceType>InternetSite</b:SourceType>
    <b:Guid>{154DC1D8-09BC-490B-95F8-10DC426B8DFE}</b:Guid>
    <b:Author>
      <b:Author>
        <b:NameList>
          <b:Person>
            <b:Last>Conduct</b:Last>
            <b:First>Independent</b:First>
            <b:Middle>Office For Police</b:Middle>
          </b:Person>
        </b:NameList>
      </b:Author>
    </b:Author>
    <b:Title>Communications and engagement strategy - 2023/27</b:Title>
    <b:Year>2023</b:Year>
    <b:YearAccessed>2025 </b:YearAccessed>
    <b:MonthAccessed>March </b:MonthAccessed>
    <b:DayAccessed>20th</b:DayAccessed>
    <b:URL>https://www.policeconduct.gov.uk/publications/communications-and-engagement-strategy-202327</b:URL>
    <b:RefOrder>4</b:RefOrder>
  </b:Source>
  <b:Source>
    <b:Tag>Chr24</b:Tag>
    <b:SourceType>InternetSite</b:SourceType>
    <b:Guid>{23498D7E-DEC4-4F5C-A25E-BE522448BB82}</b:Guid>
    <b:Author>
      <b:Author>
        <b:NameList>
          <b:Person>
            <b:Last>Farrell</b:Last>
            <b:First>Chris</b:First>
          </b:Person>
        </b:NameList>
      </b:Author>
    </b:Author>
    <b:Title>Policing &amp; Partnership Working – Why is this important</b:Title>
    <b:Year>2024</b:Year>
    <b:YearAccessed>2025 </b:YearAccessed>
    <b:MonthAccessed>March </b:MonthAccessed>
    <b:DayAccessed>19th</b:DayAccessed>
    <b:URL>https://careersinblue.co.uk/partnership-working-why-is-this-important/</b:URL>
    <b:RefOrder>3</b:RefOrder>
  </b:Source>
  <b:Source>
    <b:Tag>Ser22</b:Tag>
    <b:SourceType>InternetSite</b:SourceType>
    <b:Guid>{4B290169-B95C-4DDF-AF95-4EA82AC4D6C7}</b:Guid>
    <b:Author>
      <b:Author>
        <b:NameList>
          <b:Person>
            <b:Last>Services</b:Last>
            <b:First>His</b:First>
            <b:Middle>Majesty's Inspectorate of Constabulary and Fire &amp; Rescue</b:Middle>
          </b:Person>
        </b:NameList>
      </b:Author>
    </b:Author>
    <b:Title>South Wales PEEL Assessments 2021/2022</b:Title>
    <b:Year>2022</b:Year>
    <b:YearAccessed>2025 </b:YearAccessed>
    <b:MonthAccessed>April </b:MonthAccessed>
    <b:DayAccessed>4th </b:DayAccessed>
    <b:URL>https://hmicfrs.justiceinspectorates.gov.uk/peel-reports/south-wales-2021-22/?utm_source=chatgpt.com</b:URL>
    <b:RefOrder>12</b:RefOrder>
  </b:Source>
  <b:Source>
    <b:Tag>His24</b:Tag>
    <b:SourceType>InternetSite</b:SourceType>
    <b:Guid>{E237C20F-8699-48EC-9FFC-70D4E285E045}</b:Guid>
    <b:Author>
      <b:Author>
        <b:NameList>
          <b:Person>
            <b:Last>Services</b:Last>
            <b:First>His</b:First>
            <b:Middle>Majesty's Inspectorate of Constabulary and Fire &amp; Rescue</b:Middle>
          </b:Person>
        </b:NameList>
      </b:Author>
    </b:Author>
    <b:Title>State of Policing: The Annual Assessment of Policing in England and Wales 2023</b:Title>
    <b:Year>2024</b:Year>
    <b:YearAccessed>2025 </b:YearAccessed>
    <b:MonthAccessed>April </b:MonthAccessed>
    <b:DayAccessed>4th </b:DayAccessed>
    <b:URL>https://hmicfrs.justiceinspectorates.gov.uk/publication-html/state-of-policing-the-annual-assessment-of-policing-in-england-and-wales-2023/?utm_source=chatgpt.com</b:URL>
    <b:RefOrder>11</b:RefOrder>
  </b:Source>
  <b:Source>
    <b:Tag>Gra21</b:Tag>
    <b:SourceType>InternetSite</b:SourceType>
    <b:Guid>{1AD37DA7-BC75-4AD3-823C-D00CD8A0C939}</b:Guid>
    <b:Author>
      <b:Author>
        <b:NameList>
          <b:Person>
            <b:Last>Blair</b:Last>
            <b:First>Graeme</b:First>
          </b:Person>
        </b:NameList>
      </b:Author>
    </b:Author>
    <b:Title>Community policing does not build citizen trust in police or reduce crime in the Global South</b:Title>
    <b:Year>2021</b:Year>
    <b:YearAccessed>2025 </b:YearAccessed>
    <b:MonthAccessed>April </b:MonthAccessed>
    <b:DayAccessed>10th</b:DayAccessed>
    <b:URL>https://www.science.org/doi/10.1126/science.abd3446?utm_source=chatgpt.com</b:URL>
    <b:RefOrder>10</b:RefOrder>
  </b:Source>
  <b:Source>
    <b:Tag>Gov241</b:Tag>
    <b:SourceType>InternetSite</b:SourceType>
    <b:Guid>{6E2F3F21-57F6-4877-A1CA-31DFE1E37E84}</b:Guid>
    <b:Author>
      <b:Author>
        <b:NameList>
          <b:Person>
            <b:Last>Gov.UK</b:Last>
          </b:Person>
        </b:NameList>
      </b:Author>
    </b:Author>
    <b:Title>Policing Productivity Review (accessible)</b:Title>
    <b:Year>2024</b:Year>
    <b:YearAccessed>2025 </b:YearAccessed>
    <b:MonthAccessed>March </b:MonthAccessed>
    <b:DayAccessed>14th </b:DayAccessed>
    <b:URL>https://www.gov.uk/government/publications/policing-productivity-review/policing-productivity-review-accessible</b:URL>
    <b:RefOrder>9</b:RefOrder>
  </b:Source>
  <b:Source>
    <b:Tag>Den09</b:Tag>
    <b:SourceType>InternetSite</b:SourceType>
    <b:Guid>{04B0B309-EE89-410E-9C52-973746B3379A}</b:Guid>
    <b:Author>
      <b:Author>
        <b:NameList>
          <b:Person>
            <b:Last>O'Conner</b:Last>
            <b:First>Dennis</b:First>
          </b:Person>
        </b:NameList>
      </b:Author>
    </b:Author>
    <b:Title>Publication &amp; Records </b:Title>
    <b:Year>2009</b:Year>
    <b:YearAccessed>2025</b:YearAccessed>
    <b:MonthAccessed>March </b:MonthAccessed>
    <b:DayAccessed>12th </b:DayAccessed>
    <b:URL>https://publications.parliament.uk/pa/cm200809/cmselect/cmhaff/417/09042104.htm?utm_source=chatgpt.com</b:URL>
    <b:RefOrder>8</b:RefOrder>
  </b:Source>
  <b:Source>
    <b:Tag>Uni16</b:Tag>
    <b:SourceType>InternetSite</b:SourceType>
    <b:Guid>{D03CC54B-2F66-413F-AB01-067F68D365D5}</b:Guid>
    <b:Author>
      <b:Author>
        <b:NameList>
          <b:Person>
            <b:Last>Cambridge</b:Last>
            <b:First>University</b:First>
            <b:Middle>Of</b:Middle>
          </b:Person>
        </b:NameList>
      </b:Author>
    </b:Author>
    <b:Title>Policing: Two officers 'on the beat' prevent 86 assaults and save thousands in prison costs</b:Title>
    <b:Year>2016</b:Year>
    <b:YearAccessed>2025 </b:YearAccessed>
    <b:MonthAccessed>March </b:MonthAccessed>
    <b:DayAccessed>9th </b:DayAccessed>
    <b:URL>https://www.sciencedaily.com/releases/2016/06/160614083845.htm?utm_source=chatgpt.com</b:URL>
    <b:RefOrder>7</b:RefOrder>
  </b:Source>
  <b:Source>
    <b:Tag>Emm25</b:Tag>
    <b:SourceType>InternetSite</b:SourceType>
    <b:Guid>{F1C351B8-45D6-4BC1-A66F-EDF363B02A78}</b:Guid>
    <b:Author>
      <b:Author>
        <b:NameList>
          <b:Person>
            <b:Last>Wools</b:Last>
            <b:First>Emma</b:First>
          </b:Person>
        </b:NameList>
      </b:Author>
    </b:Author>
    <b:Title>South Wales Police ,  Crime &amp; Justice Plan 2025 - 29</b:Title>
    <b:Year>2025</b:Year>
    <b:YearAccessed>2025</b:YearAccessed>
    <b:MonthAccessed>March</b:MonthAccessed>
    <b:DayAccessed>28th</b:DayAccessed>
    <b:URL>https://www.southwalescommissioner.org.uk/wp-content/uploads/2025/03/C24-0163_PCC_Police-Crime-and-Justice-Plan-2025_Single-Pages-2.pdf</b:URL>
    <b:RefOrder>6</b:RefOrder>
  </b:Source>
  <b:Source>
    <b:Tag>And12</b:Tag>
    <b:SourceType>InternetSite</b:SourceType>
    <b:Guid>{623C7211-EB67-4982-AED2-2F135C02EA54}</b:Guid>
    <b:Author>
      <b:Author>
        <b:NameList>
          <b:Person>
            <b:Last>Myhill</b:Last>
            <b:First>Andy</b:First>
          </b:Person>
        </b:NameList>
      </b:Author>
    </b:Author>
    <b:Title>Community engagement in policing Lessons from the literature</b:Title>
    <b:Year>2012</b:Year>
    <b:YearAccessed>2025 </b:YearAccessed>
    <b:MonthAccessed>March </b:MonthAccessed>
    <b:DayAccessed>8th </b:DayAccessed>
    <b:URL>https://scispace.com/papers/community-engagement-in-policing-lessons-from-the-literature-25d0wiez19</b:URL>
    <b:RefOrder>5</b:RefOrder>
  </b:Source>
</b:Sources>
</file>

<file path=customXml/itemProps1.xml><?xml version="1.0" encoding="utf-8"?>
<ds:datastoreItem xmlns:ds="http://schemas.openxmlformats.org/officeDocument/2006/customXml" ds:itemID="{7BAD5179-9812-4EE8-862F-EB79BBD596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TotalTime>
  <Pages>5</Pages>
  <Words>1904</Words>
  <Characters>10854</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janem</dc:creator>
  <cp:keywords/>
  <dc:description/>
  <cp:lastModifiedBy>Morgan,Jonathan swp8583</cp:lastModifiedBy>
  <cp:revision>3</cp:revision>
  <dcterms:created xsi:type="dcterms:W3CDTF">2025-05-05T15:10:00Z</dcterms:created>
  <dcterms:modified xsi:type="dcterms:W3CDTF">2025-05-05T15:53:00Z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2025-05-05T15:10:55Z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4df44774-ee94-412d-a663-9daef85d842d</vt:lpwstr>
  </property>
  <property fmtid="{D5CDD505-2E9C-101B-9397-08002B2CF9AE}" pid="8" name="MSIP_Label_66cf8fe5-b7b7-4df7-b38d-1c61ac2f6639_ContentBits">
    <vt:lpwstr>0</vt:lpwstr>
  </property>
  <property fmtid="{D5CDD505-2E9C-101B-9397-08002B2CF9AE}" pid="9" name="MSIP_Label_66cf8fe5-b7b7-4df7-b38d-1c61ac2f6639_Tag">
    <vt:lpwstr>10, 3, 0, 1</vt:lpwstr>
  </property>
</Properties>
</file>