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8EA959" w14:textId="7125D203" w:rsidR="00C049C5" w:rsidRDefault="00C049C5"/>
    <w:p w14:paraId="71986B16" w14:textId="3E840D25" w:rsidR="00C049C5" w:rsidRDefault="00C049C5"/>
    <w:p w14:paraId="7364724E" w14:textId="77777777" w:rsidR="00C049C5" w:rsidRDefault="00C049C5"/>
    <w:p w14:paraId="68077BE1" w14:textId="77777777" w:rsidR="00C049C5" w:rsidRDefault="00C049C5"/>
    <w:p w14:paraId="60027FC0" w14:textId="3980E439" w:rsidR="00C049C5" w:rsidRPr="00C049C5" w:rsidRDefault="00C049C5">
      <w:pPr>
        <w:rPr>
          <w:b/>
          <w:bCs/>
        </w:rPr>
      </w:pPr>
      <w:r>
        <w:rPr>
          <w:rStyle w:val="FootnoteReference"/>
          <w:b/>
          <w:bCs/>
        </w:rPr>
        <w:footnoteReference w:id="1"/>
      </w:r>
    </w:p>
    <w:p w14:paraId="000F3EB8" w14:textId="77777777" w:rsidR="00C049C5" w:rsidRDefault="00C049C5">
      <w:r>
        <w:t xml:space="preserve">                                                   </w:t>
      </w:r>
    </w:p>
    <w:p w14:paraId="7FCE2F20" w14:textId="77777777" w:rsidR="00C049C5" w:rsidRDefault="00C049C5"/>
    <w:p w14:paraId="375E1C8F" w14:textId="77777777" w:rsidR="00C049C5" w:rsidRDefault="00C049C5"/>
    <w:p w14:paraId="3A93766F" w14:textId="77777777" w:rsidR="00C049C5" w:rsidRDefault="00C049C5" w:rsidP="00C049C5">
      <w:pPr>
        <w:pStyle w:val="NormalWeb"/>
        <w:spacing w:before="200" w:beforeAutospacing="0" w:after="0" w:afterAutospacing="0" w:line="216" w:lineRule="auto"/>
        <w:jc w:val="center"/>
      </w:pPr>
      <w:r>
        <w:t xml:space="preserve">                              </w:t>
      </w: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 xml:space="preserve">Name: Augustine Daniel </w:t>
      </w:r>
      <w:proofErr w:type="gramStart"/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Ajayi  Id</w:t>
      </w:r>
      <w:proofErr w:type="gramEnd"/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 xml:space="preserve"> 2321116</w:t>
      </w:r>
    </w:p>
    <w:p w14:paraId="46335EF5" w14:textId="77777777" w:rsidR="00C049C5" w:rsidRDefault="00C049C5" w:rsidP="00C049C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Module Title and Code BMHP6027- Empowering the Older Person.</w:t>
      </w:r>
    </w:p>
    <w:p w14:paraId="3BCEC6A7" w14:textId="368DAC9C" w:rsidR="00C049C5" w:rsidRDefault="00C049C5" w:rsidP="00C049C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 xml:space="preserve">Date of </w:t>
      </w:r>
      <w:r w:rsidR="00026A31"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debate</w:t>
      </w: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 xml:space="preserve"> </w:t>
      </w:r>
      <w:r w:rsidR="00026A31"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13</w:t>
      </w: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/0</w:t>
      </w:r>
      <w:r w:rsidR="00026A31"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7</w:t>
      </w: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/2026</w:t>
      </w: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  <w:lang w:val="en-US"/>
        </w:rPr>
        <w:t xml:space="preserve"> </w:t>
      </w:r>
    </w:p>
    <w:p w14:paraId="06A7D2DB" w14:textId="77777777" w:rsidR="00C049C5" w:rsidRDefault="00C049C5" w:rsidP="00C049C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 xml:space="preserve">Name Of Lecturer: Dr </w:t>
      </w:r>
      <w:proofErr w:type="spellStart"/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>kennedy</w:t>
      </w:r>
      <w:proofErr w:type="spellEnd"/>
      <w:r>
        <w:rPr>
          <w:rFonts w:asciiTheme="minorHAnsi" w:eastAsiaTheme="minorEastAsia" w:hAnsi="Aptos" w:cstheme="minorBidi"/>
          <w:color w:val="000000" w:themeColor="text1"/>
          <w:kern w:val="24"/>
          <w:sz w:val="44"/>
          <w:szCs w:val="44"/>
        </w:rPr>
        <w:t xml:space="preserve"> Obohwemu.</w:t>
      </w:r>
    </w:p>
    <w:p w14:paraId="6DD66B27" w14:textId="6F50DB65" w:rsidR="00C049C5" w:rsidRDefault="00C049C5">
      <w:r>
        <w:t xml:space="preserve">               </w:t>
      </w:r>
    </w:p>
    <w:p w14:paraId="5EA54DC0" w14:textId="77777777" w:rsidR="00C049C5" w:rsidRDefault="00C049C5"/>
    <w:p w14:paraId="7567548A" w14:textId="77777777" w:rsidR="00C049C5" w:rsidRDefault="00C049C5"/>
    <w:p w14:paraId="17BC7119" w14:textId="77777777" w:rsidR="00C049C5" w:rsidRDefault="00C049C5"/>
    <w:p w14:paraId="739CF4C8" w14:textId="77777777" w:rsidR="00C049C5" w:rsidRDefault="00C049C5"/>
    <w:p w14:paraId="0A10F718" w14:textId="77777777" w:rsidR="00C049C5" w:rsidRDefault="00C049C5"/>
    <w:p w14:paraId="10DE0762" w14:textId="77777777" w:rsidR="00C049C5" w:rsidRDefault="00C049C5"/>
    <w:p w14:paraId="698C0BE8" w14:textId="77777777" w:rsidR="00C049C5" w:rsidRDefault="00C049C5"/>
    <w:p w14:paraId="07FBFC5F" w14:textId="77777777" w:rsidR="00C049C5" w:rsidRDefault="00C049C5"/>
    <w:p w14:paraId="47ECACF7" w14:textId="77777777" w:rsidR="00C049C5" w:rsidRDefault="00C049C5"/>
    <w:p w14:paraId="6D190DF9" w14:textId="77777777" w:rsidR="00C049C5" w:rsidRDefault="00C049C5"/>
    <w:p w14:paraId="291FAA23" w14:textId="77777777" w:rsidR="00C049C5" w:rsidRPr="00F03A77" w:rsidRDefault="00C049C5" w:rsidP="00C049C5">
      <w:pPr>
        <w:pStyle w:val="Heading1"/>
        <w:spacing w:before="120" w:after="120" w:line="360" w:lineRule="auto"/>
        <w:rPr>
          <w:color w:val="000000" w:themeColor="text1"/>
        </w:rPr>
      </w:pPr>
      <w:r w:rsidRPr="009A0373">
        <w:rPr>
          <w:color w:val="000000" w:themeColor="text1"/>
        </w:rPr>
        <w:lastRenderedPageBreak/>
        <w:t>Refere</w:t>
      </w:r>
      <w:r>
        <w:rPr>
          <w:color w:val="000000" w:themeColor="text1"/>
        </w:rPr>
        <w:t>nces</w:t>
      </w:r>
    </w:p>
    <w:p w14:paraId="7AA99D51" w14:textId="77777777" w:rsidR="006A738A" w:rsidRPr="00AC6AE9" w:rsidRDefault="006A738A" w:rsidP="00AC6AE9">
      <w:pPr>
        <w:spacing w:before="120" w:after="120" w:line="360" w:lineRule="auto"/>
        <w:rPr>
          <w:rFonts w:cs="Times New Roman"/>
          <w:color w:val="000000" w:themeColor="text1"/>
        </w:rPr>
      </w:pPr>
    </w:p>
    <w:p w14:paraId="58051360" w14:textId="77777777" w:rsidR="006A738A" w:rsidRPr="009A0373" w:rsidRDefault="006A738A" w:rsidP="00932209">
      <w:pPr>
        <w:spacing w:before="120" w:after="120" w:line="360" w:lineRule="auto"/>
        <w:rPr>
          <w:rFonts w:cs="Times New Roman"/>
          <w:color w:val="000000" w:themeColor="text1"/>
        </w:rPr>
      </w:pPr>
    </w:p>
    <w:p w14:paraId="55C539E4" w14:textId="77777777" w:rsidR="006A738A" w:rsidRPr="0044687B" w:rsidRDefault="006A738A" w:rsidP="001B1099">
      <w:pPr>
        <w:rPr>
          <w:b/>
          <w:bCs/>
        </w:rPr>
      </w:pPr>
    </w:p>
    <w:p w14:paraId="0A4ACEE0" w14:textId="77777777" w:rsidR="006A738A" w:rsidRPr="00545609" w:rsidRDefault="006A738A" w:rsidP="00545609">
      <w:pPr>
        <w:spacing w:before="120" w:after="120" w:line="360" w:lineRule="auto"/>
        <w:rPr>
          <w:rFonts w:cs="Times New Roman"/>
          <w:color w:val="000000" w:themeColor="text1"/>
        </w:rPr>
      </w:pPr>
      <w:r w:rsidRPr="00545609">
        <w:rPr>
          <w:rFonts w:cs="Times New Roman"/>
          <w:color w:val="000000" w:themeColor="text1"/>
        </w:rPr>
        <w:t xml:space="preserve">Allan, S. (2022) “Care home closure and the influence of domiciliary care supply: Evidence from England,” </w:t>
      </w:r>
      <w:r w:rsidRPr="00545609">
        <w:rPr>
          <w:rFonts w:cs="Times New Roman"/>
          <w:i/>
          <w:iCs/>
          <w:color w:val="000000" w:themeColor="text1"/>
        </w:rPr>
        <w:t>Journal of European social policy</w:t>
      </w:r>
      <w:r w:rsidRPr="00545609">
        <w:rPr>
          <w:rFonts w:cs="Times New Roman"/>
          <w:color w:val="000000" w:themeColor="text1"/>
        </w:rPr>
        <w:t>, 32(3), pp. 333–347. Available at: https://doi.org/10.1177/09589287221083835.</w:t>
      </w:r>
    </w:p>
    <w:p w14:paraId="72EF2231" w14:textId="77777777" w:rsidR="006A738A" w:rsidRDefault="006A738A" w:rsidP="00026A31">
      <w:r>
        <w:t>Anna Larsson Gerdin et al. (2024) ‘Older persons’ experiences of care encounters in their home: A multiple</w:t>
      </w:r>
      <w:r>
        <w:rPr>
          <w:rFonts w:ascii="Cambria Math" w:hAnsi="Cambria Math" w:cs="Cambria Math"/>
        </w:rPr>
        <w:t>‐</w:t>
      </w:r>
      <w:r>
        <w:t>case study</w:t>
      </w:r>
      <w:r>
        <w:rPr>
          <w:rFonts w:ascii="Aptos" w:hAnsi="Aptos" w:cs="Aptos"/>
        </w:rPr>
        <w:t>’</w:t>
      </w:r>
      <w:r>
        <w:t>, Journal of clinical nursing [Preprint]. Available at: https://doi.org/10.1111/jocn.17043.</w:t>
      </w:r>
    </w:p>
    <w:p w14:paraId="5AFFA231" w14:textId="77777777" w:rsidR="006A738A" w:rsidRPr="00546EF2" w:rsidRDefault="006A738A" w:rsidP="00546EF2">
      <w:pPr>
        <w:spacing w:before="120" w:after="120" w:line="360" w:lineRule="auto"/>
        <w:rPr>
          <w:rFonts w:cs="Times New Roman"/>
          <w:color w:val="000000" w:themeColor="text1"/>
        </w:rPr>
      </w:pPr>
      <w:r w:rsidRPr="00546EF2">
        <w:rPr>
          <w:rFonts w:cs="Times New Roman"/>
          <w:color w:val="000000" w:themeColor="text1"/>
        </w:rPr>
        <w:t xml:space="preserve">Challis, D. and Hughes, J. (2003). Residential and nursing home care—issues of balance and quality of care. </w:t>
      </w:r>
      <w:r w:rsidRPr="00546EF2">
        <w:rPr>
          <w:rFonts w:cs="Times New Roman"/>
          <w:i/>
          <w:iCs/>
          <w:color w:val="000000" w:themeColor="text1"/>
        </w:rPr>
        <w:t>International Journal of Geriatric Psychiatry</w:t>
      </w:r>
      <w:r w:rsidRPr="00546EF2">
        <w:rPr>
          <w:rFonts w:cs="Times New Roman"/>
          <w:color w:val="000000" w:themeColor="text1"/>
        </w:rPr>
        <w:t>, 18(3), pp.201–204. doi:10.1002/gps.813.</w:t>
      </w:r>
    </w:p>
    <w:p w14:paraId="1BFE1D53" w14:textId="77777777" w:rsidR="006A738A" w:rsidRPr="009A0373" w:rsidRDefault="006A738A" w:rsidP="00265C7A">
      <w:pPr>
        <w:spacing w:before="120" w:after="120" w:line="360" w:lineRule="auto"/>
        <w:rPr>
          <w:rFonts w:cs="Times New Roman"/>
          <w:color w:val="000000" w:themeColor="text1"/>
        </w:rPr>
      </w:pPr>
      <w:r w:rsidRPr="009A0373">
        <w:rPr>
          <w:rFonts w:cs="Times New Roman"/>
          <w:color w:val="000000" w:themeColor="text1"/>
          <w:shd w:val="clear" w:color="auto" w:fill="FFFFFF"/>
        </w:rPr>
        <w:t>Chew, M., Pedell, S., Muñoz, D. and Basic, M. (2026). Technology Interventions and Well-Being Enhancement in Residential Aged Care: A Scoping Review.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Technologies</w:t>
      </w:r>
      <w:r w:rsidRPr="009A0373">
        <w:rPr>
          <w:rFonts w:cs="Times New Roman"/>
          <w:color w:val="000000" w:themeColor="text1"/>
          <w:shd w:val="clear" w:color="auto" w:fill="FFFFFF"/>
        </w:rPr>
        <w:t>,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14</w:t>
      </w:r>
      <w:r w:rsidRPr="009A0373">
        <w:rPr>
          <w:rFonts w:cs="Times New Roman"/>
          <w:color w:val="000000" w:themeColor="text1"/>
          <w:shd w:val="clear" w:color="auto" w:fill="FFFFFF"/>
        </w:rPr>
        <w:t>(2), p.90.</w:t>
      </w:r>
      <w:r w:rsidRPr="009A0373">
        <w:rPr>
          <w:rFonts w:cs="Times New Roman"/>
          <w:color w:val="000000" w:themeColor="text1"/>
        </w:rPr>
        <w:t xml:space="preserve"> </w:t>
      </w:r>
      <w:hyperlink r:id="rId6" w:history="1">
        <w:r w:rsidRPr="009A0373">
          <w:rPr>
            <w:rStyle w:val="Hyperlink"/>
            <w:rFonts w:cs="Times New Roman"/>
            <w:color w:val="000000" w:themeColor="text1"/>
            <w:shd w:val="clear" w:color="auto" w:fill="FFFFFF"/>
          </w:rPr>
          <w:t>https://www.mdpi.com/2227-7080/14/2/90</w:t>
        </w:r>
      </w:hyperlink>
    </w:p>
    <w:p w14:paraId="7EB7C5BA" w14:textId="77777777" w:rsidR="006A738A" w:rsidRPr="00E41DE5" w:rsidRDefault="006A738A" w:rsidP="00E41DE5">
      <w:pPr>
        <w:spacing w:before="120" w:after="120" w:line="360" w:lineRule="auto"/>
        <w:rPr>
          <w:rFonts w:cs="Times New Roman"/>
          <w:color w:val="000000" w:themeColor="text1"/>
        </w:rPr>
      </w:pPr>
      <w:r w:rsidRPr="00E41DE5">
        <w:rPr>
          <w:rFonts w:cs="Times New Roman"/>
          <w:i/>
          <w:iCs/>
          <w:color w:val="000000" w:themeColor="text1"/>
        </w:rPr>
        <w:t>Costing Statement: Home Care. Implementing the NICE Guideline on Home Care: Delivering Personal Care and Practical Support to Older People Living in Their Own Homes (NG21)</w:t>
      </w:r>
      <w:r w:rsidRPr="00E41DE5">
        <w:rPr>
          <w:rFonts w:cs="Times New Roman"/>
          <w:color w:val="000000" w:themeColor="text1"/>
        </w:rPr>
        <w:t xml:space="preserve"> (2015).</w:t>
      </w:r>
    </w:p>
    <w:p w14:paraId="6B2962D5" w14:textId="77777777" w:rsidR="006A738A" w:rsidRDefault="006A738A" w:rsidP="001B1099">
      <w:pPr>
        <w:rPr>
          <w:rFonts w:cs="Times New Roman"/>
          <w:color w:val="000000" w:themeColor="text1"/>
          <w:shd w:val="clear" w:color="auto" w:fill="FFFFFF"/>
        </w:rPr>
      </w:pPr>
      <w:r w:rsidRPr="00CC5FC1">
        <w:rPr>
          <w:rFonts w:cs="Times New Roman"/>
          <w:color w:val="000000" w:themeColor="text1"/>
          <w:shd w:val="clear" w:color="auto" w:fill="FFFFFF"/>
        </w:rPr>
        <w:t xml:space="preserve"> </w:t>
      </w:r>
      <w:r w:rsidRPr="009A0373">
        <w:rPr>
          <w:rFonts w:cs="Times New Roman"/>
          <w:color w:val="000000" w:themeColor="text1"/>
          <w:shd w:val="clear" w:color="auto" w:fill="FFFFFF"/>
        </w:rPr>
        <w:t>Davies, J., Davidson, E., Harding, S., Wren, Y. and Southby, L. (2026) Exploring the needs of young people born with cleft lip and/or palate approaching end of routine care, in the UK.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The Cleft Palate Craniofacial Journal</w:t>
      </w:r>
      <w:r w:rsidRPr="009A0373">
        <w:rPr>
          <w:rFonts w:cs="Times New Roman"/>
          <w:color w:val="000000" w:themeColor="text1"/>
          <w:shd w:val="clear" w:color="auto" w:fill="FFFFFF"/>
        </w:rPr>
        <w:t>,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63</w:t>
      </w:r>
      <w:r w:rsidRPr="009A0373">
        <w:rPr>
          <w:rFonts w:cs="Times New Roman"/>
          <w:color w:val="000000" w:themeColor="text1"/>
          <w:shd w:val="clear" w:color="auto" w:fill="FFFFFF"/>
        </w:rPr>
        <w:t>(4), pp.654-663.</w:t>
      </w:r>
    </w:p>
    <w:p w14:paraId="2DC185BC" w14:textId="77777777" w:rsidR="006A738A" w:rsidRPr="0046523E" w:rsidRDefault="006A738A" w:rsidP="0046523E">
      <w:pPr>
        <w:spacing w:before="120" w:after="120" w:line="360" w:lineRule="auto"/>
        <w:rPr>
          <w:rFonts w:cs="Times New Roman"/>
          <w:color w:val="000000" w:themeColor="text1"/>
        </w:rPr>
      </w:pPr>
      <w:r w:rsidRPr="0046523E">
        <w:rPr>
          <w:rFonts w:cs="Times New Roman"/>
          <w:color w:val="000000" w:themeColor="text1"/>
        </w:rPr>
        <w:t xml:space="preserve">Department of Health &amp; Social Care (2025). </w:t>
      </w:r>
      <w:r w:rsidRPr="0046523E">
        <w:rPr>
          <w:rFonts w:cs="Times New Roman"/>
          <w:i/>
          <w:iCs/>
          <w:color w:val="000000" w:themeColor="text1"/>
        </w:rPr>
        <w:t>Care and Support Statutory Guidance</w:t>
      </w:r>
      <w:r w:rsidRPr="0046523E">
        <w:rPr>
          <w:rFonts w:cs="Times New Roman"/>
          <w:color w:val="000000" w:themeColor="text1"/>
        </w:rPr>
        <w:t>. [online] GOV.UK. Available at: https://www.gov.uk/government/publications/care-act-statutory-guidance/care-and-support-statutory-guidance [Accessed 9 July 2026].</w:t>
      </w:r>
    </w:p>
    <w:p w14:paraId="7434369D" w14:textId="77777777" w:rsidR="006A738A" w:rsidRPr="000F15BB" w:rsidRDefault="006A738A" w:rsidP="000F15BB">
      <w:pPr>
        <w:spacing w:before="120" w:after="120" w:line="360" w:lineRule="auto"/>
        <w:rPr>
          <w:rFonts w:cs="Times New Roman"/>
          <w:color w:val="000000" w:themeColor="text1"/>
        </w:rPr>
      </w:pPr>
      <w:r w:rsidRPr="000F15BB">
        <w:rPr>
          <w:rFonts w:cs="Times New Roman"/>
          <w:color w:val="000000" w:themeColor="text1"/>
        </w:rPr>
        <w:t xml:space="preserve">Doncaster and Bassetlaw Teaching Hospitals. (2025). </w:t>
      </w:r>
      <w:r w:rsidRPr="000F15BB">
        <w:rPr>
          <w:rFonts w:cs="Times New Roman"/>
          <w:i/>
          <w:iCs/>
          <w:color w:val="000000" w:themeColor="text1"/>
        </w:rPr>
        <w:t>NHS vision and national context - Doncaster and Bassetlaw Teaching Hospitals</w:t>
      </w:r>
      <w:r w:rsidRPr="000F15BB">
        <w:rPr>
          <w:rFonts w:cs="Times New Roman"/>
          <w:color w:val="000000" w:themeColor="text1"/>
        </w:rPr>
        <w:t>. [online] Available at: https://www.dbth.nhs.uk/about-us/how-we-are-run/trust-strategy/nhs-vision-and-national-context/?utm_source=chatgpt.com [Accessed 9 July 2026].</w:t>
      </w:r>
    </w:p>
    <w:p w14:paraId="12202384" w14:textId="77777777" w:rsidR="006A738A" w:rsidRPr="006B77FC" w:rsidRDefault="006A738A" w:rsidP="006B77FC">
      <w:pPr>
        <w:spacing w:before="120" w:after="120" w:line="360" w:lineRule="auto"/>
        <w:rPr>
          <w:rFonts w:cs="Times New Roman"/>
          <w:color w:val="000000" w:themeColor="text1"/>
        </w:rPr>
      </w:pPr>
      <w:r w:rsidRPr="006B77FC">
        <w:rPr>
          <w:rFonts w:cs="Times New Roman"/>
          <w:color w:val="000000" w:themeColor="text1"/>
        </w:rPr>
        <w:lastRenderedPageBreak/>
        <w:t xml:space="preserve">Equality Human Rights (2020). </w:t>
      </w:r>
      <w:r w:rsidRPr="006B77FC">
        <w:rPr>
          <w:rFonts w:cs="Times New Roman"/>
          <w:i/>
          <w:iCs/>
          <w:color w:val="000000" w:themeColor="text1"/>
        </w:rPr>
        <w:t>Equality and Human Rights Commission</w:t>
      </w:r>
      <w:r w:rsidRPr="006B77FC">
        <w:rPr>
          <w:rFonts w:cs="Times New Roman"/>
          <w:color w:val="000000" w:themeColor="text1"/>
        </w:rPr>
        <w:t>. [online] www.equalityhumanrights.com. Available at: https://www.equalityhumanrights.com/ [Accessed 9 July 2026].</w:t>
      </w:r>
    </w:p>
    <w:p w14:paraId="75FF49CE" w14:textId="77777777" w:rsidR="006A738A" w:rsidRPr="009A0373" w:rsidRDefault="006A738A" w:rsidP="00853A62">
      <w:pPr>
        <w:spacing w:before="120" w:after="120" w:line="360" w:lineRule="auto"/>
        <w:rPr>
          <w:rFonts w:cs="Times New Roman"/>
          <w:color w:val="000000" w:themeColor="text1"/>
        </w:rPr>
      </w:pPr>
      <w:r w:rsidRPr="009A0373">
        <w:rPr>
          <w:rFonts w:cs="Times New Roman"/>
          <w:color w:val="000000" w:themeColor="text1"/>
          <w:shd w:val="clear" w:color="auto" w:fill="FFFFFF"/>
        </w:rPr>
        <w:t xml:space="preserve">Garg, A., Estevao, C. and </w:t>
      </w:r>
      <w:proofErr w:type="spellStart"/>
      <w:r w:rsidRPr="009A0373">
        <w:rPr>
          <w:rFonts w:cs="Times New Roman"/>
          <w:color w:val="000000" w:themeColor="text1"/>
          <w:shd w:val="clear" w:color="auto" w:fill="FFFFFF"/>
        </w:rPr>
        <w:t>Chetri</w:t>
      </w:r>
      <w:proofErr w:type="spellEnd"/>
      <w:r w:rsidRPr="009A0373">
        <w:rPr>
          <w:rFonts w:cs="Times New Roman"/>
          <w:color w:val="000000" w:themeColor="text1"/>
          <w:shd w:val="clear" w:color="auto" w:fill="FFFFFF"/>
        </w:rPr>
        <w:t>, S. (2026) Yoga for Healthy Ageing: Evidence, Clinical Practice, and Policy Implications in the WHO Decade of Healthy Ageing.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Journal of Ageing and Longevity</w:t>
      </w:r>
      <w:r w:rsidRPr="009A0373">
        <w:rPr>
          <w:rFonts w:cs="Times New Roman"/>
          <w:color w:val="000000" w:themeColor="text1"/>
          <w:shd w:val="clear" w:color="auto" w:fill="FFFFFF"/>
        </w:rPr>
        <w:t>,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6</w:t>
      </w:r>
      <w:r w:rsidRPr="009A0373">
        <w:rPr>
          <w:rFonts w:cs="Times New Roman"/>
          <w:color w:val="000000" w:themeColor="text1"/>
          <w:shd w:val="clear" w:color="auto" w:fill="FFFFFF"/>
        </w:rPr>
        <w:t>(1), p.14.</w:t>
      </w:r>
      <w:r w:rsidRPr="009A0373">
        <w:rPr>
          <w:rFonts w:cs="Times New Roman"/>
          <w:color w:val="000000" w:themeColor="text1"/>
        </w:rPr>
        <w:t xml:space="preserve"> </w:t>
      </w:r>
      <w:hyperlink r:id="rId7" w:history="1">
        <w:r w:rsidRPr="009A0373">
          <w:rPr>
            <w:rStyle w:val="Hyperlink"/>
            <w:rFonts w:cs="Times New Roman"/>
            <w:color w:val="000000" w:themeColor="text1"/>
            <w:shd w:val="clear" w:color="auto" w:fill="FFFFFF"/>
          </w:rPr>
          <w:t>https://www.mdpi.com/2673-9259/6/1/14</w:t>
        </w:r>
      </w:hyperlink>
    </w:p>
    <w:p w14:paraId="5DBF4F48" w14:textId="77777777" w:rsidR="006A738A" w:rsidRPr="00900153" w:rsidRDefault="006A738A" w:rsidP="00900153">
      <w:pPr>
        <w:spacing w:before="120" w:after="120" w:line="360" w:lineRule="auto"/>
        <w:rPr>
          <w:rFonts w:cs="Times New Roman"/>
          <w:color w:val="000000" w:themeColor="text1"/>
        </w:rPr>
      </w:pPr>
      <w:r w:rsidRPr="00900153">
        <w:rPr>
          <w:rFonts w:cs="Times New Roman"/>
          <w:color w:val="000000" w:themeColor="text1"/>
        </w:rPr>
        <w:t xml:space="preserve">GOV.UK (2013). </w:t>
      </w:r>
      <w:r w:rsidRPr="00900153">
        <w:rPr>
          <w:rFonts w:cs="Times New Roman"/>
          <w:i/>
          <w:iCs/>
          <w:color w:val="000000" w:themeColor="text1"/>
        </w:rPr>
        <w:t>Equality Act 2010</w:t>
      </w:r>
      <w:r w:rsidRPr="00900153">
        <w:rPr>
          <w:rFonts w:cs="Times New Roman"/>
          <w:color w:val="000000" w:themeColor="text1"/>
        </w:rPr>
        <w:t>. [online] GOV.UK. Available at: https://www.gov.uk/guidance/equality-act-2010-guidance [Accessed 9 July 2026].</w:t>
      </w:r>
    </w:p>
    <w:p w14:paraId="0F516948" w14:textId="77777777" w:rsidR="006A738A" w:rsidRDefault="006A738A" w:rsidP="00AC6AE9">
      <w:pPr>
        <w:spacing w:before="120" w:after="120" w:line="360" w:lineRule="auto"/>
      </w:pPr>
      <w:r w:rsidRPr="009A0373">
        <w:rPr>
          <w:rFonts w:cs="Times New Roman"/>
          <w:color w:val="000000" w:themeColor="text1"/>
          <w:shd w:val="clear" w:color="auto" w:fill="FFFFFF"/>
        </w:rPr>
        <w:t>Haesler, E., McAuliffe, L., Fetherstonhaugh, D. and Solly, K. (2026) Strategies to promote effective staff-family relationships in the care of older people in residential aged care settings: A systematic review.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International Journal of Nursing Studies</w:t>
      </w:r>
      <w:r w:rsidRPr="009A0373">
        <w:rPr>
          <w:rFonts w:cs="Times New Roman"/>
          <w:color w:val="000000" w:themeColor="text1"/>
          <w:shd w:val="clear" w:color="auto" w:fill="FFFFFF"/>
        </w:rPr>
        <w:t>, p.105338.</w:t>
      </w:r>
      <w:r w:rsidRPr="009A0373">
        <w:rPr>
          <w:rFonts w:cs="Times New Roman"/>
          <w:color w:val="000000" w:themeColor="text1"/>
        </w:rPr>
        <w:t xml:space="preserve"> </w:t>
      </w:r>
      <w:hyperlink r:id="rId8" w:history="1">
        <w:r w:rsidRPr="009A0373">
          <w:rPr>
            <w:rStyle w:val="Hyperlink"/>
            <w:rFonts w:cs="Times New Roman"/>
            <w:color w:val="000000" w:themeColor="text1"/>
            <w:shd w:val="clear" w:color="auto" w:fill="FFFFFF"/>
          </w:rPr>
          <w:t>https://www.sciencedirect.com/science/article/pii/S0020748926000106</w:t>
        </w:r>
      </w:hyperlink>
    </w:p>
    <w:p w14:paraId="4140A6C1" w14:textId="77777777" w:rsidR="006A738A" w:rsidRPr="009A0373" w:rsidRDefault="006A738A" w:rsidP="00AE59F9">
      <w:pPr>
        <w:spacing w:before="120" w:after="120" w:line="360" w:lineRule="auto"/>
        <w:rPr>
          <w:rFonts w:cs="Times New Roman"/>
          <w:color w:val="000000" w:themeColor="text1"/>
        </w:rPr>
      </w:pPr>
      <w:r w:rsidRPr="009A0373">
        <w:rPr>
          <w:rFonts w:cs="Times New Roman"/>
          <w:color w:val="000000" w:themeColor="text1"/>
          <w:shd w:val="clear" w:color="auto" w:fill="FFFFFF"/>
        </w:rPr>
        <w:t>Heffernan, E., Ayling, K., Ewart, C., Smith, S., Calvert, S., Maru, D., Straus, J., Dening, T. and Henshaw, H. (2026) 3726 Navigating primary care with hearing loss: a mixed methods study of lived and professional experiences in the UK.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Age and Ageing</w:t>
      </w:r>
      <w:r w:rsidRPr="009A0373">
        <w:rPr>
          <w:rFonts w:cs="Times New Roman"/>
          <w:color w:val="000000" w:themeColor="text1"/>
          <w:shd w:val="clear" w:color="auto" w:fill="FFFFFF"/>
        </w:rPr>
        <w:t>,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55</w:t>
      </w:r>
      <w:r w:rsidRPr="009A0373">
        <w:rPr>
          <w:rFonts w:cs="Times New Roman"/>
          <w:color w:val="000000" w:themeColor="text1"/>
          <w:shd w:val="clear" w:color="auto" w:fill="FFFFFF"/>
        </w:rPr>
        <w:t xml:space="preserve">(Supplement_1), </w:t>
      </w:r>
      <w:proofErr w:type="gramStart"/>
      <w:r w:rsidRPr="009A0373">
        <w:rPr>
          <w:rFonts w:cs="Times New Roman"/>
          <w:color w:val="000000" w:themeColor="text1"/>
          <w:shd w:val="clear" w:color="auto" w:fill="FFFFFF"/>
        </w:rPr>
        <w:t>pp.afaf</w:t>
      </w:r>
      <w:proofErr w:type="gramEnd"/>
      <w:r w:rsidRPr="009A0373">
        <w:rPr>
          <w:rFonts w:cs="Times New Roman"/>
          <w:color w:val="000000" w:themeColor="text1"/>
          <w:shd w:val="clear" w:color="auto" w:fill="FFFFFF"/>
        </w:rPr>
        <w:t>368-110.</w:t>
      </w:r>
      <w:r w:rsidRPr="009A0373">
        <w:rPr>
          <w:rFonts w:cs="Times New Roman"/>
          <w:color w:val="000000" w:themeColor="text1"/>
        </w:rPr>
        <w:t xml:space="preserve"> </w:t>
      </w:r>
      <w:hyperlink r:id="rId9" w:history="1">
        <w:r w:rsidRPr="009A0373">
          <w:rPr>
            <w:rStyle w:val="Hyperlink"/>
            <w:rFonts w:cs="Times New Roman"/>
            <w:color w:val="000000" w:themeColor="text1"/>
            <w:shd w:val="clear" w:color="auto" w:fill="FFFFFF"/>
          </w:rPr>
          <w:t>https://academic.oup.com/ageing/article-abstract/55/Supplement_1/afaf368.110/8457319</w:t>
        </w:r>
      </w:hyperlink>
    </w:p>
    <w:p w14:paraId="684A0B69" w14:textId="77777777" w:rsidR="006A738A" w:rsidRPr="00493C5D" w:rsidRDefault="006A738A" w:rsidP="00493C5D">
      <w:pPr>
        <w:spacing w:before="120" w:after="120" w:line="360" w:lineRule="auto"/>
        <w:rPr>
          <w:rFonts w:cs="Times New Roman"/>
          <w:color w:val="000000" w:themeColor="text1"/>
        </w:rPr>
      </w:pPr>
      <w:r w:rsidRPr="00493C5D">
        <w:rPr>
          <w:rFonts w:cs="Times New Roman"/>
          <w:color w:val="000000" w:themeColor="text1"/>
        </w:rPr>
        <w:t xml:space="preserve">Hughes, S. and Burch, S. (2019). ‘I’m not just a number on a sheet, I’m a person’: Domiciliary care, self and getting older. </w:t>
      </w:r>
      <w:r w:rsidRPr="00493C5D">
        <w:rPr>
          <w:rFonts w:cs="Times New Roman"/>
          <w:i/>
          <w:iCs/>
          <w:color w:val="000000" w:themeColor="text1"/>
        </w:rPr>
        <w:t>Health &amp; Social Care in the Community</w:t>
      </w:r>
      <w:r w:rsidRPr="00493C5D">
        <w:rPr>
          <w:rFonts w:cs="Times New Roman"/>
          <w:color w:val="000000" w:themeColor="text1"/>
        </w:rPr>
        <w:t>, 28(3). doi:10.1111/hsc.12921.</w:t>
      </w:r>
    </w:p>
    <w:p w14:paraId="7BA4980D" w14:textId="77777777" w:rsidR="006A738A" w:rsidRDefault="006A738A" w:rsidP="00932209">
      <w:pPr>
        <w:spacing w:before="120" w:after="120" w:line="360" w:lineRule="auto"/>
      </w:pPr>
      <w:r w:rsidRPr="009A0373">
        <w:rPr>
          <w:rFonts w:cs="Times New Roman"/>
          <w:color w:val="000000" w:themeColor="text1"/>
          <w:shd w:val="clear" w:color="auto" w:fill="FFFFFF"/>
        </w:rPr>
        <w:t xml:space="preserve">Jat, A., Barton, B., Mathur, R., Isaac, T., Stuart, B., </w:t>
      </w:r>
      <w:proofErr w:type="spellStart"/>
      <w:r w:rsidRPr="009A0373">
        <w:rPr>
          <w:rFonts w:cs="Times New Roman"/>
          <w:color w:val="000000" w:themeColor="text1"/>
          <w:shd w:val="clear" w:color="auto" w:fill="FFFFFF"/>
        </w:rPr>
        <w:t>Hounkpatin</w:t>
      </w:r>
      <w:proofErr w:type="spellEnd"/>
      <w:r w:rsidRPr="009A0373">
        <w:rPr>
          <w:rFonts w:cs="Times New Roman"/>
          <w:color w:val="000000" w:themeColor="text1"/>
          <w:shd w:val="clear" w:color="auto" w:fill="FFFFFF"/>
        </w:rPr>
        <w:t xml:space="preserve">, H. and Dambha-Miller, H. (2026) Remission of Long-Term Conditions Among Adults with Multimorbidity in UK Primary Care: A Retrospective Cohort Study of 4.7 </w:t>
      </w:r>
      <w:proofErr w:type="gramStart"/>
      <w:r w:rsidRPr="009A0373">
        <w:rPr>
          <w:rFonts w:cs="Times New Roman"/>
          <w:color w:val="000000" w:themeColor="text1"/>
          <w:shd w:val="clear" w:color="auto" w:fill="FFFFFF"/>
        </w:rPr>
        <w:t>Million</w:t>
      </w:r>
      <w:proofErr w:type="gramEnd"/>
      <w:r w:rsidRPr="009A0373">
        <w:rPr>
          <w:rFonts w:cs="Times New Roman"/>
          <w:color w:val="000000" w:themeColor="text1"/>
          <w:shd w:val="clear" w:color="auto" w:fill="FFFFFF"/>
        </w:rPr>
        <w:t xml:space="preserve"> People.</w:t>
      </w:r>
      <w:r w:rsidRPr="009A0373">
        <w:rPr>
          <w:rFonts w:cs="Times New Roman"/>
          <w:color w:val="000000" w:themeColor="text1"/>
        </w:rPr>
        <w:t xml:space="preserve"> </w:t>
      </w:r>
      <w:hyperlink r:id="rId10" w:history="1">
        <w:r w:rsidRPr="009A0373">
          <w:rPr>
            <w:rStyle w:val="Hyperlink"/>
            <w:rFonts w:cs="Times New Roman"/>
            <w:color w:val="000000" w:themeColor="text1"/>
            <w:shd w:val="clear" w:color="auto" w:fill="FFFFFF"/>
          </w:rPr>
          <w:t>https://www.preprints.org/manuscript/202601.1039</w:t>
        </w:r>
      </w:hyperlink>
    </w:p>
    <w:p w14:paraId="746A33EA" w14:textId="77777777" w:rsidR="006A738A" w:rsidRPr="009E0851" w:rsidRDefault="006A738A" w:rsidP="009E0851">
      <w:pPr>
        <w:spacing w:before="120" w:after="120" w:line="360" w:lineRule="auto"/>
        <w:rPr>
          <w:rFonts w:cs="Times New Roman"/>
          <w:color w:val="000000" w:themeColor="text1"/>
        </w:rPr>
      </w:pPr>
      <w:r w:rsidRPr="009E0851">
        <w:rPr>
          <w:rFonts w:cs="Times New Roman"/>
          <w:color w:val="000000" w:themeColor="text1"/>
        </w:rPr>
        <w:t xml:space="preserve">KENDALL, J. </w:t>
      </w:r>
      <w:r w:rsidRPr="009E0851">
        <w:rPr>
          <w:rFonts w:cs="Times New Roman"/>
          <w:i/>
          <w:iCs/>
          <w:color w:val="000000" w:themeColor="text1"/>
        </w:rPr>
        <w:t>et al.</w:t>
      </w:r>
      <w:r w:rsidRPr="009E0851">
        <w:rPr>
          <w:rFonts w:cs="Times New Roman"/>
          <w:color w:val="000000" w:themeColor="text1"/>
        </w:rPr>
        <w:t xml:space="preserve"> (2003) “The Motivations of Domiciliary Care Providers in England: New Concepts, New Findings,” </w:t>
      </w:r>
      <w:r w:rsidRPr="009E0851">
        <w:rPr>
          <w:rFonts w:cs="Times New Roman"/>
          <w:i/>
          <w:iCs/>
          <w:color w:val="000000" w:themeColor="text1"/>
        </w:rPr>
        <w:t>Journal of social policy</w:t>
      </w:r>
      <w:r w:rsidRPr="009E0851">
        <w:rPr>
          <w:rFonts w:cs="Times New Roman"/>
          <w:color w:val="000000" w:themeColor="text1"/>
        </w:rPr>
        <w:t>, 32(4), pp. 489–511. Available at: https://doi.org/10.1017/S0047279403007128.</w:t>
      </w:r>
    </w:p>
    <w:p w14:paraId="29568854" w14:textId="77777777" w:rsidR="006A738A" w:rsidRDefault="006A738A" w:rsidP="00AC6AE9">
      <w:pPr>
        <w:spacing w:before="120" w:after="120" w:line="360" w:lineRule="auto"/>
        <w:rPr>
          <w:rFonts w:cs="Times New Roman"/>
          <w:color w:val="000000" w:themeColor="text1"/>
        </w:rPr>
      </w:pPr>
      <w:r w:rsidRPr="00216DDA">
        <w:rPr>
          <w:rFonts w:cs="Times New Roman"/>
          <w:color w:val="000000" w:themeColor="text1"/>
        </w:rPr>
        <w:lastRenderedPageBreak/>
        <w:t>Pollock, K. </w:t>
      </w:r>
      <w:r w:rsidRPr="00216DDA">
        <w:rPr>
          <w:rFonts w:cs="Times New Roman"/>
          <w:i/>
          <w:iCs/>
          <w:color w:val="000000" w:themeColor="text1"/>
        </w:rPr>
        <w:t>et al.</w:t>
      </w:r>
      <w:r w:rsidRPr="00216DDA">
        <w:rPr>
          <w:rFonts w:cs="Times New Roman"/>
          <w:color w:val="000000" w:themeColor="text1"/>
        </w:rPr>
        <w:t xml:space="preserve"> (2021) ‘What do family </w:t>
      </w:r>
      <w:proofErr w:type="gramStart"/>
      <w:r w:rsidRPr="00216DDA">
        <w:rPr>
          <w:rFonts w:cs="Times New Roman"/>
          <w:color w:val="000000" w:themeColor="text1"/>
        </w:rPr>
        <w:t>care-givers</w:t>
      </w:r>
      <w:proofErr w:type="gramEnd"/>
      <w:r w:rsidRPr="00216DDA">
        <w:rPr>
          <w:rFonts w:cs="Times New Roman"/>
          <w:color w:val="000000" w:themeColor="text1"/>
        </w:rPr>
        <w:t xml:space="preserve"> want from domiciliary care for relatives living with dementia? A qualitative study’, </w:t>
      </w:r>
      <w:r w:rsidRPr="00216DDA">
        <w:rPr>
          <w:rFonts w:cs="Times New Roman"/>
          <w:i/>
          <w:iCs/>
          <w:color w:val="000000" w:themeColor="text1"/>
        </w:rPr>
        <w:t>Ageing and Society</w:t>
      </w:r>
      <w:r w:rsidRPr="00216DDA">
        <w:rPr>
          <w:rFonts w:cs="Times New Roman"/>
          <w:color w:val="000000" w:themeColor="text1"/>
        </w:rPr>
        <w:t>, 41(9), pp. 2060–2073. doi:10.1017/S0144686X20000185.</w:t>
      </w:r>
    </w:p>
    <w:p w14:paraId="77B8BCC7" w14:textId="77777777" w:rsidR="006A738A" w:rsidRDefault="006A738A" w:rsidP="001B1099">
      <w:r w:rsidRPr="001B1099">
        <w:t xml:space="preserve"> </w:t>
      </w:r>
      <w:r>
        <w:t>Reeves, C., Islam, A. and Gentry, T. (2023) The State of Health and Care of Older People, 2023 (abridged). Age UK. Available at: https://www.ageuk.org.uk/siteassets/documents/reports-and-publications/reports-and-briefings/health--wellbeing/age-uk-briefing-state-of-health-and-care-july-2023-abridged-version.pdf.</w:t>
      </w:r>
    </w:p>
    <w:p w14:paraId="052F1C54" w14:textId="77777777" w:rsidR="006A738A" w:rsidRDefault="006A738A" w:rsidP="00AC6AE9">
      <w:pPr>
        <w:spacing w:before="120" w:after="120" w:line="360" w:lineRule="auto"/>
        <w:rPr>
          <w:rFonts w:cs="Times New Roman"/>
          <w:color w:val="000000" w:themeColor="text1"/>
        </w:rPr>
      </w:pPr>
      <w:r w:rsidRPr="00AC6AE9">
        <w:rPr>
          <w:rFonts w:cs="Times New Roman"/>
          <w:color w:val="000000" w:themeColor="text1"/>
        </w:rPr>
        <w:t xml:space="preserve">The Health Foundation. (2022). </w:t>
      </w:r>
      <w:r w:rsidRPr="00AC6AE9">
        <w:rPr>
          <w:rFonts w:cs="Times New Roman"/>
          <w:i/>
          <w:iCs/>
          <w:color w:val="000000" w:themeColor="text1"/>
        </w:rPr>
        <w:t>The cost of caring: poverty and deprivation among residential care workers in the UK</w:t>
      </w:r>
      <w:r w:rsidRPr="00AC6AE9">
        <w:rPr>
          <w:rFonts w:cs="Times New Roman"/>
          <w:color w:val="000000" w:themeColor="text1"/>
        </w:rPr>
        <w:t>. [online] Available at: https://www.health.org.uk/reports-and-analysis/briefings/the-cost-of-caring-poverty-and-deprivation-among-residential-care [Accessed 6 July 2026].</w:t>
      </w:r>
    </w:p>
    <w:p w14:paraId="7B5E63B5" w14:textId="77777777" w:rsidR="006A738A" w:rsidRPr="00212DAA" w:rsidRDefault="006A738A" w:rsidP="00212DAA">
      <w:pPr>
        <w:spacing w:before="120" w:after="120" w:line="360" w:lineRule="auto"/>
        <w:rPr>
          <w:rFonts w:cs="Times New Roman"/>
          <w:color w:val="000000" w:themeColor="text1"/>
        </w:rPr>
      </w:pPr>
      <w:proofErr w:type="spellStart"/>
      <w:r w:rsidRPr="00212DAA">
        <w:rPr>
          <w:rFonts w:cs="Times New Roman"/>
          <w:color w:val="000000" w:themeColor="text1"/>
        </w:rPr>
        <w:t>Vadean</w:t>
      </w:r>
      <w:proofErr w:type="spellEnd"/>
      <w:r w:rsidRPr="00212DAA">
        <w:rPr>
          <w:rFonts w:cs="Times New Roman"/>
          <w:color w:val="000000" w:themeColor="text1"/>
        </w:rPr>
        <w:t xml:space="preserve">, F. </w:t>
      </w:r>
      <w:r w:rsidRPr="00212DAA">
        <w:rPr>
          <w:rFonts w:cs="Times New Roman"/>
          <w:i/>
          <w:iCs/>
          <w:color w:val="000000" w:themeColor="text1"/>
        </w:rPr>
        <w:t>et al.</w:t>
      </w:r>
      <w:r w:rsidRPr="00212DAA">
        <w:rPr>
          <w:rFonts w:cs="Times New Roman"/>
          <w:color w:val="000000" w:themeColor="text1"/>
        </w:rPr>
        <w:t xml:space="preserve"> (2026) “The benefits and costs of domiciliary care: a study protocol for evaluating the cost-effectiveness of domiciliary care in England,” </w:t>
      </w:r>
      <w:r w:rsidRPr="00212DAA">
        <w:rPr>
          <w:rFonts w:cs="Times New Roman"/>
          <w:i/>
          <w:iCs/>
          <w:color w:val="000000" w:themeColor="text1"/>
        </w:rPr>
        <w:t>BMJ open</w:t>
      </w:r>
      <w:r w:rsidRPr="00212DAA">
        <w:rPr>
          <w:rFonts w:cs="Times New Roman"/>
          <w:color w:val="000000" w:themeColor="text1"/>
        </w:rPr>
        <w:t>, 16(6), p. e117555. Available at: https://doi.org/10.1136/bmjopen-2026-117555.</w:t>
      </w:r>
    </w:p>
    <w:p w14:paraId="6F240280" w14:textId="77777777" w:rsidR="006A738A" w:rsidRPr="009A0373" w:rsidRDefault="006A738A" w:rsidP="002D0F22">
      <w:pPr>
        <w:spacing w:before="120" w:after="120" w:line="360" w:lineRule="auto"/>
        <w:rPr>
          <w:rStyle w:val="Hyperlink"/>
          <w:rFonts w:cs="Times New Roman"/>
          <w:color w:val="000000" w:themeColor="text1"/>
          <w:shd w:val="clear" w:color="auto" w:fill="FFFFFF"/>
        </w:rPr>
      </w:pPr>
      <w:proofErr w:type="spellStart"/>
      <w:r w:rsidRPr="009A0373">
        <w:rPr>
          <w:rFonts w:cs="Times New Roman"/>
          <w:color w:val="000000" w:themeColor="text1"/>
          <w:shd w:val="clear" w:color="auto" w:fill="FFFFFF"/>
        </w:rPr>
        <w:t>Zagler</w:t>
      </w:r>
      <w:proofErr w:type="spellEnd"/>
      <w:r w:rsidRPr="009A0373">
        <w:rPr>
          <w:rFonts w:cs="Times New Roman"/>
          <w:color w:val="000000" w:themeColor="text1"/>
          <w:shd w:val="clear" w:color="auto" w:fill="FFFFFF"/>
        </w:rPr>
        <w:t xml:space="preserve">, J., Parrella, A., Clark, T., Brown, A., </w:t>
      </w:r>
      <w:proofErr w:type="spellStart"/>
      <w:r w:rsidRPr="009A0373">
        <w:rPr>
          <w:rFonts w:cs="Times New Roman"/>
          <w:color w:val="000000" w:themeColor="text1"/>
          <w:shd w:val="clear" w:color="auto" w:fill="FFFFFF"/>
        </w:rPr>
        <w:t>Veziari</w:t>
      </w:r>
      <w:proofErr w:type="spellEnd"/>
      <w:r w:rsidRPr="009A0373">
        <w:rPr>
          <w:rFonts w:cs="Times New Roman"/>
          <w:color w:val="000000" w:themeColor="text1"/>
          <w:shd w:val="clear" w:color="auto" w:fill="FFFFFF"/>
        </w:rPr>
        <w:t xml:space="preserve">, Y., </w:t>
      </w:r>
      <w:proofErr w:type="spellStart"/>
      <w:r w:rsidRPr="009A0373">
        <w:rPr>
          <w:rFonts w:cs="Times New Roman"/>
          <w:color w:val="000000" w:themeColor="text1"/>
          <w:shd w:val="clear" w:color="auto" w:fill="FFFFFF"/>
        </w:rPr>
        <w:t>Braunack</w:t>
      </w:r>
      <w:proofErr w:type="spellEnd"/>
      <w:r w:rsidRPr="009A0373">
        <w:rPr>
          <w:rFonts w:cs="Times New Roman"/>
          <w:color w:val="000000" w:themeColor="text1"/>
          <w:shd w:val="clear" w:color="auto" w:fill="FFFFFF"/>
        </w:rPr>
        <w:t>-Mayer, A. and Pearson, O. (2026) Barriers and enablers to supporting the healthy ageing needs of Aboriginal and Torres Strait Islander peoples within aged care: A qualitative study.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Health &amp; Social Care in the Community</w:t>
      </w:r>
      <w:r w:rsidRPr="009A0373">
        <w:rPr>
          <w:rFonts w:cs="Times New Roman"/>
          <w:color w:val="000000" w:themeColor="text1"/>
          <w:shd w:val="clear" w:color="auto" w:fill="FFFFFF"/>
        </w:rPr>
        <w:t>, </w:t>
      </w:r>
      <w:r w:rsidRPr="009A0373">
        <w:rPr>
          <w:rFonts w:cs="Times New Roman"/>
          <w:i/>
          <w:iCs/>
          <w:color w:val="000000" w:themeColor="text1"/>
          <w:shd w:val="clear" w:color="auto" w:fill="FFFFFF"/>
        </w:rPr>
        <w:t>2026</w:t>
      </w:r>
      <w:r w:rsidRPr="009A0373">
        <w:rPr>
          <w:rFonts w:cs="Times New Roman"/>
          <w:color w:val="000000" w:themeColor="text1"/>
          <w:shd w:val="clear" w:color="auto" w:fill="FFFFFF"/>
        </w:rPr>
        <w:t>(1), p.3660368.</w:t>
      </w:r>
      <w:r w:rsidRPr="009A0373">
        <w:rPr>
          <w:rFonts w:cs="Times New Roman"/>
          <w:color w:val="000000" w:themeColor="text1"/>
        </w:rPr>
        <w:t xml:space="preserve"> </w:t>
      </w:r>
      <w:hyperlink r:id="rId11" w:history="1">
        <w:r w:rsidRPr="009A0373">
          <w:rPr>
            <w:rStyle w:val="Hyperlink"/>
            <w:rFonts w:cs="Times New Roman"/>
            <w:color w:val="000000" w:themeColor="text1"/>
            <w:shd w:val="clear" w:color="auto" w:fill="FFFFFF"/>
          </w:rPr>
          <w:t>https://onlinelibrary.wiley.com/doi/abs/10.1155/hsc/3660368</w:t>
        </w:r>
      </w:hyperlink>
    </w:p>
    <w:sectPr w:rsidR="006A738A" w:rsidRPr="009A03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8630E6" w14:textId="77777777" w:rsidR="00AA5371" w:rsidRDefault="00AA5371" w:rsidP="00C049C5">
      <w:pPr>
        <w:spacing w:after="0" w:line="240" w:lineRule="auto"/>
      </w:pPr>
      <w:r>
        <w:separator/>
      </w:r>
    </w:p>
  </w:endnote>
  <w:endnote w:type="continuationSeparator" w:id="0">
    <w:p w14:paraId="7C3AFB94" w14:textId="77777777" w:rsidR="00AA5371" w:rsidRDefault="00AA5371" w:rsidP="00C049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ED1E92" w14:textId="77777777" w:rsidR="00AA5371" w:rsidRDefault="00AA5371" w:rsidP="00C049C5">
      <w:pPr>
        <w:spacing w:after="0" w:line="240" w:lineRule="auto"/>
      </w:pPr>
      <w:r>
        <w:separator/>
      </w:r>
    </w:p>
  </w:footnote>
  <w:footnote w:type="continuationSeparator" w:id="0">
    <w:p w14:paraId="62560DEF" w14:textId="77777777" w:rsidR="00AA5371" w:rsidRDefault="00AA5371" w:rsidP="00C049C5">
      <w:pPr>
        <w:spacing w:after="0" w:line="240" w:lineRule="auto"/>
      </w:pPr>
      <w:r>
        <w:continuationSeparator/>
      </w:r>
    </w:p>
  </w:footnote>
  <w:footnote w:id="1">
    <w:p w14:paraId="20C036D3" w14:textId="7AA0CB4F" w:rsidR="00C049C5" w:rsidRDefault="00C049C5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9C5"/>
    <w:rsid w:val="00026A31"/>
    <w:rsid w:val="000D6C00"/>
    <w:rsid w:val="000E66A0"/>
    <w:rsid w:val="000F15BB"/>
    <w:rsid w:val="001B1099"/>
    <w:rsid w:val="00212DAA"/>
    <w:rsid w:val="00216DDA"/>
    <w:rsid w:val="00265C7A"/>
    <w:rsid w:val="002D0F22"/>
    <w:rsid w:val="003C7EA7"/>
    <w:rsid w:val="0044687B"/>
    <w:rsid w:val="0046523E"/>
    <w:rsid w:val="00493C5D"/>
    <w:rsid w:val="00545609"/>
    <w:rsid w:val="00546EF2"/>
    <w:rsid w:val="006A738A"/>
    <w:rsid w:val="006B77FC"/>
    <w:rsid w:val="00853A62"/>
    <w:rsid w:val="008A060C"/>
    <w:rsid w:val="00900153"/>
    <w:rsid w:val="00932209"/>
    <w:rsid w:val="00937EEE"/>
    <w:rsid w:val="00950642"/>
    <w:rsid w:val="009E0851"/>
    <w:rsid w:val="00AA5371"/>
    <w:rsid w:val="00AC4EA3"/>
    <w:rsid w:val="00AC6AE9"/>
    <w:rsid w:val="00AE59F9"/>
    <w:rsid w:val="00C049C5"/>
    <w:rsid w:val="00CC5FC1"/>
    <w:rsid w:val="00DE0B7D"/>
    <w:rsid w:val="00E41DE5"/>
    <w:rsid w:val="00F23B5F"/>
    <w:rsid w:val="00F74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CF91A"/>
  <w15:chartTrackingRefBased/>
  <w15:docId w15:val="{0EC9ACD2-4A6B-4606-88AF-F113FCDD1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49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49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49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49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49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49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49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49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49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49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49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49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49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49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49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49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49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49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49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49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49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49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49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49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49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49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49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49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49C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049C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049C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049C5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C0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3220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0020748926000106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mdpi.com/2673-9259/6/1/14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dpi.com/2227-7080/14/2/90" TargetMode="External"/><Relationship Id="rId11" Type="http://schemas.openxmlformats.org/officeDocument/2006/relationships/hyperlink" Target="https://onlinelibrary.wiley.com/doi/abs/10.1155/hsc/3660368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preprints.org/manuscript/202601.1039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cademic.oup.com/ageing/article-abstract/55/Supplement_1/afaf368.110/84573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3082</TotalTime>
  <Pages>4</Pages>
  <Words>884</Words>
  <Characters>5044</Characters>
  <Application>Microsoft Office Word</Application>
  <DocSecurity>0</DocSecurity>
  <Lines>42</Lines>
  <Paragraphs>11</Paragraphs>
  <ScaleCrop>false</ScaleCrop>
  <Company/>
  <LinksUpToDate>false</LinksUpToDate>
  <CharactersWithSpaces>5917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Augustine Ajayi</dc:creator>
  <cp:keywords/>
  <dc:description/>
  <cp:lastModifiedBy>Augustine Ajayi</cp:lastModifiedBy>
  <cp:revision>32</cp:revision>
  <dcterms:created xsi:type="dcterms:W3CDTF">2026-06-29T16:29:00Z</dcterms:created>
  <dcterms:modified xsi:type="dcterms:W3CDTF">2026-07-09T21:34:00Z</dcterms:modified>
</cp:coreProperties>
</file>