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10191" w14:textId="77777777" w:rsidR="00CE49BA" w:rsidRPr="00CE49BA" w:rsidRDefault="00CE49BA" w:rsidP="00CE49BA">
      <w:pPr>
        <w:spacing w:before="240" w:after="0" w:line="240" w:lineRule="auto"/>
        <w:rPr>
          <w:rFonts w:ascii="Arial" w:eastAsia="Times New Roman" w:hAnsi="Arial" w:cs="Arial"/>
          <w:b/>
          <w:bCs/>
          <w:color w:val="333333"/>
          <w:sz w:val="72"/>
          <w:szCs w:val="72"/>
          <w:lang w:eastAsia="en-GB"/>
        </w:rPr>
      </w:pPr>
      <w:r w:rsidRPr="00CE49BA">
        <w:rPr>
          <w:rFonts w:ascii="Arial" w:eastAsia="Times New Roman" w:hAnsi="Arial" w:cs="Arial"/>
          <w:b/>
          <w:bCs/>
          <w:color w:val="333333"/>
          <w:sz w:val="72"/>
          <w:szCs w:val="72"/>
          <w:lang w:eastAsia="en-GB"/>
        </w:rPr>
        <w:t>JUDGEMENT</w:t>
      </w:r>
    </w:p>
    <w:p w14:paraId="2DB5E8D3" w14:textId="77777777" w:rsidR="00CE49BA" w:rsidRPr="00CE49BA" w:rsidRDefault="00CE49BA" w:rsidP="00CE49BA">
      <w:pPr>
        <w:spacing w:before="240" w:after="0" w:line="240" w:lineRule="auto"/>
        <w:rPr>
          <w:rFonts w:ascii="Arial" w:eastAsia="Times New Roman" w:hAnsi="Arial" w:cs="Arial"/>
          <w:color w:val="333333"/>
          <w:sz w:val="72"/>
          <w:szCs w:val="72"/>
          <w:lang w:eastAsia="en-GB"/>
        </w:rPr>
      </w:pPr>
      <w:r w:rsidRPr="00CE49BA">
        <w:rPr>
          <w:rFonts w:ascii="Arial" w:eastAsia="Times New Roman" w:hAnsi="Arial" w:cs="Arial"/>
          <w:color w:val="333333"/>
          <w:sz w:val="72"/>
          <w:szCs w:val="72"/>
          <w:lang w:eastAsia="en-GB"/>
        </w:rPr>
        <w:t>The employment tribunal found that Patel's </w:t>
      </w:r>
      <w:hyperlink r:id="rId4" w:tgtFrame="_blank" w:history="1">
        <w:r w:rsidRPr="00CE49BA">
          <w:rPr>
            <w:rFonts w:ascii="Arial" w:eastAsia="Times New Roman" w:hAnsi="Arial" w:cs="Arial"/>
            <w:b/>
            <w:bCs/>
            <w:color w:val="077FA0"/>
            <w:sz w:val="72"/>
            <w:szCs w:val="72"/>
            <w:u w:val="single"/>
            <w:lang w:eastAsia="en-GB"/>
          </w:rPr>
          <w:t>unfair dismissal was racially discriminatory</w:t>
        </w:r>
      </w:hyperlink>
      <w:r w:rsidRPr="00CE49BA">
        <w:rPr>
          <w:rFonts w:ascii="Arial" w:eastAsia="Times New Roman" w:hAnsi="Arial" w:cs="Arial"/>
          <w:color w:val="333333"/>
          <w:sz w:val="72"/>
          <w:szCs w:val="72"/>
          <w:lang w:eastAsia="en-GB"/>
        </w:rPr>
        <w:t> since his ethnic origin was used as grounds to deny him an opportunity he deserved.</w:t>
      </w:r>
    </w:p>
    <w:p w14:paraId="36B1B5A1" w14:textId="77777777" w:rsidR="00CE49BA" w:rsidRPr="00CE49BA" w:rsidRDefault="00CE49BA" w:rsidP="00CE49BA">
      <w:pPr>
        <w:spacing w:before="240" w:after="0" w:line="240" w:lineRule="auto"/>
        <w:rPr>
          <w:rFonts w:ascii="Arial" w:eastAsia="Times New Roman" w:hAnsi="Arial" w:cs="Arial"/>
          <w:color w:val="333333"/>
          <w:sz w:val="72"/>
          <w:szCs w:val="72"/>
          <w:lang w:eastAsia="en-GB"/>
        </w:rPr>
      </w:pPr>
    </w:p>
    <w:p w14:paraId="2A1889CE" w14:textId="77777777" w:rsidR="00664317" w:rsidRPr="00CE49BA" w:rsidRDefault="00664317">
      <w:pPr>
        <w:rPr>
          <w:sz w:val="72"/>
          <w:szCs w:val="72"/>
        </w:rPr>
      </w:pPr>
    </w:p>
    <w:sectPr w:rsidR="00664317" w:rsidRPr="00CE4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9BA"/>
    <w:rsid w:val="00664317"/>
    <w:rsid w:val="00CE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D5F72"/>
  <w15:chartTrackingRefBased/>
  <w15:docId w15:val="{C456DA6A-BACD-4B1E-9F3C-9EE92B3F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9B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killcast.com/blog/avoid-unfair-dismissal-clai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1</cp:revision>
  <dcterms:created xsi:type="dcterms:W3CDTF">2023-03-19T16:43:00Z</dcterms:created>
  <dcterms:modified xsi:type="dcterms:W3CDTF">2023-03-19T16:45:00Z</dcterms:modified>
</cp:coreProperties>
</file>