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3F4BE" w14:textId="77777777" w:rsidR="0018682E" w:rsidRPr="00F23A22" w:rsidRDefault="0018682E" w:rsidP="0018682E">
      <w:pPr>
        <w:pStyle w:val="Photo"/>
        <w:keepNext/>
      </w:pPr>
      <w:r w:rsidRPr="00F23A22">
        <w:t> </w:t>
      </w:r>
      <w:r w:rsidRPr="00F23A22">
        <w:drawing>
          <wp:inline distT="0" distB="0" distL="0" distR="0" wp14:anchorId="26DE6A74" wp14:editId="4C02C658">
            <wp:extent cx="5274310" cy="4072255"/>
            <wp:effectExtent l="0" t="0" r="2540" b="4445"/>
            <wp:docPr id="1046785791" name="Picture 2" descr="A green and white object with a mouth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green and white object with a mouth ope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4072255"/>
                    </a:xfrm>
                    <a:prstGeom prst="rect">
                      <a:avLst/>
                    </a:prstGeom>
                    <a:noFill/>
                    <a:ln>
                      <a:noFill/>
                    </a:ln>
                  </pic:spPr>
                </pic:pic>
              </a:graphicData>
            </a:graphic>
          </wp:inline>
        </w:drawing>
      </w:r>
    </w:p>
    <w:p w14:paraId="57D3534B" w14:textId="19F57EB2" w:rsidR="00C6554A" w:rsidRPr="00F23A22" w:rsidRDefault="0018682E" w:rsidP="0018682E">
      <w:pPr>
        <w:pStyle w:val="Caption"/>
        <w:jc w:val="center"/>
      </w:pPr>
      <w:bookmarkStart w:id="0" w:name="_Toc165833240"/>
      <w:r w:rsidRPr="00F23A22">
        <w:t xml:space="preserve">Cover Image </w:t>
      </w:r>
      <w:r w:rsidRPr="00F23A22">
        <w:fldChar w:fldCharType="begin"/>
      </w:r>
      <w:r w:rsidRPr="00F23A22">
        <w:instrText xml:space="preserve"> SEQ Cover_Image \* ARABIC </w:instrText>
      </w:r>
      <w:r w:rsidRPr="00F23A22">
        <w:fldChar w:fldCharType="separate"/>
      </w:r>
      <w:r w:rsidRPr="00F23A22">
        <w:t>1</w:t>
      </w:r>
      <w:r w:rsidRPr="00F23A22">
        <w:fldChar w:fldCharType="end"/>
      </w:r>
      <w:r w:rsidRPr="00F23A22">
        <w:t>: A CAD Drawing of a Proposed Shaped Charge Design</w:t>
      </w:r>
      <w:sdt>
        <w:sdtPr>
          <w:id w:val="-375388184"/>
          <w:citation/>
        </w:sdtPr>
        <w:sdtContent>
          <w:r w:rsidRPr="00F23A22">
            <w:fldChar w:fldCharType="begin"/>
          </w:r>
          <w:r w:rsidRPr="00F23A22">
            <w:instrText xml:space="preserve"> CITATION McA24 \l 2057 </w:instrText>
          </w:r>
          <w:r w:rsidRPr="00F23A22">
            <w:fldChar w:fldCharType="separate"/>
          </w:r>
          <w:r w:rsidR="00082702">
            <w:rPr>
              <w:noProof/>
            </w:rPr>
            <w:t xml:space="preserve"> </w:t>
          </w:r>
          <w:r w:rsidR="00082702" w:rsidRPr="00082702">
            <w:rPr>
              <w:noProof/>
            </w:rPr>
            <w:t>[1]</w:t>
          </w:r>
          <w:r w:rsidRPr="00F23A22">
            <w:fldChar w:fldCharType="end"/>
          </w:r>
        </w:sdtContent>
      </w:sdt>
      <w:bookmarkEnd w:id="0"/>
    </w:p>
    <w:p w14:paraId="612F4520" w14:textId="22B52932" w:rsidR="00C6554A" w:rsidRPr="00F23A22" w:rsidRDefault="00ED463E" w:rsidP="00C6554A">
      <w:pPr>
        <w:pStyle w:val="Title"/>
      </w:pPr>
      <w:r w:rsidRPr="00F23A22">
        <w:t>Design Process of a Replacement for the Rapid Cratering Kit</w:t>
      </w:r>
    </w:p>
    <w:p w14:paraId="6D7BD781" w14:textId="20B004A2" w:rsidR="00C6554A" w:rsidRPr="00F23A22" w:rsidRDefault="00ED463E" w:rsidP="00C6554A">
      <w:pPr>
        <w:pStyle w:val="Subtitle"/>
      </w:pPr>
      <w:r w:rsidRPr="00F23A22">
        <w:t>OME Group Project</w:t>
      </w:r>
    </w:p>
    <w:p w14:paraId="43076BDF" w14:textId="7489B1AB" w:rsidR="00C6554A" w:rsidRPr="00F23A22" w:rsidRDefault="00ED463E" w:rsidP="00C6554A">
      <w:pPr>
        <w:pStyle w:val="ContactInfo"/>
      </w:pPr>
      <w:r w:rsidRPr="00F23A22">
        <w:t>Silas Blevins</w:t>
      </w:r>
      <w:r w:rsidR="00C6554A" w:rsidRPr="00F23A22">
        <w:rPr>
          <w:lang w:bidi="en-GB"/>
        </w:rPr>
        <w:t xml:space="preserve"> | </w:t>
      </w:r>
      <w:r w:rsidRPr="00F23A22">
        <w:t>OME Degree Apprenticeship</w:t>
      </w:r>
      <w:r w:rsidR="00C6554A" w:rsidRPr="00F23A22">
        <w:rPr>
          <w:lang w:bidi="en-GB"/>
        </w:rPr>
        <w:t xml:space="preserve"> | </w:t>
      </w:r>
      <w:r w:rsidRPr="00F23A22">
        <w:t>May 2024</w:t>
      </w:r>
      <w:r w:rsidR="00C6554A" w:rsidRPr="00F23A22">
        <w:rPr>
          <w:lang w:bidi="en-GB"/>
        </w:rPr>
        <w:br w:type="page"/>
      </w:r>
    </w:p>
    <w:p w14:paraId="3A0D5027" w14:textId="424F7A85" w:rsidR="00000000" w:rsidRDefault="00ED463E" w:rsidP="00ED463E">
      <w:pPr>
        <w:pStyle w:val="Heading1"/>
      </w:pPr>
      <w:bookmarkStart w:id="1" w:name="_Toc165833477"/>
      <w:r w:rsidRPr="00F23A22">
        <w:lastRenderedPageBreak/>
        <w:t>Abstract</w:t>
      </w:r>
      <w:bookmarkEnd w:id="1"/>
    </w:p>
    <w:p w14:paraId="6B06093C" w14:textId="1F1E3C59" w:rsidR="00082702" w:rsidRPr="00082702" w:rsidRDefault="00082702" w:rsidP="00082702">
      <w:r>
        <w:t>A requirement was identified to bring a new cratering charge into service as the original design is not compliant with Insensitive Munition Regulations. This report covers the design process of the munition, the collaboration within the design team, and the conclusion of suitability for service along with further avenues of study and analysis as recommended when the design was presented to a review panel.</w:t>
      </w:r>
    </w:p>
    <w:p w14:paraId="16696A9D" w14:textId="77777777" w:rsidR="00ED463E" w:rsidRPr="00F23A22" w:rsidRDefault="00ED463E" w:rsidP="00ED463E"/>
    <w:p w14:paraId="59C38112" w14:textId="77777777" w:rsidR="00ED463E" w:rsidRPr="00F23A22" w:rsidRDefault="00ED463E" w:rsidP="00ED463E"/>
    <w:p w14:paraId="511ADF52" w14:textId="77777777" w:rsidR="00ED463E" w:rsidRPr="00F23A22" w:rsidRDefault="00ED463E" w:rsidP="00ED463E"/>
    <w:p w14:paraId="13BC0598" w14:textId="77777777" w:rsidR="00ED463E" w:rsidRPr="00F23A22" w:rsidRDefault="00ED463E" w:rsidP="00ED463E"/>
    <w:p w14:paraId="47579C3A" w14:textId="77777777" w:rsidR="00ED463E" w:rsidRPr="00F23A22" w:rsidRDefault="00ED463E" w:rsidP="00ED463E"/>
    <w:p w14:paraId="3D42F9FC" w14:textId="77777777" w:rsidR="00ED463E" w:rsidRPr="00F23A22" w:rsidRDefault="00ED463E" w:rsidP="00ED463E"/>
    <w:p w14:paraId="52FAA8D7" w14:textId="77777777" w:rsidR="00ED463E" w:rsidRPr="00F23A22" w:rsidRDefault="00ED463E" w:rsidP="00ED463E"/>
    <w:p w14:paraId="3BDA3D53" w14:textId="77777777" w:rsidR="00ED463E" w:rsidRPr="00F23A22" w:rsidRDefault="00ED463E" w:rsidP="00ED463E"/>
    <w:p w14:paraId="511A744B" w14:textId="77777777" w:rsidR="00ED463E" w:rsidRPr="00F23A22" w:rsidRDefault="00ED463E" w:rsidP="00ED463E"/>
    <w:p w14:paraId="4A892B4C" w14:textId="77777777" w:rsidR="00ED463E" w:rsidRPr="00F23A22" w:rsidRDefault="00ED463E" w:rsidP="00ED463E"/>
    <w:p w14:paraId="6CFE6757" w14:textId="77777777" w:rsidR="00ED463E" w:rsidRPr="00F23A22" w:rsidRDefault="00ED463E" w:rsidP="00ED463E"/>
    <w:p w14:paraId="0F763E50" w14:textId="77777777" w:rsidR="00ED463E" w:rsidRPr="00F23A22" w:rsidRDefault="00ED463E" w:rsidP="00ED463E"/>
    <w:p w14:paraId="4EA26022" w14:textId="77777777" w:rsidR="00ED463E" w:rsidRPr="00F23A22" w:rsidRDefault="00ED463E" w:rsidP="00ED463E"/>
    <w:p w14:paraId="586F78A5" w14:textId="77777777" w:rsidR="00ED463E" w:rsidRPr="00F23A22" w:rsidRDefault="00ED463E" w:rsidP="00ED463E"/>
    <w:p w14:paraId="50641672" w14:textId="77777777" w:rsidR="00ED463E" w:rsidRPr="00F23A22" w:rsidRDefault="00ED463E" w:rsidP="00ED463E"/>
    <w:p w14:paraId="5504141C" w14:textId="77777777" w:rsidR="00ED463E" w:rsidRPr="00F23A22" w:rsidRDefault="00ED463E" w:rsidP="00ED463E"/>
    <w:p w14:paraId="28518581" w14:textId="77777777" w:rsidR="00ED463E" w:rsidRPr="00F23A22" w:rsidRDefault="00ED463E" w:rsidP="00ED463E"/>
    <w:p w14:paraId="4AEB1B96" w14:textId="77777777" w:rsidR="00ED463E" w:rsidRPr="00F23A22" w:rsidRDefault="00ED463E" w:rsidP="00ED463E"/>
    <w:p w14:paraId="3EC912BE" w14:textId="77777777" w:rsidR="00ED463E" w:rsidRPr="00F23A22" w:rsidRDefault="00ED463E" w:rsidP="00ED463E"/>
    <w:p w14:paraId="47355F94" w14:textId="77777777" w:rsidR="00ED463E" w:rsidRPr="00F23A22" w:rsidRDefault="00ED463E" w:rsidP="00ED463E"/>
    <w:p w14:paraId="5AEC6E3D" w14:textId="77777777" w:rsidR="00ED463E" w:rsidRPr="00F23A22" w:rsidRDefault="00ED463E" w:rsidP="00ED463E"/>
    <w:p w14:paraId="39C16839" w14:textId="77777777" w:rsidR="00ED463E" w:rsidRPr="00F23A22" w:rsidRDefault="00ED463E" w:rsidP="00ED463E"/>
    <w:p w14:paraId="06E6D9F0" w14:textId="77777777" w:rsidR="008620DB" w:rsidRPr="008620DB" w:rsidRDefault="008620DB" w:rsidP="00082702"/>
    <w:sdt>
      <w:sdtPr>
        <w:id w:val="-14073234"/>
        <w:docPartObj>
          <w:docPartGallery w:val="Table of Contents"/>
          <w:docPartUnique/>
        </w:docPartObj>
      </w:sdtPr>
      <w:sdtEndPr>
        <w:rPr>
          <w:rFonts w:asciiTheme="minorHAnsi" w:eastAsiaTheme="minorHAnsi" w:hAnsiTheme="minorHAnsi" w:cstheme="minorBidi"/>
          <w:b/>
          <w:bCs/>
          <w:color w:val="595959" w:themeColor="text1" w:themeTint="A6"/>
          <w:sz w:val="22"/>
          <w:szCs w:val="22"/>
        </w:rPr>
      </w:sdtEndPr>
      <w:sdtContent>
        <w:p w14:paraId="24D4501D" w14:textId="77547EE7" w:rsidR="00ED463E" w:rsidRPr="00F23A22" w:rsidRDefault="00ED463E">
          <w:pPr>
            <w:pStyle w:val="TOCHeading"/>
          </w:pPr>
          <w:r w:rsidRPr="00F23A22">
            <w:t>Table of Contents</w:t>
          </w:r>
        </w:p>
        <w:p w14:paraId="1FA73038" w14:textId="612E71E8" w:rsidR="00082702" w:rsidRDefault="00ED463E">
          <w:pPr>
            <w:pStyle w:val="TOC1"/>
            <w:tabs>
              <w:tab w:val="right" w:leader="dot" w:pos="8296"/>
            </w:tabs>
            <w:rPr>
              <w:rFonts w:eastAsiaTheme="minorEastAsia"/>
              <w:noProof/>
              <w:color w:val="auto"/>
              <w:kern w:val="2"/>
              <w:sz w:val="24"/>
              <w:szCs w:val="24"/>
              <w:lang w:eastAsia="en-GB"/>
              <w14:ligatures w14:val="standardContextual"/>
            </w:rPr>
          </w:pPr>
          <w:r w:rsidRPr="00F23A22">
            <w:fldChar w:fldCharType="begin"/>
          </w:r>
          <w:r w:rsidRPr="00F23A22">
            <w:instrText xml:space="preserve"> TOC \o "1-3" \h \z \u </w:instrText>
          </w:r>
          <w:r w:rsidRPr="00F23A22">
            <w:fldChar w:fldCharType="separate"/>
          </w:r>
          <w:hyperlink w:anchor="_Toc165833477" w:history="1">
            <w:r w:rsidR="00082702" w:rsidRPr="00657367">
              <w:rPr>
                <w:rStyle w:val="Hyperlink"/>
                <w:noProof/>
              </w:rPr>
              <w:t>Abstract</w:t>
            </w:r>
            <w:r w:rsidR="00082702">
              <w:rPr>
                <w:noProof/>
                <w:webHidden/>
              </w:rPr>
              <w:tab/>
            </w:r>
            <w:r w:rsidR="00082702">
              <w:rPr>
                <w:noProof/>
                <w:webHidden/>
              </w:rPr>
              <w:fldChar w:fldCharType="begin"/>
            </w:r>
            <w:r w:rsidR="00082702">
              <w:rPr>
                <w:noProof/>
                <w:webHidden/>
              </w:rPr>
              <w:instrText xml:space="preserve"> PAGEREF _Toc165833477 \h </w:instrText>
            </w:r>
            <w:r w:rsidR="00082702">
              <w:rPr>
                <w:noProof/>
                <w:webHidden/>
              </w:rPr>
            </w:r>
            <w:r w:rsidR="00082702">
              <w:rPr>
                <w:noProof/>
                <w:webHidden/>
              </w:rPr>
              <w:fldChar w:fldCharType="separate"/>
            </w:r>
            <w:r w:rsidR="00082702">
              <w:rPr>
                <w:noProof/>
                <w:webHidden/>
              </w:rPr>
              <w:t>1</w:t>
            </w:r>
            <w:r w:rsidR="00082702">
              <w:rPr>
                <w:noProof/>
                <w:webHidden/>
              </w:rPr>
              <w:fldChar w:fldCharType="end"/>
            </w:r>
          </w:hyperlink>
        </w:p>
        <w:p w14:paraId="6BF19980" w14:textId="235B147D" w:rsidR="00082702" w:rsidRDefault="00082702">
          <w:pPr>
            <w:pStyle w:val="TOC1"/>
            <w:tabs>
              <w:tab w:val="right" w:leader="dot" w:pos="8296"/>
            </w:tabs>
            <w:rPr>
              <w:rFonts w:eastAsiaTheme="minorEastAsia"/>
              <w:noProof/>
              <w:color w:val="auto"/>
              <w:kern w:val="2"/>
              <w:sz w:val="24"/>
              <w:szCs w:val="24"/>
              <w:lang w:eastAsia="en-GB"/>
              <w14:ligatures w14:val="standardContextual"/>
            </w:rPr>
          </w:pPr>
          <w:hyperlink w:anchor="_Toc165833478" w:history="1">
            <w:r w:rsidRPr="00657367">
              <w:rPr>
                <w:rStyle w:val="Hyperlink"/>
                <w:noProof/>
              </w:rPr>
              <w:t>Table of Figures</w:t>
            </w:r>
            <w:r>
              <w:rPr>
                <w:noProof/>
                <w:webHidden/>
              </w:rPr>
              <w:tab/>
            </w:r>
            <w:r>
              <w:rPr>
                <w:noProof/>
                <w:webHidden/>
              </w:rPr>
              <w:fldChar w:fldCharType="begin"/>
            </w:r>
            <w:r>
              <w:rPr>
                <w:noProof/>
                <w:webHidden/>
              </w:rPr>
              <w:instrText xml:space="preserve"> PAGEREF _Toc165833478 \h </w:instrText>
            </w:r>
            <w:r>
              <w:rPr>
                <w:noProof/>
                <w:webHidden/>
              </w:rPr>
            </w:r>
            <w:r>
              <w:rPr>
                <w:noProof/>
                <w:webHidden/>
              </w:rPr>
              <w:fldChar w:fldCharType="separate"/>
            </w:r>
            <w:r>
              <w:rPr>
                <w:noProof/>
                <w:webHidden/>
              </w:rPr>
              <w:t>3</w:t>
            </w:r>
            <w:r>
              <w:rPr>
                <w:noProof/>
                <w:webHidden/>
              </w:rPr>
              <w:fldChar w:fldCharType="end"/>
            </w:r>
          </w:hyperlink>
        </w:p>
        <w:p w14:paraId="2E9AB671" w14:textId="68A5F551" w:rsidR="00082702" w:rsidRDefault="00082702">
          <w:pPr>
            <w:pStyle w:val="TOC1"/>
            <w:tabs>
              <w:tab w:val="right" w:leader="dot" w:pos="8296"/>
            </w:tabs>
            <w:rPr>
              <w:rFonts w:eastAsiaTheme="minorEastAsia"/>
              <w:noProof/>
              <w:color w:val="auto"/>
              <w:kern w:val="2"/>
              <w:sz w:val="24"/>
              <w:szCs w:val="24"/>
              <w:lang w:eastAsia="en-GB"/>
              <w14:ligatures w14:val="standardContextual"/>
            </w:rPr>
          </w:pPr>
          <w:hyperlink w:anchor="_Toc165833479" w:history="1">
            <w:r w:rsidRPr="00657367">
              <w:rPr>
                <w:rStyle w:val="Hyperlink"/>
                <w:noProof/>
              </w:rPr>
              <w:t>List of Tables</w:t>
            </w:r>
            <w:r>
              <w:rPr>
                <w:noProof/>
                <w:webHidden/>
              </w:rPr>
              <w:tab/>
            </w:r>
            <w:r>
              <w:rPr>
                <w:noProof/>
                <w:webHidden/>
              </w:rPr>
              <w:fldChar w:fldCharType="begin"/>
            </w:r>
            <w:r>
              <w:rPr>
                <w:noProof/>
                <w:webHidden/>
              </w:rPr>
              <w:instrText xml:space="preserve"> PAGEREF _Toc165833479 \h </w:instrText>
            </w:r>
            <w:r>
              <w:rPr>
                <w:noProof/>
                <w:webHidden/>
              </w:rPr>
            </w:r>
            <w:r>
              <w:rPr>
                <w:noProof/>
                <w:webHidden/>
              </w:rPr>
              <w:fldChar w:fldCharType="separate"/>
            </w:r>
            <w:r>
              <w:rPr>
                <w:noProof/>
                <w:webHidden/>
              </w:rPr>
              <w:t>4</w:t>
            </w:r>
            <w:r>
              <w:rPr>
                <w:noProof/>
                <w:webHidden/>
              </w:rPr>
              <w:fldChar w:fldCharType="end"/>
            </w:r>
          </w:hyperlink>
        </w:p>
        <w:p w14:paraId="0055D91B" w14:textId="36DE0835" w:rsidR="00082702" w:rsidRDefault="00082702">
          <w:pPr>
            <w:pStyle w:val="TOC1"/>
            <w:tabs>
              <w:tab w:val="right" w:leader="dot" w:pos="8296"/>
            </w:tabs>
            <w:rPr>
              <w:rFonts w:eastAsiaTheme="minorEastAsia"/>
              <w:noProof/>
              <w:color w:val="auto"/>
              <w:kern w:val="2"/>
              <w:sz w:val="24"/>
              <w:szCs w:val="24"/>
              <w:lang w:eastAsia="en-GB"/>
              <w14:ligatures w14:val="standardContextual"/>
            </w:rPr>
          </w:pPr>
          <w:hyperlink w:anchor="_Toc165833480" w:history="1">
            <w:r w:rsidRPr="00657367">
              <w:rPr>
                <w:rStyle w:val="Hyperlink"/>
                <w:noProof/>
              </w:rPr>
              <w:t>List of Equations</w:t>
            </w:r>
            <w:r>
              <w:rPr>
                <w:noProof/>
                <w:webHidden/>
              </w:rPr>
              <w:tab/>
            </w:r>
            <w:r>
              <w:rPr>
                <w:noProof/>
                <w:webHidden/>
              </w:rPr>
              <w:fldChar w:fldCharType="begin"/>
            </w:r>
            <w:r>
              <w:rPr>
                <w:noProof/>
                <w:webHidden/>
              </w:rPr>
              <w:instrText xml:space="preserve"> PAGEREF _Toc165833480 \h </w:instrText>
            </w:r>
            <w:r>
              <w:rPr>
                <w:noProof/>
                <w:webHidden/>
              </w:rPr>
            </w:r>
            <w:r>
              <w:rPr>
                <w:noProof/>
                <w:webHidden/>
              </w:rPr>
              <w:fldChar w:fldCharType="separate"/>
            </w:r>
            <w:r>
              <w:rPr>
                <w:noProof/>
                <w:webHidden/>
              </w:rPr>
              <w:t>4</w:t>
            </w:r>
            <w:r>
              <w:rPr>
                <w:noProof/>
                <w:webHidden/>
              </w:rPr>
              <w:fldChar w:fldCharType="end"/>
            </w:r>
          </w:hyperlink>
        </w:p>
        <w:p w14:paraId="7876A24B" w14:textId="3A16116E" w:rsidR="00082702" w:rsidRDefault="00082702">
          <w:pPr>
            <w:pStyle w:val="TOC1"/>
            <w:tabs>
              <w:tab w:val="right" w:leader="dot" w:pos="8296"/>
            </w:tabs>
            <w:rPr>
              <w:rFonts w:eastAsiaTheme="minorEastAsia"/>
              <w:noProof/>
              <w:color w:val="auto"/>
              <w:kern w:val="2"/>
              <w:sz w:val="24"/>
              <w:szCs w:val="24"/>
              <w:lang w:eastAsia="en-GB"/>
              <w14:ligatures w14:val="standardContextual"/>
            </w:rPr>
          </w:pPr>
          <w:hyperlink w:anchor="_Toc165833481" w:history="1">
            <w:r w:rsidRPr="00657367">
              <w:rPr>
                <w:rStyle w:val="Hyperlink"/>
                <w:noProof/>
              </w:rPr>
              <w:t>1 Introduction</w:t>
            </w:r>
            <w:r>
              <w:rPr>
                <w:noProof/>
                <w:webHidden/>
              </w:rPr>
              <w:tab/>
            </w:r>
            <w:r>
              <w:rPr>
                <w:noProof/>
                <w:webHidden/>
              </w:rPr>
              <w:fldChar w:fldCharType="begin"/>
            </w:r>
            <w:r>
              <w:rPr>
                <w:noProof/>
                <w:webHidden/>
              </w:rPr>
              <w:instrText xml:space="preserve"> PAGEREF _Toc165833481 \h </w:instrText>
            </w:r>
            <w:r>
              <w:rPr>
                <w:noProof/>
                <w:webHidden/>
              </w:rPr>
            </w:r>
            <w:r>
              <w:rPr>
                <w:noProof/>
                <w:webHidden/>
              </w:rPr>
              <w:fldChar w:fldCharType="separate"/>
            </w:r>
            <w:r>
              <w:rPr>
                <w:noProof/>
                <w:webHidden/>
              </w:rPr>
              <w:t>6</w:t>
            </w:r>
            <w:r>
              <w:rPr>
                <w:noProof/>
                <w:webHidden/>
              </w:rPr>
              <w:fldChar w:fldCharType="end"/>
            </w:r>
          </w:hyperlink>
        </w:p>
        <w:p w14:paraId="7A3D0E01" w14:textId="3E27BE49" w:rsidR="00082702" w:rsidRDefault="00082702">
          <w:pPr>
            <w:pStyle w:val="TOC3"/>
            <w:tabs>
              <w:tab w:val="left" w:pos="1200"/>
              <w:tab w:val="right" w:leader="dot" w:pos="8296"/>
            </w:tabs>
            <w:rPr>
              <w:rFonts w:eastAsiaTheme="minorEastAsia"/>
              <w:noProof/>
              <w:color w:val="auto"/>
              <w:kern w:val="2"/>
              <w:sz w:val="24"/>
              <w:szCs w:val="24"/>
              <w:lang w:eastAsia="en-GB"/>
              <w14:ligatures w14:val="standardContextual"/>
            </w:rPr>
          </w:pPr>
          <w:hyperlink w:anchor="_Toc165833482" w:history="1">
            <w:r w:rsidRPr="00657367">
              <w:rPr>
                <w:rStyle w:val="Hyperlink"/>
                <w:noProof/>
              </w:rPr>
              <w:t>1.1</w:t>
            </w:r>
            <w:r>
              <w:rPr>
                <w:rFonts w:eastAsiaTheme="minorEastAsia"/>
                <w:noProof/>
                <w:color w:val="auto"/>
                <w:kern w:val="2"/>
                <w:sz w:val="24"/>
                <w:szCs w:val="24"/>
                <w:lang w:eastAsia="en-GB"/>
                <w14:ligatures w14:val="standardContextual"/>
              </w:rPr>
              <w:tab/>
            </w:r>
            <w:r w:rsidRPr="00657367">
              <w:rPr>
                <w:rStyle w:val="Hyperlink"/>
                <w:noProof/>
              </w:rPr>
              <w:t>Requirements and Background</w:t>
            </w:r>
            <w:r>
              <w:rPr>
                <w:noProof/>
                <w:webHidden/>
              </w:rPr>
              <w:tab/>
            </w:r>
            <w:r>
              <w:rPr>
                <w:noProof/>
                <w:webHidden/>
              </w:rPr>
              <w:fldChar w:fldCharType="begin"/>
            </w:r>
            <w:r>
              <w:rPr>
                <w:noProof/>
                <w:webHidden/>
              </w:rPr>
              <w:instrText xml:space="preserve"> PAGEREF _Toc165833482 \h </w:instrText>
            </w:r>
            <w:r>
              <w:rPr>
                <w:noProof/>
                <w:webHidden/>
              </w:rPr>
            </w:r>
            <w:r>
              <w:rPr>
                <w:noProof/>
                <w:webHidden/>
              </w:rPr>
              <w:fldChar w:fldCharType="separate"/>
            </w:r>
            <w:r>
              <w:rPr>
                <w:noProof/>
                <w:webHidden/>
              </w:rPr>
              <w:t>6</w:t>
            </w:r>
            <w:r>
              <w:rPr>
                <w:noProof/>
                <w:webHidden/>
              </w:rPr>
              <w:fldChar w:fldCharType="end"/>
            </w:r>
          </w:hyperlink>
        </w:p>
        <w:p w14:paraId="134F4735" w14:textId="0B5F2E46" w:rsidR="00082702" w:rsidRDefault="00082702">
          <w:pPr>
            <w:pStyle w:val="TOC3"/>
            <w:tabs>
              <w:tab w:val="left" w:pos="1200"/>
              <w:tab w:val="right" w:leader="dot" w:pos="8296"/>
            </w:tabs>
            <w:rPr>
              <w:rFonts w:eastAsiaTheme="minorEastAsia"/>
              <w:noProof/>
              <w:color w:val="auto"/>
              <w:kern w:val="2"/>
              <w:sz w:val="24"/>
              <w:szCs w:val="24"/>
              <w:lang w:eastAsia="en-GB"/>
              <w14:ligatures w14:val="standardContextual"/>
            </w:rPr>
          </w:pPr>
          <w:hyperlink w:anchor="_Toc165833483" w:history="1">
            <w:r w:rsidRPr="00657367">
              <w:rPr>
                <w:rStyle w:val="Hyperlink"/>
                <w:noProof/>
              </w:rPr>
              <w:t>1.2</w:t>
            </w:r>
            <w:r>
              <w:rPr>
                <w:rFonts w:eastAsiaTheme="minorEastAsia"/>
                <w:noProof/>
                <w:color w:val="auto"/>
                <w:kern w:val="2"/>
                <w:sz w:val="24"/>
                <w:szCs w:val="24"/>
                <w:lang w:eastAsia="en-GB"/>
                <w14:ligatures w14:val="standardContextual"/>
              </w:rPr>
              <w:tab/>
            </w:r>
            <w:r w:rsidRPr="00657367">
              <w:rPr>
                <w:rStyle w:val="Hyperlink"/>
                <w:noProof/>
              </w:rPr>
              <w:t>Scope of Report</w:t>
            </w:r>
            <w:r>
              <w:rPr>
                <w:noProof/>
                <w:webHidden/>
              </w:rPr>
              <w:tab/>
            </w:r>
            <w:r>
              <w:rPr>
                <w:noProof/>
                <w:webHidden/>
              </w:rPr>
              <w:fldChar w:fldCharType="begin"/>
            </w:r>
            <w:r>
              <w:rPr>
                <w:noProof/>
                <w:webHidden/>
              </w:rPr>
              <w:instrText xml:space="preserve"> PAGEREF _Toc165833483 \h </w:instrText>
            </w:r>
            <w:r>
              <w:rPr>
                <w:noProof/>
                <w:webHidden/>
              </w:rPr>
            </w:r>
            <w:r>
              <w:rPr>
                <w:noProof/>
                <w:webHidden/>
              </w:rPr>
              <w:fldChar w:fldCharType="separate"/>
            </w:r>
            <w:r>
              <w:rPr>
                <w:noProof/>
                <w:webHidden/>
              </w:rPr>
              <w:t>6</w:t>
            </w:r>
            <w:r>
              <w:rPr>
                <w:noProof/>
                <w:webHidden/>
              </w:rPr>
              <w:fldChar w:fldCharType="end"/>
            </w:r>
          </w:hyperlink>
        </w:p>
        <w:p w14:paraId="636B860E" w14:textId="49EEEDD7" w:rsidR="00082702" w:rsidRDefault="00082702">
          <w:pPr>
            <w:pStyle w:val="TOC3"/>
            <w:tabs>
              <w:tab w:val="left" w:pos="1200"/>
              <w:tab w:val="right" w:leader="dot" w:pos="8296"/>
            </w:tabs>
            <w:rPr>
              <w:rFonts w:eastAsiaTheme="minorEastAsia"/>
              <w:noProof/>
              <w:color w:val="auto"/>
              <w:kern w:val="2"/>
              <w:sz w:val="24"/>
              <w:szCs w:val="24"/>
              <w:lang w:eastAsia="en-GB"/>
              <w14:ligatures w14:val="standardContextual"/>
            </w:rPr>
          </w:pPr>
          <w:hyperlink w:anchor="_Toc165833484" w:history="1">
            <w:r w:rsidRPr="00657367">
              <w:rPr>
                <w:rStyle w:val="Hyperlink"/>
                <w:noProof/>
              </w:rPr>
              <w:t>1.3</w:t>
            </w:r>
            <w:r>
              <w:rPr>
                <w:rFonts w:eastAsiaTheme="minorEastAsia"/>
                <w:noProof/>
                <w:color w:val="auto"/>
                <w:kern w:val="2"/>
                <w:sz w:val="24"/>
                <w:szCs w:val="24"/>
                <w:lang w:eastAsia="en-GB"/>
                <w14:ligatures w14:val="standardContextual"/>
              </w:rPr>
              <w:tab/>
            </w:r>
            <w:r w:rsidRPr="00657367">
              <w:rPr>
                <w:rStyle w:val="Hyperlink"/>
                <w:noProof/>
              </w:rPr>
              <w:t>Proposal</w:t>
            </w:r>
            <w:r>
              <w:rPr>
                <w:noProof/>
                <w:webHidden/>
              </w:rPr>
              <w:tab/>
            </w:r>
            <w:r>
              <w:rPr>
                <w:noProof/>
                <w:webHidden/>
              </w:rPr>
              <w:fldChar w:fldCharType="begin"/>
            </w:r>
            <w:r>
              <w:rPr>
                <w:noProof/>
                <w:webHidden/>
              </w:rPr>
              <w:instrText xml:space="preserve"> PAGEREF _Toc165833484 \h </w:instrText>
            </w:r>
            <w:r>
              <w:rPr>
                <w:noProof/>
                <w:webHidden/>
              </w:rPr>
            </w:r>
            <w:r>
              <w:rPr>
                <w:noProof/>
                <w:webHidden/>
              </w:rPr>
              <w:fldChar w:fldCharType="separate"/>
            </w:r>
            <w:r>
              <w:rPr>
                <w:noProof/>
                <w:webHidden/>
              </w:rPr>
              <w:t>7</w:t>
            </w:r>
            <w:r>
              <w:rPr>
                <w:noProof/>
                <w:webHidden/>
              </w:rPr>
              <w:fldChar w:fldCharType="end"/>
            </w:r>
          </w:hyperlink>
        </w:p>
        <w:p w14:paraId="2F02C411" w14:textId="058699FB" w:rsidR="00082702" w:rsidRDefault="00082702">
          <w:pPr>
            <w:pStyle w:val="TOC1"/>
            <w:tabs>
              <w:tab w:val="left" w:pos="440"/>
              <w:tab w:val="right" w:leader="dot" w:pos="8296"/>
            </w:tabs>
            <w:rPr>
              <w:rFonts w:eastAsiaTheme="minorEastAsia"/>
              <w:noProof/>
              <w:color w:val="auto"/>
              <w:kern w:val="2"/>
              <w:sz w:val="24"/>
              <w:szCs w:val="24"/>
              <w:lang w:eastAsia="en-GB"/>
              <w14:ligatures w14:val="standardContextual"/>
            </w:rPr>
          </w:pPr>
          <w:hyperlink w:anchor="_Toc165833485" w:history="1">
            <w:r w:rsidRPr="00657367">
              <w:rPr>
                <w:rStyle w:val="Hyperlink"/>
                <w:noProof/>
              </w:rPr>
              <w:t>2</w:t>
            </w:r>
            <w:r>
              <w:rPr>
                <w:rFonts w:eastAsiaTheme="minorEastAsia"/>
                <w:noProof/>
                <w:color w:val="auto"/>
                <w:kern w:val="2"/>
                <w:sz w:val="24"/>
                <w:szCs w:val="24"/>
                <w:lang w:eastAsia="en-GB"/>
                <w14:ligatures w14:val="standardContextual"/>
              </w:rPr>
              <w:tab/>
            </w:r>
            <w:r w:rsidRPr="00657367">
              <w:rPr>
                <w:rStyle w:val="Hyperlink"/>
                <w:noProof/>
              </w:rPr>
              <w:t>Design</w:t>
            </w:r>
            <w:r>
              <w:rPr>
                <w:noProof/>
                <w:webHidden/>
              </w:rPr>
              <w:tab/>
            </w:r>
            <w:r>
              <w:rPr>
                <w:noProof/>
                <w:webHidden/>
              </w:rPr>
              <w:fldChar w:fldCharType="begin"/>
            </w:r>
            <w:r>
              <w:rPr>
                <w:noProof/>
                <w:webHidden/>
              </w:rPr>
              <w:instrText xml:space="preserve"> PAGEREF _Toc165833485 \h </w:instrText>
            </w:r>
            <w:r>
              <w:rPr>
                <w:noProof/>
                <w:webHidden/>
              </w:rPr>
            </w:r>
            <w:r>
              <w:rPr>
                <w:noProof/>
                <w:webHidden/>
              </w:rPr>
              <w:fldChar w:fldCharType="separate"/>
            </w:r>
            <w:r>
              <w:rPr>
                <w:noProof/>
                <w:webHidden/>
              </w:rPr>
              <w:t>8</w:t>
            </w:r>
            <w:r>
              <w:rPr>
                <w:noProof/>
                <w:webHidden/>
              </w:rPr>
              <w:fldChar w:fldCharType="end"/>
            </w:r>
          </w:hyperlink>
        </w:p>
        <w:p w14:paraId="1828991E" w14:textId="6DF0F751" w:rsidR="00082702" w:rsidRDefault="00082702">
          <w:pPr>
            <w:pStyle w:val="TOC3"/>
            <w:tabs>
              <w:tab w:val="left" w:pos="1200"/>
              <w:tab w:val="right" w:leader="dot" w:pos="8296"/>
            </w:tabs>
            <w:rPr>
              <w:rFonts w:eastAsiaTheme="minorEastAsia"/>
              <w:noProof/>
              <w:color w:val="auto"/>
              <w:kern w:val="2"/>
              <w:sz w:val="24"/>
              <w:szCs w:val="24"/>
              <w:lang w:eastAsia="en-GB"/>
              <w14:ligatures w14:val="standardContextual"/>
            </w:rPr>
          </w:pPr>
          <w:hyperlink w:anchor="_Toc165833486" w:history="1">
            <w:r w:rsidRPr="00657367">
              <w:rPr>
                <w:rStyle w:val="Hyperlink"/>
                <w:noProof/>
              </w:rPr>
              <w:t>2.1</w:t>
            </w:r>
            <w:r>
              <w:rPr>
                <w:rFonts w:eastAsiaTheme="minorEastAsia"/>
                <w:noProof/>
                <w:color w:val="auto"/>
                <w:kern w:val="2"/>
                <w:sz w:val="24"/>
                <w:szCs w:val="24"/>
                <w:lang w:eastAsia="en-GB"/>
                <w14:ligatures w14:val="standardContextual"/>
              </w:rPr>
              <w:tab/>
            </w:r>
            <w:r w:rsidRPr="00657367">
              <w:rPr>
                <w:rStyle w:val="Hyperlink"/>
                <w:noProof/>
              </w:rPr>
              <w:t>Modelling</w:t>
            </w:r>
            <w:r>
              <w:rPr>
                <w:noProof/>
                <w:webHidden/>
              </w:rPr>
              <w:tab/>
            </w:r>
            <w:r>
              <w:rPr>
                <w:noProof/>
                <w:webHidden/>
              </w:rPr>
              <w:fldChar w:fldCharType="begin"/>
            </w:r>
            <w:r>
              <w:rPr>
                <w:noProof/>
                <w:webHidden/>
              </w:rPr>
              <w:instrText xml:space="preserve"> PAGEREF _Toc165833486 \h </w:instrText>
            </w:r>
            <w:r>
              <w:rPr>
                <w:noProof/>
                <w:webHidden/>
              </w:rPr>
            </w:r>
            <w:r>
              <w:rPr>
                <w:noProof/>
                <w:webHidden/>
              </w:rPr>
              <w:fldChar w:fldCharType="separate"/>
            </w:r>
            <w:r>
              <w:rPr>
                <w:noProof/>
                <w:webHidden/>
              </w:rPr>
              <w:t>8</w:t>
            </w:r>
            <w:r>
              <w:rPr>
                <w:noProof/>
                <w:webHidden/>
              </w:rPr>
              <w:fldChar w:fldCharType="end"/>
            </w:r>
          </w:hyperlink>
        </w:p>
        <w:p w14:paraId="6886DEAD" w14:textId="4A3CF3FC" w:rsidR="00082702" w:rsidRDefault="00082702">
          <w:pPr>
            <w:pStyle w:val="TOC3"/>
            <w:tabs>
              <w:tab w:val="left" w:pos="1200"/>
              <w:tab w:val="right" w:leader="dot" w:pos="8296"/>
            </w:tabs>
            <w:rPr>
              <w:rFonts w:eastAsiaTheme="minorEastAsia"/>
              <w:noProof/>
              <w:color w:val="auto"/>
              <w:kern w:val="2"/>
              <w:sz w:val="24"/>
              <w:szCs w:val="24"/>
              <w:lang w:eastAsia="en-GB"/>
              <w14:ligatures w14:val="standardContextual"/>
            </w:rPr>
          </w:pPr>
          <w:hyperlink w:anchor="_Toc165833487" w:history="1">
            <w:r w:rsidRPr="00657367">
              <w:rPr>
                <w:rStyle w:val="Hyperlink"/>
                <w:noProof/>
              </w:rPr>
              <w:t>2.2</w:t>
            </w:r>
            <w:r>
              <w:rPr>
                <w:rFonts w:eastAsiaTheme="minorEastAsia"/>
                <w:noProof/>
                <w:color w:val="auto"/>
                <w:kern w:val="2"/>
                <w:sz w:val="24"/>
                <w:szCs w:val="24"/>
                <w:lang w:eastAsia="en-GB"/>
                <w14:ligatures w14:val="standardContextual"/>
              </w:rPr>
              <w:tab/>
            </w:r>
            <w:r w:rsidRPr="00657367">
              <w:rPr>
                <w:rStyle w:val="Hyperlink"/>
                <w:noProof/>
              </w:rPr>
              <w:t>Manufacture and Packaging</w:t>
            </w:r>
            <w:r>
              <w:rPr>
                <w:noProof/>
                <w:webHidden/>
              </w:rPr>
              <w:tab/>
            </w:r>
            <w:r>
              <w:rPr>
                <w:noProof/>
                <w:webHidden/>
              </w:rPr>
              <w:fldChar w:fldCharType="begin"/>
            </w:r>
            <w:r>
              <w:rPr>
                <w:noProof/>
                <w:webHidden/>
              </w:rPr>
              <w:instrText xml:space="preserve"> PAGEREF _Toc165833487 \h </w:instrText>
            </w:r>
            <w:r>
              <w:rPr>
                <w:noProof/>
                <w:webHidden/>
              </w:rPr>
            </w:r>
            <w:r>
              <w:rPr>
                <w:noProof/>
                <w:webHidden/>
              </w:rPr>
              <w:fldChar w:fldCharType="separate"/>
            </w:r>
            <w:r>
              <w:rPr>
                <w:noProof/>
                <w:webHidden/>
              </w:rPr>
              <w:t>10</w:t>
            </w:r>
            <w:r>
              <w:rPr>
                <w:noProof/>
                <w:webHidden/>
              </w:rPr>
              <w:fldChar w:fldCharType="end"/>
            </w:r>
          </w:hyperlink>
        </w:p>
        <w:p w14:paraId="19197754" w14:textId="17B45512" w:rsidR="00082702" w:rsidRDefault="00082702">
          <w:pPr>
            <w:pStyle w:val="TOC3"/>
            <w:tabs>
              <w:tab w:val="right" w:leader="dot" w:pos="8296"/>
            </w:tabs>
            <w:rPr>
              <w:rFonts w:eastAsiaTheme="minorEastAsia"/>
              <w:noProof/>
              <w:color w:val="auto"/>
              <w:kern w:val="2"/>
              <w:sz w:val="24"/>
              <w:szCs w:val="24"/>
              <w:lang w:eastAsia="en-GB"/>
              <w14:ligatures w14:val="standardContextual"/>
            </w:rPr>
          </w:pPr>
          <w:hyperlink w:anchor="_Toc165833488" w:history="1">
            <w:r w:rsidRPr="00657367">
              <w:rPr>
                <w:rStyle w:val="Hyperlink"/>
                <w:noProof/>
              </w:rPr>
              <w:t>2.3 Sequential Environmental Testing</w:t>
            </w:r>
            <w:r>
              <w:rPr>
                <w:noProof/>
                <w:webHidden/>
              </w:rPr>
              <w:tab/>
            </w:r>
            <w:r>
              <w:rPr>
                <w:noProof/>
                <w:webHidden/>
              </w:rPr>
              <w:fldChar w:fldCharType="begin"/>
            </w:r>
            <w:r>
              <w:rPr>
                <w:noProof/>
                <w:webHidden/>
              </w:rPr>
              <w:instrText xml:space="preserve"> PAGEREF _Toc165833488 \h </w:instrText>
            </w:r>
            <w:r>
              <w:rPr>
                <w:noProof/>
                <w:webHidden/>
              </w:rPr>
            </w:r>
            <w:r>
              <w:rPr>
                <w:noProof/>
                <w:webHidden/>
              </w:rPr>
              <w:fldChar w:fldCharType="separate"/>
            </w:r>
            <w:r>
              <w:rPr>
                <w:noProof/>
                <w:webHidden/>
              </w:rPr>
              <w:t>11</w:t>
            </w:r>
            <w:r>
              <w:rPr>
                <w:noProof/>
                <w:webHidden/>
              </w:rPr>
              <w:fldChar w:fldCharType="end"/>
            </w:r>
          </w:hyperlink>
        </w:p>
        <w:p w14:paraId="01039B40" w14:textId="005F9364" w:rsidR="00082702" w:rsidRDefault="00082702">
          <w:pPr>
            <w:pStyle w:val="TOC3"/>
            <w:tabs>
              <w:tab w:val="right" w:leader="dot" w:pos="8296"/>
            </w:tabs>
            <w:rPr>
              <w:rFonts w:eastAsiaTheme="minorEastAsia"/>
              <w:noProof/>
              <w:color w:val="auto"/>
              <w:kern w:val="2"/>
              <w:sz w:val="24"/>
              <w:szCs w:val="24"/>
              <w:lang w:eastAsia="en-GB"/>
              <w14:ligatures w14:val="standardContextual"/>
            </w:rPr>
          </w:pPr>
          <w:hyperlink w:anchor="_Toc165833489" w:history="1">
            <w:r w:rsidRPr="00657367">
              <w:rPr>
                <w:rStyle w:val="Hyperlink"/>
                <w:noProof/>
              </w:rPr>
              <w:t>2.4 Non-Sequential Safety Tests</w:t>
            </w:r>
            <w:r>
              <w:rPr>
                <w:noProof/>
                <w:webHidden/>
              </w:rPr>
              <w:tab/>
            </w:r>
            <w:r>
              <w:rPr>
                <w:noProof/>
                <w:webHidden/>
              </w:rPr>
              <w:fldChar w:fldCharType="begin"/>
            </w:r>
            <w:r>
              <w:rPr>
                <w:noProof/>
                <w:webHidden/>
              </w:rPr>
              <w:instrText xml:space="preserve"> PAGEREF _Toc165833489 \h </w:instrText>
            </w:r>
            <w:r>
              <w:rPr>
                <w:noProof/>
                <w:webHidden/>
              </w:rPr>
            </w:r>
            <w:r>
              <w:rPr>
                <w:noProof/>
                <w:webHidden/>
              </w:rPr>
              <w:fldChar w:fldCharType="separate"/>
            </w:r>
            <w:r>
              <w:rPr>
                <w:noProof/>
                <w:webHidden/>
              </w:rPr>
              <w:t>12</w:t>
            </w:r>
            <w:r>
              <w:rPr>
                <w:noProof/>
                <w:webHidden/>
              </w:rPr>
              <w:fldChar w:fldCharType="end"/>
            </w:r>
          </w:hyperlink>
        </w:p>
        <w:p w14:paraId="02678F8A" w14:textId="25D58557" w:rsidR="00082702" w:rsidRDefault="00082702">
          <w:pPr>
            <w:pStyle w:val="TOC3"/>
            <w:tabs>
              <w:tab w:val="right" w:leader="dot" w:pos="8296"/>
            </w:tabs>
            <w:rPr>
              <w:rFonts w:eastAsiaTheme="minorEastAsia"/>
              <w:noProof/>
              <w:color w:val="auto"/>
              <w:kern w:val="2"/>
              <w:sz w:val="24"/>
              <w:szCs w:val="24"/>
              <w:lang w:eastAsia="en-GB"/>
              <w14:ligatures w14:val="standardContextual"/>
            </w:rPr>
          </w:pPr>
          <w:hyperlink w:anchor="_Toc165833490" w:history="1">
            <w:r w:rsidRPr="00657367">
              <w:rPr>
                <w:rStyle w:val="Hyperlink"/>
                <w:noProof/>
              </w:rPr>
              <w:t>2.5 Laboratory Analysis</w:t>
            </w:r>
            <w:r>
              <w:rPr>
                <w:noProof/>
                <w:webHidden/>
              </w:rPr>
              <w:tab/>
            </w:r>
            <w:r>
              <w:rPr>
                <w:noProof/>
                <w:webHidden/>
              </w:rPr>
              <w:fldChar w:fldCharType="begin"/>
            </w:r>
            <w:r>
              <w:rPr>
                <w:noProof/>
                <w:webHidden/>
              </w:rPr>
              <w:instrText xml:space="preserve"> PAGEREF _Toc165833490 \h </w:instrText>
            </w:r>
            <w:r>
              <w:rPr>
                <w:noProof/>
                <w:webHidden/>
              </w:rPr>
            </w:r>
            <w:r>
              <w:rPr>
                <w:noProof/>
                <w:webHidden/>
              </w:rPr>
              <w:fldChar w:fldCharType="separate"/>
            </w:r>
            <w:r>
              <w:rPr>
                <w:noProof/>
                <w:webHidden/>
              </w:rPr>
              <w:t>13</w:t>
            </w:r>
            <w:r>
              <w:rPr>
                <w:noProof/>
                <w:webHidden/>
              </w:rPr>
              <w:fldChar w:fldCharType="end"/>
            </w:r>
          </w:hyperlink>
        </w:p>
        <w:p w14:paraId="59FA57D5" w14:textId="68B52B79" w:rsidR="00082702" w:rsidRDefault="00082702">
          <w:pPr>
            <w:pStyle w:val="TOC1"/>
            <w:tabs>
              <w:tab w:val="left" w:pos="440"/>
              <w:tab w:val="right" w:leader="dot" w:pos="8296"/>
            </w:tabs>
            <w:rPr>
              <w:rFonts w:eastAsiaTheme="minorEastAsia"/>
              <w:noProof/>
              <w:color w:val="auto"/>
              <w:kern w:val="2"/>
              <w:sz w:val="24"/>
              <w:szCs w:val="24"/>
              <w:lang w:eastAsia="en-GB"/>
              <w14:ligatures w14:val="standardContextual"/>
            </w:rPr>
          </w:pPr>
          <w:hyperlink w:anchor="_Toc165833491" w:history="1">
            <w:r w:rsidRPr="00657367">
              <w:rPr>
                <w:rStyle w:val="Hyperlink"/>
                <w:noProof/>
              </w:rPr>
              <w:t>3</w:t>
            </w:r>
            <w:r>
              <w:rPr>
                <w:rFonts w:eastAsiaTheme="minorEastAsia"/>
                <w:noProof/>
                <w:color w:val="auto"/>
                <w:kern w:val="2"/>
                <w:sz w:val="24"/>
                <w:szCs w:val="24"/>
                <w:lang w:eastAsia="en-GB"/>
                <w14:ligatures w14:val="standardContextual"/>
              </w:rPr>
              <w:tab/>
            </w:r>
            <w:r w:rsidRPr="00657367">
              <w:rPr>
                <w:rStyle w:val="Hyperlink"/>
                <w:noProof/>
              </w:rPr>
              <w:t>Outcomes and Conclusions</w:t>
            </w:r>
            <w:r>
              <w:rPr>
                <w:noProof/>
                <w:webHidden/>
              </w:rPr>
              <w:tab/>
            </w:r>
            <w:r>
              <w:rPr>
                <w:noProof/>
                <w:webHidden/>
              </w:rPr>
              <w:fldChar w:fldCharType="begin"/>
            </w:r>
            <w:r>
              <w:rPr>
                <w:noProof/>
                <w:webHidden/>
              </w:rPr>
              <w:instrText xml:space="preserve"> PAGEREF _Toc165833491 \h </w:instrText>
            </w:r>
            <w:r>
              <w:rPr>
                <w:noProof/>
                <w:webHidden/>
              </w:rPr>
            </w:r>
            <w:r>
              <w:rPr>
                <w:noProof/>
                <w:webHidden/>
              </w:rPr>
              <w:fldChar w:fldCharType="separate"/>
            </w:r>
            <w:r>
              <w:rPr>
                <w:noProof/>
                <w:webHidden/>
              </w:rPr>
              <w:t>21</w:t>
            </w:r>
            <w:r>
              <w:rPr>
                <w:noProof/>
                <w:webHidden/>
              </w:rPr>
              <w:fldChar w:fldCharType="end"/>
            </w:r>
          </w:hyperlink>
        </w:p>
        <w:p w14:paraId="74085C47" w14:textId="4C65E18D" w:rsidR="00082702" w:rsidRDefault="00082702">
          <w:pPr>
            <w:pStyle w:val="TOC3"/>
            <w:tabs>
              <w:tab w:val="left" w:pos="1200"/>
              <w:tab w:val="right" w:leader="dot" w:pos="8296"/>
            </w:tabs>
            <w:rPr>
              <w:rFonts w:eastAsiaTheme="minorEastAsia"/>
              <w:noProof/>
              <w:color w:val="auto"/>
              <w:kern w:val="2"/>
              <w:sz w:val="24"/>
              <w:szCs w:val="24"/>
              <w:lang w:eastAsia="en-GB"/>
              <w14:ligatures w14:val="standardContextual"/>
            </w:rPr>
          </w:pPr>
          <w:hyperlink w:anchor="_Toc165833492" w:history="1">
            <w:r w:rsidRPr="00657367">
              <w:rPr>
                <w:rStyle w:val="Hyperlink"/>
                <w:noProof/>
              </w:rPr>
              <w:t>3.1</w:t>
            </w:r>
            <w:r>
              <w:rPr>
                <w:rFonts w:eastAsiaTheme="minorEastAsia"/>
                <w:noProof/>
                <w:color w:val="auto"/>
                <w:kern w:val="2"/>
                <w:sz w:val="24"/>
                <w:szCs w:val="24"/>
                <w:lang w:eastAsia="en-GB"/>
                <w14:ligatures w14:val="standardContextual"/>
              </w:rPr>
              <w:tab/>
            </w:r>
            <w:r w:rsidRPr="00657367">
              <w:rPr>
                <w:rStyle w:val="Hyperlink"/>
                <w:noProof/>
              </w:rPr>
              <w:t>Meetings</w:t>
            </w:r>
            <w:r>
              <w:rPr>
                <w:noProof/>
                <w:webHidden/>
              </w:rPr>
              <w:tab/>
            </w:r>
            <w:r>
              <w:rPr>
                <w:noProof/>
                <w:webHidden/>
              </w:rPr>
              <w:fldChar w:fldCharType="begin"/>
            </w:r>
            <w:r>
              <w:rPr>
                <w:noProof/>
                <w:webHidden/>
              </w:rPr>
              <w:instrText xml:space="preserve"> PAGEREF _Toc165833492 \h </w:instrText>
            </w:r>
            <w:r>
              <w:rPr>
                <w:noProof/>
                <w:webHidden/>
              </w:rPr>
            </w:r>
            <w:r>
              <w:rPr>
                <w:noProof/>
                <w:webHidden/>
              </w:rPr>
              <w:fldChar w:fldCharType="separate"/>
            </w:r>
            <w:r>
              <w:rPr>
                <w:noProof/>
                <w:webHidden/>
              </w:rPr>
              <w:t>21</w:t>
            </w:r>
            <w:r>
              <w:rPr>
                <w:noProof/>
                <w:webHidden/>
              </w:rPr>
              <w:fldChar w:fldCharType="end"/>
            </w:r>
          </w:hyperlink>
        </w:p>
        <w:p w14:paraId="7FC915D6" w14:textId="2E27E4F9" w:rsidR="00082702" w:rsidRDefault="00082702">
          <w:pPr>
            <w:pStyle w:val="TOC3"/>
            <w:tabs>
              <w:tab w:val="right" w:leader="dot" w:pos="8296"/>
            </w:tabs>
            <w:rPr>
              <w:rFonts w:eastAsiaTheme="minorEastAsia"/>
              <w:noProof/>
              <w:color w:val="auto"/>
              <w:kern w:val="2"/>
              <w:sz w:val="24"/>
              <w:szCs w:val="24"/>
              <w:lang w:eastAsia="en-GB"/>
              <w14:ligatures w14:val="standardContextual"/>
            </w:rPr>
          </w:pPr>
          <w:hyperlink w:anchor="_Toc165833493" w:history="1">
            <w:r w:rsidRPr="00657367">
              <w:rPr>
                <w:rStyle w:val="Hyperlink"/>
                <w:noProof/>
              </w:rPr>
              <w:t>3.2 Design Review</w:t>
            </w:r>
            <w:r>
              <w:rPr>
                <w:noProof/>
                <w:webHidden/>
              </w:rPr>
              <w:tab/>
            </w:r>
            <w:r>
              <w:rPr>
                <w:noProof/>
                <w:webHidden/>
              </w:rPr>
              <w:fldChar w:fldCharType="begin"/>
            </w:r>
            <w:r>
              <w:rPr>
                <w:noProof/>
                <w:webHidden/>
              </w:rPr>
              <w:instrText xml:space="preserve"> PAGEREF _Toc165833493 \h </w:instrText>
            </w:r>
            <w:r>
              <w:rPr>
                <w:noProof/>
                <w:webHidden/>
              </w:rPr>
            </w:r>
            <w:r>
              <w:rPr>
                <w:noProof/>
                <w:webHidden/>
              </w:rPr>
              <w:fldChar w:fldCharType="separate"/>
            </w:r>
            <w:r>
              <w:rPr>
                <w:noProof/>
                <w:webHidden/>
              </w:rPr>
              <w:t>21</w:t>
            </w:r>
            <w:r>
              <w:rPr>
                <w:noProof/>
                <w:webHidden/>
              </w:rPr>
              <w:fldChar w:fldCharType="end"/>
            </w:r>
          </w:hyperlink>
        </w:p>
        <w:p w14:paraId="6057B14B" w14:textId="67412E93" w:rsidR="00082702" w:rsidRDefault="00082702">
          <w:pPr>
            <w:pStyle w:val="TOC3"/>
            <w:tabs>
              <w:tab w:val="left" w:pos="1200"/>
              <w:tab w:val="right" w:leader="dot" w:pos="8296"/>
            </w:tabs>
            <w:rPr>
              <w:rFonts w:eastAsiaTheme="minorEastAsia"/>
              <w:noProof/>
              <w:color w:val="auto"/>
              <w:kern w:val="2"/>
              <w:sz w:val="24"/>
              <w:szCs w:val="24"/>
              <w:lang w:eastAsia="en-GB"/>
              <w14:ligatures w14:val="standardContextual"/>
            </w:rPr>
          </w:pPr>
          <w:hyperlink w:anchor="_Toc165833494" w:history="1">
            <w:r w:rsidRPr="00657367">
              <w:rPr>
                <w:rStyle w:val="Hyperlink"/>
                <w:noProof/>
              </w:rPr>
              <w:t>3.2</w:t>
            </w:r>
            <w:r>
              <w:rPr>
                <w:rFonts w:eastAsiaTheme="minorEastAsia"/>
                <w:noProof/>
                <w:color w:val="auto"/>
                <w:kern w:val="2"/>
                <w:sz w:val="24"/>
                <w:szCs w:val="24"/>
                <w:lang w:eastAsia="en-GB"/>
                <w14:ligatures w14:val="standardContextual"/>
              </w:rPr>
              <w:tab/>
            </w:r>
            <w:r w:rsidRPr="00657367">
              <w:rPr>
                <w:rStyle w:val="Hyperlink"/>
                <w:noProof/>
              </w:rPr>
              <w:t>Presentation</w:t>
            </w:r>
            <w:r>
              <w:rPr>
                <w:noProof/>
                <w:webHidden/>
              </w:rPr>
              <w:tab/>
            </w:r>
            <w:r>
              <w:rPr>
                <w:noProof/>
                <w:webHidden/>
              </w:rPr>
              <w:fldChar w:fldCharType="begin"/>
            </w:r>
            <w:r>
              <w:rPr>
                <w:noProof/>
                <w:webHidden/>
              </w:rPr>
              <w:instrText xml:space="preserve"> PAGEREF _Toc165833494 \h </w:instrText>
            </w:r>
            <w:r>
              <w:rPr>
                <w:noProof/>
                <w:webHidden/>
              </w:rPr>
            </w:r>
            <w:r>
              <w:rPr>
                <w:noProof/>
                <w:webHidden/>
              </w:rPr>
              <w:fldChar w:fldCharType="separate"/>
            </w:r>
            <w:r>
              <w:rPr>
                <w:noProof/>
                <w:webHidden/>
              </w:rPr>
              <w:t>21</w:t>
            </w:r>
            <w:r>
              <w:rPr>
                <w:noProof/>
                <w:webHidden/>
              </w:rPr>
              <w:fldChar w:fldCharType="end"/>
            </w:r>
          </w:hyperlink>
        </w:p>
        <w:p w14:paraId="1F398282" w14:textId="3C7E29C1" w:rsidR="00082702" w:rsidRDefault="00082702">
          <w:pPr>
            <w:pStyle w:val="TOC3"/>
            <w:tabs>
              <w:tab w:val="left" w:pos="1200"/>
              <w:tab w:val="right" w:leader="dot" w:pos="8296"/>
            </w:tabs>
            <w:rPr>
              <w:rFonts w:eastAsiaTheme="minorEastAsia"/>
              <w:noProof/>
              <w:color w:val="auto"/>
              <w:kern w:val="2"/>
              <w:sz w:val="24"/>
              <w:szCs w:val="24"/>
              <w:lang w:eastAsia="en-GB"/>
              <w14:ligatures w14:val="standardContextual"/>
            </w:rPr>
          </w:pPr>
          <w:hyperlink w:anchor="_Toc165833495" w:history="1">
            <w:r w:rsidRPr="00657367">
              <w:rPr>
                <w:rStyle w:val="Hyperlink"/>
                <w:noProof/>
              </w:rPr>
              <w:t>3.3</w:t>
            </w:r>
            <w:r>
              <w:rPr>
                <w:rFonts w:eastAsiaTheme="minorEastAsia"/>
                <w:noProof/>
                <w:color w:val="auto"/>
                <w:kern w:val="2"/>
                <w:sz w:val="24"/>
                <w:szCs w:val="24"/>
                <w:lang w:eastAsia="en-GB"/>
                <w14:ligatures w14:val="standardContextual"/>
              </w:rPr>
              <w:tab/>
            </w:r>
            <w:r w:rsidRPr="00657367">
              <w:rPr>
                <w:rStyle w:val="Hyperlink"/>
                <w:noProof/>
              </w:rPr>
              <w:t>Conclusions</w:t>
            </w:r>
            <w:r>
              <w:rPr>
                <w:noProof/>
                <w:webHidden/>
              </w:rPr>
              <w:tab/>
            </w:r>
            <w:r>
              <w:rPr>
                <w:noProof/>
                <w:webHidden/>
              </w:rPr>
              <w:fldChar w:fldCharType="begin"/>
            </w:r>
            <w:r>
              <w:rPr>
                <w:noProof/>
                <w:webHidden/>
              </w:rPr>
              <w:instrText xml:space="preserve"> PAGEREF _Toc165833495 \h </w:instrText>
            </w:r>
            <w:r>
              <w:rPr>
                <w:noProof/>
                <w:webHidden/>
              </w:rPr>
            </w:r>
            <w:r>
              <w:rPr>
                <w:noProof/>
                <w:webHidden/>
              </w:rPr>
              <w:fldChar w:fldCharType="separate"/>
            </w:r>
            <w:r>
              <w:rPr>
                <w:noProof/>
                <w:webHidden/>
              </w:rPr>
              <w:t>21</w:t>
            </w:r>
            <w:r>
              <w:rPr>
                <w:noProof/>
                <w:webHidden/>
              </w:rPr>
              <w:fldChar w:fldCharType="end"/>
            </w:r>
          </w:hyperlink>
        </w:p>
        <w:p w14:paraId="7C507D28" w14:textId="38C7E956" w:rsidR="00082702" w:rsidRDefault="00082702">
          <w:pPr>
            <w:pStyle w:val="TOC1"/>
            <w:tabs>
              <w:tab w:val="right" w:leader="dot" w:pos="8296"/>
            </w:tabs>
            <w:rPr>
              <w:rFonts w:eastAsiaTheme="minorEastAsia"/>
              <w:noProof/>
              <w:color w:val="auto"/>
              <w:kern w:val="2"/>
              <w:sz w:val="24"/>
              <w:szCs w:val="24"/>
              <w:lang w:eastAsia="en-GB"/>
              <w14:ligatures w14:val="standardContextual"/>
            </w:rPr>
          </w:pPr>
          <w:hyperlink w:anchor="_Toc165833496" w:history="1">
            <w:r w:rsidRPr="00657367">
              <w:rPr>
                <w:rStyle w:val="Hyperlink"/>
                <w:noProof/>
              </w:rPr>
              <w:t>References</w:t>
            </w:r>
            <w:r>
              <w:rPr>
                <w:noProof/>
                <w:webHidden/>
              </w:rPr>
              <w:tab/>
            </w:r>
            <w:r>
              <w:rPr>
                <w:noProof/>
                <w:webHidden/>
              </w:rPr>
              <w:fldChar w:fldCharType="begin"/>
            </w:r>
            <w:r>
              <w:rPr>
                <w:noProof/>
                <w:webHidden/>
              </w:rPr>
              <w:instrText xml:space="preserve"> PAGEREF _Toc165833496 \h </w:instrText>
            </w:r>
            <w:r>
              <w:rPr>
                <w:noProof/>
                <w:webHidden/>
              </w:rPr>
            </w:r>
            <w:r>
              <w:rPr>
                <w:noProof/>
                <w:webHidden/>
              </w:rPr>
              <w:fldChar w:fldCharType="separate"/>
            </w:r>
            <w:r>
              <w:rPr>
                <w:noProof/>
                <w:webHidden/>
              </w:rPr>
              <w:t>22</w:t>
            </w:r>
            <w:r>
              <w:rPr>
                <w:noProof/>
                <w:webHidden/>
              </w:rPr>
              <w:fldChar w:fldCharType="end"/>
            </w:r>
          </w:hyperlink>
        </w:p>
        <w:p w14:paraId="00122F7F" w14:textId="36DE4FC2" w:rsidR="00ED463E" w:rsidRPr="00F23A22" w:rsidRDefault="00ED463E" w:rsidP="00082702">
          <w:pPr>
            <w:outlineLvl w:val="2"/>
          </w:pPr>
          <w:r w:rsidRPr="00F23A22">
            <w:rPr>
              <w:b/>
              <w:bCs/>
            </w:rPr>
            <w:fldChar w:fldCharType="end"/>
          </w:r>
        </w:p>
      </w:sdtContent>
    </w:sdt>
    <w:p w14:paraId="60BFF7A4" w14:textId="77777777" w:rsidR="00ED463E" w:rsidRPr="00F23A22" w:rsidRDefault="00ED463E" w:rsidP="00ED463E">
      <w:pPr>
        <w:pStyle w:val="Heading1"/>
      </w:pPr>
    </w:p>
    <w:p w14:paraId="6A520C77" w14:textId="77777777" w:rsidR="00ED463E" w:rsidRPr="00F23A22" w:rsidRDefault="00ED463E" w:rsidP="00ED463E"/>
    <w:p w14:paraId="0603315E" w14:textId="77777777" w:rsidR="00ED463E" w:rsidRPr="00F23A22" w:rsidRDefault="00ED463E" w:rsidP="00ED463E"/>
    <w:p w14:paraId="1155BEF0" w14:textId="77777777" w:rsidR="00ED463E" w:rsidRPr="00F23A22" w:rsidRDefault="00ED463E" w:rsidP="00ED463E"/>
    <w:p w14:paraId="60747DC2" w14:textId="77777777" w:rsidR="00ED463E" w:rsidRPr="00F23A22" w:rsidRDefault="00ED463E" w:rsidP="00ED463E"/>
    <w:p w14:paraId="30A7DB46" w14:textId="77777777" w:rsidR="00ED463E" w:rsidRPr="00F23A22" w:rsidRDefault="00ED463E" w:rsidP="00ED463E"/>
    <w:p w14:paraId="6ADF65D0" w14:textId="77777777" w:rsidR="00ED463E" w:rsidRPr="00F23A22" w:rsidRDefault="00ED463E" w:rsidP="00ED463E"/>
    <w:p w14:paraId="2F56AA5C" w14:textId="2AD24F02" w:rsidR="00ED463E" w:rsidRPr="00F23A22" w:rsidRDefault="00ED463E" w:rsidP="00ED463E">
      <w:pPr>
        <w:pStyle w:val="Heading1"/>
      </w:pPr>
      <w:bookmarkStart w:id="2" w:name="_Toc165833478"/>
      <w:r w:rsidRPr="00F23A22">
        <w:lastRenderedPageBreak/>
        <w:t>Table of Figures</w:t>
      </w:r>
      <w:bookmarkEnd w:id="2"/>
    </w:p>
    <w:p w14:paraId="1A95313B" w14:textId="2C3B71BD" w:rsidR="00082702" w:rsidRDefault="00082702">
      <w:pPr>
        <w:pStyle w:val="TableofFigures"/>
        <w:tabs>
          <w:tab w:val="right" w:leader="dot" w:pos="8296"/>
        </w:tabs>
        <w:rPr>
          <w:noProof/>
        </w:rPr>
      </w:pPr>
      <w:r>
        <w:fldChar w:fldCharType="begin"/>
      </w:r>
      <w:r>
        <w:instrText xml:space="preserve"> TOC \h \z \c "Cover Image" </w:instrText>
      </w:r>
      <w:r>
        <w:fldChar w:fldCharType="separate"/>
      </w:r>
      <w:hyperlink w:anchor="_Toc165833240" w:history="1">
        <w:r w:rsidRPr="00F01E39">
          <w:rPr>
            <w:rStyle w:val="Hyperlink"/>
            <w:noProof/>
          </w:rPr>
          <w:t>Cover Image 1: A CAD Drawing of a Proposed Shaped Charge Design [1]</w:t>
        </w:r>
        <w:r>
          <w:rPr>
            <w:noProof/>
            <w:webHidden/>
          </w:rPr>
          <w:tab/>
        </w:r>
        <w:r>
          <w:rPr>
            <w:noProof/>
            <w:webHidden/>
          </w:rPr>
          <w:fldChar w:fldCharType="begin"/>
        </w:r>
        <w:r>
          <w:rPr>
            <w:noProof/>
            <w:webHidden/>
          </w:rPr>
          <w:instrText xml:space="preserve"> PAGEREF _Toc165833240 \h </w:instrText>
        </w:r>
        <w:r>
          <w:rPr>
            <w:noProof/>
            <w:webHidden/>
          </w:rPr>
        </w:r>
        <w:r>
          <w:rPr>
            <w:noProof/>
            <w:webHidden/>
          </w:rPr>
          <w:fldChar w:fldCharType="separate"/>
        </w:r>
        <w:r>
          <w:rPr>
            <w:noProof/>
            <w:webHidden/>
          </w:rPr>
          <w:t>0</w:t>
        </w:r>
        <w:r>
          <w:rPr>
            <w:noProof/>
            <w:webHidden/>
          </w:rPr>
          <w:fldChar w:fldCharType="end"/>
        </w:r>
      </w:hyperlink>
    </w:p>
    <w:p w14:paraId="72CEF183" w14:textId="77777777" w:rsidR="00082702" w:rsidRDefault="00082702" w:rsidP="00ED463E">
      <w:pPr>
        <w:rPr>
          <w:noProof/>
        </w:rPr>
      </w:pPr>
      <w:r>
        <w:fldChar w:fldCharType="end"/>
      </w:r>
      <w:r>
        <w:fldChar w:fldCharType="begin"/>
      </w:r>
      <w:r>
        <w:instrText xml:space="preserve"> TOC \h \z \c "Figure" </w:instrText>
      </w:r>
      <w:r>
        <w:fldChar w:fldCharType="separate"/>
      </w:r>
    </w:p>
    <w:p w14:paraId="08141432" w14:textId="4F3374AF"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58" w:history="1">
        <w:r w:rsidRPr="009613E9">
          <w:rPr>
            <w:rStyle w:val="Hyperlink"/>
            <w:noProof/>
          </w:rPr>
          <w:t>Figure 1: The Components of the Rapid Cratering Kit MK2 [2]</w:t>
        </w:r>
        <w:r>
          <w:rPr>
            <w:noProof/>
            <w:webHidden/>
          </w:rPr>
          <w:tab/>
        </w:r>
        <w:r>
          <w:rPr>
            <w:noProof/>
            <w:webHidden/>
          </w:rPr>
          <w:fldChar w:fldCharType="begin"/>
        </w:r>
        <w:r>
          <w:rPr>
            <w:noProof/>
            <w:webHidden/>
          </w:rPr>
          <w:instrText xml:space="preserve"> PAGEREF _Toc165833258 \h </w:instrText>
        </w:r>
        <w:r>
          <w:rPr>
            <w:noProof/>
            <w:webHidden/>
          </w:rPr>
        </w:r>
        <w:r>
          <w:rPr>
            <w:noProof/>
            <w:webHidden/>
          </w:rPr>
          <w:fldChar w:fldCharType="separate"/>
        </w:r>
        <w:r>
          <w:rPr>
            <w:noProof/>
            <w:webHidden/>
          </w:rPr>
          <w:t>5</w:t>
        </w:r>
        <w:r>
          <w:rPr>
            <w:noProof/>
            <w:webHidden/>
          </w:rPr>
          <w:fldChar w:fldCharType="end"/>
        </w:r>
      </w:hyperlink>
    </w:p>
    <w:p w14:paraId="05578155" w14:textId="6506DA54"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59" w:history="1">
        <w:r w:rsidRPr="009613E9">
          <w:rPr>
            <w:rStyle w:val="Hyperlink"/>
            <w:noProof/>
          </w:rPr>
          <w:t>Figure 2:</w:t>
        </w:r>
        <w:r w:rsidRPr="009613E9">
          <w:rPr>
            <w:rStyle w:val="Hyperlink"/>
            <w:rFonts w:ascii="Aptos" w:eastAsiaTheme="majorEastAsia" w:hAnsi="Aptos" w:cstheme="majorBidi"/>
            <w:noProof/>
            <w:shd w:val="clear" w:color="auto" w:fill="FFFFFF"/>
          </w:rPr>
          <w:t xml:space="preserve"> </w:t>
        </w:r>
        <w:r w:rsidRPr="009613E9">
          <w:rPr>
            <w:rStyle w:val="Hyperlink"/>
            <w:rFonts w:ascii="Aptos" w:hAnsi="Aptos"/>
            <w:noProof/>
            <w:shd w:val="clear" w:color="auto" w:fill="FFFFFF"/>
          </w:rPr>
          <w:t>Energy vs Time Profile for Plastic Strain Results of Explosive Composition B. This figure displays the energy variation over time for the plastic strain results obtained from the explosive Composition B. The energy output of the system is represented along the y-axis, while the time elapsed during the simulation is depicted along the x-axis. Study Type: ALLAE (Allied Load and Energy Analysis) This plot provides insights into the dynamic behaviour of the explosive Composition B, offering valuable information regarding its energy output characteristics over the course of the simulation. [5]</w:t>
        </w:r>
        <w:r>
          <w:rPr>
            <w:noProof/>
            <w:webHidden/>
          </w:rPr>
          <w:tab/>
        </w:r>
        <w:r>
          <w:rPr>
            <w:noProof/>
            <w:webHidden/>
          </w:rPr>
          <w:fldChar w:fldCharType="begin"/>
        </w:r>
        <w:r>
          <w:rPr>
            <w:noProof/>
            <w:webHidden/>
          </w:rPr>
          <w:instrText xml:space="preserve"> PAGEREF _Toc165833259 \h </w:instrText>
        </w:r>
        <w:r>
          <w:rPr>
            <w:noProof/>
            <w:webHidden/>
          </w:rPr>
        </w:r>
        <w:r>
          <w:rPr>
            <w:noProof/>
            <w:webHidden/>
          </w:rPr>
          <w:fldChar w:fldCharType="separate"/>
        </w:r>
        <w:r>
          <w:rPr>
            <w:noProof/>
            <w:webHidden/>
          </w:rPr>
          <w:t>7</w:t>
        </w:r>
        <w:r>
          <w:rPr>
            <w:noProof/>
            <w:webHidden/>
          </w:rPr>
          <w:fldChar w:fldCharType="end"/>
        </w:r>
      </w:hyperlink>
    </w:p>
    <w:p w14:paraId="09095214" w14:textId="0DDC029A"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60" w:history="1">
        <w:r w:rsidRPr="009613E9">
          <w:rPr>
            <w:rStyle w:val="Hyperlink"/>
            <w:noProof/>
          </w:rPr>
          <w:t>Figure 3:</w:t>
        </w:r>
        <w:r w:rsidRPr="009613E9">
          <w:rPr>
            <w:rStyle w:val="Hyperlink"/>
            <w:rFonts w:ascii="Aptos" w:eastAsiaTheme="majorEastAsia" w:hAnsi="Aptos" w:cstheme="majorBidi"/>
            <w:noProof/>
            <w:shd w:val="clear" w:color="auto" w:fill="FFFFFF"/>
          </w:rPr>
          <w:t xml:space="preserve"> </w:t>
        </w:r>
        <w:r w:rsidRPr="009613E9">
          <w:rPr>
            <w:rStyle w:val="Hyperlink"/>
            <w:rFonts w:ascii="Aptos" w:hAnsi="Aptos"/>
            <w:noProof/>
            <w:shd w:val="clear" w:color="auto" w:fill="FFFFFF"/>
          </w:rPr>
          <w:t>Energy vs Time Profile for Plastic Dissipation of Composition B. This figure presents the variation in energy over time specifically related to plastic dissipation for the copper liner that was exposed to the detonation of Composition B. The energy output of the system is depicted on the y-axis, while the elapsed time during the simulation is represented on the x-axis. Study Type: ALLPD (Allied Plastic Dissipation) This plot aids in comprehending the dissipation of energy into heat, providing insights into the loss of energy within the material during plastic deformation. [5]</w:t>
        </w:r>
        <w:r>
          <w:rPr>
            <w:noProof/>
            <w:webHidden/>
          </w:rPr>
          <w:tab/>
        </w:r>
        <w:r>
          <w:rPr>
            <w:noProof/>
            <w:webHidden/>
          </w:rPr>
          <w:fldChar w:fldCharType="begin"/>
        </w:r>
        <w:r>
          <w:rPr>
            <w:noProof/>
            <w:webHidden/>
          </w:rPr>
          <w:instrText xml:space="preserve"> PAGEREF _Toc165833260 \h </w:instrText>
        </w:r>
        <w:r>
          <w:rPr>
            <w:noProof/>
            <w:webHidden/>
          </w:rPr>
        </w:r>
        <w:r>
          <w:rPr>
            <w:noProof/>
            <w:webHidden/>
          </w:rPr>
          <w:fldChar w:fldCharType="separate"/>
        </w:r>
        <w:r>
          <w:rPr>
            <w:noProof/>
            <w:webHidden/>
          </w:rPr>
          <w:t>7</w:t>
        </w:r>
        <w:r>
          <w:rPr>
            <w:noProof/>
            <w:webHidden/>
          </w:rPr>
          <w:fldChar w:fldCharType="end"/>
        </w:r>
      </w:hyperlink>
    </w:p>
    <w:p w14:paraId="459E8595" w14:textId="7E5F3940"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61" w:history="1">
        <w:r w:rsidRPr="009613E9">
          <w:rPr>
            <w:rStyle w:val="Hyperlink"/>
            <w:noProof/>
          </w:rPr>
          <w:t xml:space="preserve">Figure 4: </w:t>
        </w:r>
        <w:r w:rsidRPr="009613E9">
          <w:rPr>
            <w:rStyle w:val="Hyperlink"/>
            <w:rFonts w:ascii="Aptos" w:hAnsi="Aptos"/>
            <w:noProof/>
            <w:shd w:val="clear" w:color="auto" w:fill="FFFFFF"/>
          </w:rPr>
          <w:t>Energy-Time Profile Illustrating Plastic Strain Results for the explosive SwansEx2024 a 60:40 RDX:HMX mixture. This figure showcases the energy fluctuations over time corresponding to the plastic strain outcomes observed with explosive SwansEx2024. The vertical axis represents the system's energy output, while the horizontal axis denotes the elapsed time during the simulation. Study Type: ALLAE (Allied Load and Energy Analysis)This plot offers insights into the dynamic behaviour of explosive Composition B, providing valuable data on its energy output dynamics throughout the simulation period. [5]</w:t>
        </w:r>
        <w:r>
          <w:rPr>
            <w:noProof/>
            <w:webHidden/>
          </w:rPr>
          <w:tab/>
        </w:r>
        <w:r>
          <w:rPr>
            <w:noProof/>
            <w:webHidden/>
          </w:rPr>
          <w:fldChar w:fldCharType="begin"/>
        </w:r>
        <w:r>
          <w:rPr>
            <w:noProof/>
            <w:webHidden/>
          </w:rPr>
          <w:instrText xml:space="preserve"> PAGEREF _Toc165833261 \h </w:instrText>
        </w:r>
        <w:r>
          <w:rPr>
            <w:noProof/>
            <w:webHidden/>
          </w:rPr>
        </w:r>
        <w:r>
          <w:rPr>
            <w:noProof/>
            <w:webHidden/>
          </w:rPr>
          <w:fldChar w:fldCharType="separate"/>
        </w:r>
        <w:r>
          <w:rPr>
            <w:noProof/>
            <w:webHidden/>
          </w:rPr>
          <w:t>8</w:t>
        </w:r>
        <w:r>
          <w:rPr>
            <w:noProof/>
            <w:webHidden/>
          </w:rPr>
          <w:fldChar w:fldCharType="end"/>
        </w:r>
      </w:hyperlink>
    </w:p>
    <w:p w14:paraId="6D77876F" w14:textId="41C8CFAB"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62" w:history="1">
        <w:r w:rsidRPr="009613E9">
          <w:rPr>
            <w:rStyle w:val="Hyperlink"/>
            <w:noProof/>
          </w:rPr>
          <w:t>Figure 5:</w:t>
        </w:r>
        <w:r w:rsidRPr="009613E9">
          <w:rPr>
            <w:rStyle w:val="Hyperlink"/>
            <w:rFonts w:ascii="Aptos" w:eastAsiaTheme="majorEastAsia" w:hAnsi="Aptos" w:cstheme="majorBidi"/>
            <w:noProof/>
            <w:shd w:val="clear" w:color="auto" w:fill="FFFFFF"/>
          </w:rPr>
          <w:t xml:space="preserve"> </w:t>
        </w:r>
        <w:r w:rsidRPr="009613E9">
          <w:rPr>
            <w:rStyle w:val="Hyperlink"/>
            <w:rFonts w:ascii="Aptos" w:hAnsi="Aptos"/>
            <w:noProof/>
            <w:shd w:val="clear" w:color="auto" w:fill="FFFFFF"/>
          </w:rPr>
          <w:t>Energy-Time Profile Illustrating Plastic Dissipation for SwansEx2024.This figure depicts the temporal variation in energy specifically attributed to plastic dissipation for Composition B. The vertical axis represents the system's energy output, while the horizontal axis denotes the time elapsed during the simulation. Study Type: ALLPD (Allied Plastic Dissipation) This visualization aids in understanding how energy is transformed into heat during plastic deformation, offering valuable insights into the energy loss within the copper liner material. [5].</w:t>
        </w:r>
        <w:r>
          <w:rPr>
            <w:noProof/>
            <w:webHidden/>
          </w:rPr>
          <w:tab/>
        </w:r>
        <w:r>
          <w:rPr>
            <w:noProof/>
            <w:webHidden/>
          </w:rPr>
          <w:fldChar w:fldCharType="begin"/>
        </w:r>
        <w:r>
          <w:rPr>
            <w:noProof/>
            <w:webHidden/>
          </w:rPr>
          <w:instrText xml:space="preserve"> PAGEREF _Toc165833262 \h </w:instrText>
        </w:r>
        <w:r>
          <w:rPr>
            <w:noProof/>
            <w:webHidden/>
          </w:rPr>
        </w:r>
        <w:r>
          <w:rPr>
            <w:noProof/>
            <w:webHidden/>
          </w:rPr>
          <w:fldChar w:fldCharType="separate"/>
        </w:r>
        <w:r>
          <w:rPr>
            <w:noProof/>
            <w:webHidden/>
          </w:rPr>
          <w:t>8</w:t>
        </w:r>
        <w:r>
          <w:rPr>
            <w:noProof/>
            <w:webHidden/>
          </w:rPr>
          <w:fldChar w:fldCharType="end"/>
        </w:r>
      </w:hyperlink>
    </w:p>
    <w:p w14:paraId="1D939327" w14:textId="05C2B236"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63" w:history="1">
        <w:r w:rsidRPr="009613E9">
          <w:rPr>
            <w:rStyle w:val="Hyperlink"/>
            <w:noProof/>
          </w:rPr>
          <w:t>Figure 6: A Gas Chromatography-Mass Spectrometry (GC-MS) spectrum for Trinitrotoluene (TNT) [10]</w:t>
        </w:r>
        <w:r>
          <w:rPr>
            <w:noProof/>
            <w:webHidden/>
          </w:rPr>
          <w:tab/>
        </w:r>
        <w:r>
          <w:rPr>
            <w:noProof/>
            <w:webHidden/>
          </w:rPr>
          <w:fldChar w:fldCharType="begin"/>
        </w:r>
        <w:r>
          <w:rPr>
            <w:noProof/>
            <w:webHidden/>
          </w:rPr>
          <w:instrText xml:space="preserve"> PAGEREF _Toc165833263 \h </w:instrText>
        </w:r>
        <w:r>
          <w:rPr>
            <w:noProof/>
            <w:webHidden/>
          </w:rPr>
        </w:r>
        <w:r>
          <w:rPr>
            <w:noProof/>
            <w:webHidden/>
          </w:rPr>
          <w:fldChar w:fldCharType="separate"/>
        </w:r>
        <w:r>
          <w:rPr>
            <w:noProof/>
            <w:webHidden/>
          </w:rPr>
          <w:t>13</w:t>
        </w:r>
        <w:r>
          <w:rPr>
            <w:noProof/>
            <w:webHidden/>
          </w:rPr>
          <w:fldChar w:fldCharType="end"/>
        </w:r>
      </w:hyperlink>
    </w:p>
    <w:p w14:paraId="41811350" w14:textId="148E829F"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64" w:history="1">
        <w:r w:rsidRPr="009613E9">
          <w:rPr>
            <w:rStyle w:val="Hyperlink"/>
            <w:noProof/>
          </w:rPr>
          <w:t>Figure 7: Small Scale Test Data for Taw-Ex22 [11]</w:t>
        </w:r>
        <w:r>
          <w:rPr>
            <w:noProof/>
            <w:webHidden/>
          </w:rPr>
          <w:tab/>
        </w:r>
        <w:r>
          <w:rPr>
            <w:noProof/>
            <w:webHidden/>
          </w:rPr>
          <w:fldChar w:fldCharType="begin"/>
        </w:r>
        <w:r>
          <w:rPr>
            <w:noProof/>
            <w:webHidden/>
          </w:rPr>
          <w:instrText xml:space="preserve"> PAGEREF _Toc165833264 \h </w:instrText>
        </w:r>
        <w:r>
          <w:rPr>
            <w:noProof/>
            <w:webHidden/>
          </w:rPr>
        </w:r>
        <w:r>
          <w:rPr>
            <w:noProof/>
            <w:webHidden/>
          </w:rPr>
          <w:fldChar w:fldCharType="separate"/>
        </w:r>
        <w:r>
          <w:rPr>
            <w:noProof/>
            <w:webHidden/>
          </w:rPr>
          <w:t>14</w:t>
        </w:r>
        <w:r>
          <w:rPr>
            <w:noProof/>
            <w:webHidden/>
          </w:rPr>
          <w:fldChar w:fldCharType="end"/>
        </w:r>
      </w:hyperlink>
    </w:p>
    <w:p w14:paraId="0FCEBD3B" w14:textId="405E272E"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65" w:history="1">
        <w:r w:rsidRPr="009613E9">
          <w:rPr>
            <w:rStyle w:val="Hyperlink"/>
            <w:noProof/>
          </w:rPr>
          <w:t>Figure 8: An example calibration line</w:t>
        </w:r>
        <w:r>
          <w:rPr>
            <w:noProof/>
            <w:webHidden/>
          </w:rPr>
          <w:tab/>
        </w:r>
        <w:r>
          <w:rPr>
            <w:noProof/>
            <w:webHidden/>
          </w:rPr>
          <w:fldChar w:fldCharType="begin"/>
        </w:r>
        <w:r>
          <w:rPr>
            <w:noProof/>
            <w:webHidden/>
          </w:rPr>
          <w:instrText xml:space="preserve"> PAGEREF _Toc165833265 \h </w:instrText>
        </w:r>
        <w:r>
          <w:rPr>
            <w:noProof/>
            <w:webHidden/>
          </w:rPr>
        </w:r>
        <w:r>
          <w:rPr>
            <w:noProof/>
            <w:webHidden/>
          </w:rPr>
          <w:fldChar w:fldCharType="separate"/>
        </w:r>
        <w:r>
          <w:rPr>
            <w:noProof/>
            <w:webHidden/>
          </w:rPr>
          <w:t>18</w:t>
        </w:r>
        <w:r>
          <w:rPr>
            <w:noProof/>
            <w:webHidden/>
          </w:rPr>
          <w:fldChar w:fldCharType="end"/>
        </w:r>
      </w:hyperlink>
    </w:p>
    <w:p w14:paraId="3614ABF4" w14:textId="26F07BED" w:rsidR="00ED463E" w:rsidRPr="00F23A22" w:rsidRDefault="00082702" w:rsidP="00ED463E">
      <w:r>
        <w:fldChar w:fldCharType="end"/>
      </w:r>
    </w:p>
    <w:p w14:paraId="1E1D12CF" w14:textId="5C068ECD" w:rsidR="00ED463E" w:rsidRPr="00F23A22" w:rsidRDefault="00ED463E" w:rsidP="00ED463E">
      <w:pPr>
        <w:pStyle w:val="Heading1"/>
      </w:pPr>
      <w:bookmarkStart w:id="3" w:name="_Toc165833479"/>
      <w:r w:rsidRPr="00F23A22">
        <w:lastRenderedPageBreak/>
        <w:t>List of Tables</w:t>
      </w:r>
      <w:bookmarkEnd w:id="3"/>
    </w:p>
    <w:p w14:paraId="45DB7C8D" w14:textId="32B643B3"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r>
        <w:fldChar w:fldCharType="begin"/>
      </w:r>
      <w:r>
        <w:instrText xml:space="preserve"> TOC \h \z \c "Table" </w:instrText>
      </w:r>
      <w:r>
        <w:fldChar w:fldCharType="separate"/>
      </w:r>
      <w:hyperlink w:anchor="_Toc165833274" w:history="1">
        <w:r w:rsidRPr="00D33AE6">
          <w:rPr>
            <w:rStyle w:val="Hyperlink"/>
            <w:noProof/>
          </w:rPr>
          <w:t>Table 1: An example of the data for a calibration curve</w:t>
        </w:r>
        <w:r>
          <w:rPr>
            <w:noProof/>
            <w:webHidden/>
          </w:rPr>
          <w:tab/>
        </w:r>
        <w:r>
          <w:rPr>
            <w:noProof/>
            <w:webHidden/>
          </w:rPr>
          <w:fldChar w:fldCharType="begin"/>
        </w:r>
        <w:r>
          <w:rPr>
            <w:noProof/>
            <w:webHidden/>
          </w:rPr>
          <w:instrText xml:space="preserve"> PAGEREF _Toc165833274 \h </w:instrText>
        </w:r>
        <w:r>
          <w:rPr>
            <w:noProof/>
            <w:webHidden/>
          </w:rPr>
        </w:r>
        <w:r>
          <w:rPr>
            <w:noProof/>
            <w:webHidden/>
          </w:rPr>
          <w:fldChar w:fldCharType="separate"/>
        </w:r>
        <w:r>
          <w:rPr>
            <w:noProof/>
            <w:webHidden/>
          </w:rPr>
          <w:t>18</w:t>
        </w:r>
        <w:r>
          <w:rPr>
            <w:noProof/>
            <w:webHidden/>
          </w:rPr>
          <w:fldChar w:fldCharType="end"/>
        </w:r>
      </w:hyperlink>
    </w:p>
    <w:p w14:paraId="10461A06" w14:textId="182507CF"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75" w:history="1">
        <w:r w:rsidRPr="00D33AE6">
          <w:rPr>
            <w:rStyle w:val="Hyperlink"/>
            <w:noProof/>
          </w:rPr>
          <w:t>Table 2: Example results table for two arbitrary samples.</w:t>
        </w:r>
        <w:r>
          <w:rPr>
            <w:noProof/>
            <w:webHidden/>
          </w:rPr>
          <w:tab/>
        </w:r>
        <w:r>
          <w:rPr>
            <w:noProof/>
            <w:webHidden/>
          </w:rPr>
          <w:fldChar w:fldCharType="begin"/>
        </w:r>
        <w:r>
          <w:rPr>
            <w:noProof/>
            <w:webHidden/>
          </w:rPr>
          <w:instrText xml:space="preserve"> PAGEREF _Toc165833275 \h </w:instrText>
        </w:r>
        <w:r>
          <w:rPr>
            <w:noProof/>
            <w:webHidden/>
          </w:rPr>
        </w:r>
        <w:r>
          <w:rPr>
            <w:noProof/>
            <w:webHidden/>
          </w:rPr>
          <w:fldChar w:fldCharType="separate"/>
        </w:r>
        <w:r>
          <w:rPr>
            <w:noProof/>
            <w:webHidden/>
          </w:rPr>
          <w:t>19</w:t>
        </w:r>
        <w:r>
          <w:rPr>
            <w:noProof/>
            <w:webHidden/>
          </w:rPr>
          <w:fldChar w:fldCharType="end"/>
        </w:r>
      </w:hyperlink>
    </w:p>
    <w:p w14:paraId="6C6101C3" w14:textId="2A2505CA"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76" w:history="1">
        <w:r w:rsidRPr="00D33AE6">
          <w:rPr>
            <w:rStyle w:val="Hyperlink"/>
            <w:noProof/>
          </w:rPr>
          <w:t>Table 3: Expected results of SSHT and Chemical Testing</w:t>
        </w:r>
        <w:r>
          <w:rPr>
            <w:noProof/>
            <w:webHidden/>
          </w:rPr>
          <w:tab/>
        </w:r>
        <w:r>
          <w:rPr>
            <w:noProof/>
            <w:webHidden/>
          </w:rPr>
          <w:fldChar w:fldCharType="begin"/>
        </w:r>
        <w:r>
          <w:rPr>
            <w:noProof/>
            <w:webHidden/>
          </w:rPr>
          <w:instrText xml:space="preserve"> PAGEREF _Toc165833276 \h </w:instrText>
        </w:r>
        <w:r>
          <w:rPr>
            <w:noProof/>
            <w:webHidden/>
          </w:rPr>
        </w:r>
        <w:r>
          <w:rPr>
            <w:noProof/>
            <w:webHidden/>
          </w:rPr>
          <w:fldChar w:fldCharType="separate"/>
        </w:r>
        <w:r>
          <w:rPr>
            <w:noProof/>
            <w:webHidden/>
          </w:rPr>
          <w:t>19</w:t>
        </w:r>
        <w:r>
          <w:rPr>
            <w:noProof/>
            <w:webHidden/>
          </w:rPr>
          <w:fldChar w:fldCharType="end"/>
        </w:r>
      </w:hyperlink>
    </w:p>
    <w:p w14:paraId="7C1E5086" w14:textId="608D8EC6" w:rsidR="00ED463E" w:rsidRPr="00F23A22" w:rsidRDefault="00082702" w:rsidP="00ED463E">
      <w:r>
        <w:fldChar w:fldCharType="end"/>
      </w:r>
    </w:p>
    <w:p w14:paraId="6310A5E6" w14:textId="1D3A47B4" w:rsidR="00ED463E" w:rsidRPr="00F23A22" w:rsidRDefault="00ED463E" w:rsidP="00ED463E">
      <w:pPr>
        <w:pStyle w:val="Heading1"/>
      </w:pPr>
      <w:bookmarkStart w:id="4" w:name="_Toc165833480"/>
      <w:r w:rsidRPr="00F23A22">
        <w:t>List of Equations</w:t>
      </w:r>
      <w:bookmarkEnd w:id="4"/>
    </w:p>
    <w:p w14:paraId="5A168ED4" w14:textId="2D93ABC6"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r>
        <w:fldChar w:fldCharType="begin"/>
      </w:r>
      <w:r>
        <w:instrText xml:space="preserve"> TOC \h \z \c "Equation" </w:instrText>
      </w:r>
      <w:r>
        <w:fldChar w:fldCharType="separate"/>
      </w:r>
      <w:hyperlink w:anchor="_Toc165833287" w:history="1">
        <w:r w:rsidRPr="007226C6">
          <w:rPr>
            <w:rStyle w:val="Hyperlink"/>
            <w:noProof/>
          </w:rPr>
          <w:t>Equation 1: Equation for the Figure of Insensitiveness from the Rotter Test [6]</w:t>
        </w:r>
        <w:r>
          <w:rPr>
            <w:noProof/>
            <w:webHidden/>
          </w:rPr>
          <w:tab/>
        </w:r>
        <w:r>
          <w:rPr>
            <w:noProof/>
            <w:webHidden/>
          </w:rPr>
          <w:fldChar w:fldCharType="begin"/>
        </w:r>
        <w:r>
          <w:rPr>
            <w:noProof/>
            <w:webHidden/>
          </w:rPr>
          <w:instrText xml:space="preserve"> PAGEREF _Toc165833287 \h </w:instrText>
        </w:r>
        <w:r>
          <w:rPr>
            <w:noProof/>
            <w:webHidden/>
          </w:rPr>
        </w:r>
        <w:r>
          <w:rPr>
            <w:noProof/>
            <w:webHidden/>
          </w:rPr>
          <w:fldChar w:fldCharType="separate"/>
        </w:r>
        <w:r>
          <w:rPr>
            <w:noProof/>
            <w:webHidden/>
          </w:rPr>
          <w:t>16</w:t>
        </w:r>
        <w:r>
          <w:rPr>
            <w:noProof/>
            <w:webHidden/>
          </w:rPr>
          <w:fldChar w:fldCharType="end"/>
        </w:r>
      </w:hyperlink>
    </w:p>
    <w:p w14:paraId="2E7237EE" w14:textId="02BD6BC6"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88" w:history="1">
        <w:r w:rsidRPr="007226C6">
          <w:rPr>
            <w:rStyle w:val="Hyperlink"/>
            <w:noProof/>
          </w:rPr>
          <w:t>Equation 2: Equation for the Figure of Friction from the Rotary Friction Test [6]</w:t>
        </w:r>
        <w:r>
          <w:rPr>
            <w:noProof/>
            <w:webHidden/>
          </w:rPr>
          <w:tab/>
        </w:r>
        <w:r>
          <w:rPr>
            <w:noProof/>
            <w:webHidden/>
          </w:rPr>
          <w:fldChar w:fldCharType="begin"/>
        </w:r>
        <w:r>
          <w:rPr>
            <w:noProof/>
            <w:webHidden/>
          </w:rPr>
          <w:instrText xml:space="preserve"> PAGEREF _Toc165833288 \h </w:instrText>
        </w:r>
        <w:r>
          <w:rPr>
            <w:noProof/>
            <w:webHidden/>
          </w:rPr>
        </w:r>
        <w:r>
          <w:rPr>
            <w:noProof/>
            <w:webHidden/>
          </w:rPr>
          <w:fldChar w:fldCharType="separate"/>
        </w:r>
        <w:r>
          <w:rPr>
            <w:noProof/>
            <w:webHidden/>
          </w:rPr>
          <w:t>16</w:t>
        </w:r>
        <w:r>
          <w:rPr>
            <w:noProof/>
            <w:webHidden/>
          </w:rPr>
          <w:fldChar w:fldCharType="end"/>
        </w:r>
      </w:hyperlink>
    </w:p>
    <w:p w14:paraId="6ED861ED" w14:textId="559FBAA8"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89" w:history="1">
        <w:r w:rsidRPr="007226C6">
          <w:rPr>
            <w:rStyle w:val="Hyperlink"/>
            <w:noProof/>
          </w:rPr>
          <w:t>Equation 3: Calculation of the Aging time required to simulate 7 years of aging at 150°C</w:t>
        </w:r>
        <w:r>
          <w:rPr>
            <w:noProof/>
            <w:webHidden/>
          </w:rPr>
          <w:tab/>
        </w:r>
        <w:r>
          <w:rPr>
            <w:noProof/>
            <w:webHidden/>
          </w:rPr>
          <w:fldChar w:fldCharType="begin"/>
        </w:r>
        <w:r>
          <w:rPr>
            <w:noProof/>
            <w:webHidden/>
          </w:rPr>
          <w:instrText xml:space="preserve"> PAGEREF _Toc165833289 \h </w:instrText>
        </w:r>
        <w:r>
          <w:rPr>
            <w:noProof/>
            <w:webHidden/>
          </w:rPr>
        </w:r>
        <w:r>
          <w:rPr>
            <w:noProof/>
            <w:webHidden/>
          </w:rPr>
          <w:fldChar w:fldCharType="separate"/>
        </w:r>
        <w:r>
          <w:rPr>
            <w:noProof/>
            <w:webHidden/>
          </w:rPr>
          <w:t>17</w:t>
        </w:r>
        <w:r>
          <w:rPr>
            <w:noProof/>
            <w:webHidden/>
          </w:rPr>
          <w:fldChar w:fldCharType="end"/>
        </w:r>
      </w:hyperlink>
    </w:p>
    <w:p w14:paraId="7E31B156" w14:textId="5C7C60EF"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90" w:history="1">
        <w:r w:rsidRPr="007226C6">
          <w:rPr>
            <w:rStyle w:val="Hyperlink"/>
            <w:noProof/>
          </w:rPr>
          <w:t>Equation 4: Calculation of the Analyte Concentration in a Sample from HPLC results</w:t>
        </w:r>
        <w:r>
          <w:rPr>
            <w:noProof/>
            <w:webHidden/>
          </w:rPr>
          <w:tab/>
        </w:r>
        <w:r>
          <w:rPr>
            <w:noProof/>
            <w:webHidden/>
          </w:rPr>
          <w:fldChar w:fldCharType="begin"/>
        </w:r>
        <w:r>
          <w:rPr>
            <w:noProof/>
            <w:webHidden/>
          </w:rPr>
          <w:instrText xml:space="preserve"> PAGEREF _Toc165833290 \h </w:instrText>
        </w:r>
        <w:r>
          <w:rPr>
            <w:noProof/>
            <w:webHidden/>
          </w:rPr>
        </w:r>
        <w:r>
          <w:rPr>
            <w:noProof/>
            <w:webHidden/>
          </w:rPr>
          <w:fldChar w:fldCharType="separate"/>
        </w:r>
        <w:r>
          <w:rPr>
            <w:noProof/>
            <w:webHidden/>
          </w:rPr>
          <w:t>20</w:t>
        </w:r>
        <w:r>
          <w:rPr>
            <w:noProof/>
            <w:webHidden/>
          </w:rPr>
          <w:fldChar w:fldCharType="end"/>
        </w:r>
      </w:hyperlink>
    </w:p>
    <w:p w14:paraId="536D3457" w14:textId="11C0020A" w:rsidR="00082702" w:rsidRDefault="00082702">
      <w:pPr>
        <w:pStyle w:val="TableofFigures"/>
        <w:tabs>
          <w:tab w:val="right" w:leader="dot" w:pos="8296"/>
        </w:tabs>
        <w:rPr>
          <w:rFonts w:eastAsiaTheme="minorEastAsia"/>
          <w:noProof/>
          <w:color w:val="auto"/>
          <w:kern w:val="2"/>
          <w:sz w:val="24"/>
          <w:szCs w:val="24"/>
          <w:lang w:eastAsia="en-GB"/>
          <w14:ligatures w14:val="standardContextual"/>
        </w:rPr>
      </w:pPr>
      <w:hyperlink w:anchor="_Toc165833291" w:history="1">
        <w:r w:rsidRPr="007226C6">
          <w:rPr>
            <w:rStyle w:val="Hyperlink"/>
            <w:noProof/>
          </w:rPr>
          <w:t>Equation 5: Calculation of the weight concentration from the analyte concentration</w:t>
        </w:r>
        <w:r>
          <w:rPr>
            <w:noProof/>
            <w:webHidden/>
          </w:rPr>
          <w:tab/>
        </w:r>
        <w:r>
          <w:rPr>
            <w:noProof/>
            <w:webHidden/>
          </w:rPr>
          <w:fldChar w:fldCharType="begin"/>
        </w:r>
        <w:r>
          <w:rPr>
            <w:noProof/>
            <w:webHidden/>
          </w:rPr>
          <w:instrText xml:space="preserve"> PAGEREF _Toc165833291 \h </w:instrText>
        </w:r>
        <w:r>
          <w:rPr>
            <w:noProof/>
            <w:webHidden/>
          </w:rPr>
        </w:r>
        <w:r>
          <w:rPr>
            <w:noProof/>
            <w:webHidden/>
          </w:rPr>
          <w:fldChar w:fldCharType="separate"/>
        </w:r>
        <w:r>
          <w:rPr>
            <w:noProof/>
            <w:webHidden/>
          </w:rPr>
          <w:t>20</w:t>
        </w:r>
        <w:r>
          <w:rPr>
            <w:noProof/>
            <w:webHidden/>
          </w:rPr>
          <w:fldChar w:fldCharType="end"/>
        </w:r>
      </w:hyperlink>
    </w:p>
    <w:p w14:paraId="52BE9E1B" w14:textId="1F7DD070" w:rsidR="00ED463E" w:rsidRPr="00F23A22" w:rsidRDefault="00082702" w:rsidP="00ED463E">
      <w:r>
        <w:fldChar w:fldCharType="end"/>
      </w:r>
    </w:p>
    <w:p w14:paraId="092C133C" w14:textId="77777777" w:rsidR="00ED463E" w:rsidRPr="00F23A22" w:rsidRDefault="00ED463E" w:rsidP="00ED463E"/>
    <w:p w14:paraId="167E747B" w14:textId="77777777" w:rsidR="00ED463E" w:rsidRPr="00F23A22" w:rsidRDefault="00ED463E" w:rsidP="00ED463E"/>
    <w:p w14:paraId="285DC1E9" w14:textId="77777777" w:rsidR="00ED463E" w:rsidRPr="00F23A22" w:rsidRDefault="00ED463E" w:rsidP="00ED463E"/>
    <w:p w14:paraId="761098BD" w14:textId="77777777" w:rsidR="00ED463E" w:rsidRPr="00F23A22" w:rsidRDefault="00ED463E" w:rsidP="00ED463E"/>
    <w:p w14:paraId="76CA0FF6" w14:textId="77777777" w:rsidR="00ED463E" w:rsidRPr="00F23A22" w:rsidRDefault="00ED463E" w:rsidP="00ED463E"/>
    <w:p w14:paraId="02A1E700" w14:textId="77777777" w:rsidR="00ED463E" w:rsidRPr="00F23A22" w:rsidRDefault="00ED463E" w:rsidP="00ED463E"/>
    <w:p w14:paraId="44648F92" w14:textId="77777777" w:rsidR="00ED463E" w:rsidRPr="00F23A22" w:rsidRDefault="00ED463E" w:rsidP="00ED463E"/>
    <w:p w14:paraId="3F9EE608" w14:textId="77777777" w:rsidR="00ED463E" w:rsidRPr="00F23A22" w:rsidRDefault="00ED463E" w:rsidP="00ED463E"/>
    <w:p w14:paraId="6296A351" w14:textId="77777777" w:rsidR="00ED463E" w:rsidRPr="00F23A22" w:rsidRDefault="00ED463E" w:rsidP="00ED463E"/>
    <w:p w14:paraId="6580D8EC" w14:textId="77777777" w:rsidR="00ED463E" w:rsidRPr="00F23A22" w:rsidRDefault="00ED463E" w:rsidP="00ED463E"/>
    <w:p w14:paraId="2223F605" w14:textId="77777777" w:rsidR="00ED463E" w:rsidRPr="00F23A22" w:rsidRDefault="00ED463E" w:rsidP="00ED463E"/>
    <w:p w14:paraId="5365763A" w14:textId="77777777" w:rsidR="00ED463E" w:rsidRPr="00F23A22" w:rsidRDefault="00ED463E" w:rsidP="00ED463E"/>
    <w:p w14:paraId="12C7B2FD" w14:textId="77777777" w:rsidR="00ED463E" w:rsidRPr="00F23A22" w:rsidRDefault="00ED463E" w:rsidP="00ED463E"/>
    <w:p w14:paraId="267A4C1E" w14:textId="53D5D634" w:rsidR="00ED463E" w:rsidRPr="00F23A22" w:rsidRDefault="00ED463E" w:rsidP="00ED463E"/>
    <w:p w14:paraId="1734CA7D" w14:textId="29C6222C" w:rsidR="00ED463E" w:rsidRPr="00F23A22" w:rsidRDefault="00ED463E" w:rsidP="00ED463E">
      <w:pPr>
        <w:pStyle w:val="Heading1"/>
      </w:pPr>
      <w:bookmarkStart w:id="5" w:name="_Toc165833481"/>
      <w:r w:rsidRPr="00F23A22">
        <w:lastRenderedPageBreak/>
        <w:t>1 Introduction</w:t>
      </w:r>
      <w:bookmarkEnd w:id="5"/>
    </w:p>
    <w:p w14:paraId="441DA14D" w14:textId="047EAFF7" w:rsidR="00ED463E" w:rsidRPr="00F23A22" w:rsidRDefault="00ED463E" w:rsidP="00ED463E">
      <w:pPr>
        <w:pStyle w:val="Heading3"/>
        <w:numPr>
          <w:ilvl w:val="1"/>
          <w:numId w:val="16"/>
        </w:numPr>
      </w:pPr>
      <w:bookmarkStart w:id="6" w:name="_Toc165833482"/>
      <w:r w:rsidRPr="00F23A22">
        <w:t>Requirements and Background</w:t>
      </w:r>
      <w:bookmarkEnd w:id="6"/>
    </w:p>
    <w:p w14:paraId="69E87D35" w14:textId="6490A847" w:rsidR="00ED463E" w:rsidRPr="00F23A22" w:rsidRDefault="00ED463E" w:rsidP="00ED463E">
      <w:r w:rsidRPr="00F23A22">
        <w:t xml:space="preserve">The Rapid Cratering Kit Mk2 is a piece of ordnance used to provide forces with the ability to rapidly ‘dig in’ </w:t>
      </w:r>
      <w:r w:rsidR="00C84912" w:rsidRPr="00F23A22">
        <w:t xml:space="preserve">in an operational environment. The design uses a shaped charge to dig a ‘pilot hole’ into which bagged charges of High Explosive (HE) are placed, allowing the hole to be expanded </w:t>
      </w:r>
      <w:sdt>
        <w:sdtPr>
          <w:id w:val="28232006"/>
          <w:citation/>
        </w:sdtPr>
        <w:sdtContent>
          <w:r w:rsidR="00C84912" w:rsidRPr="00F23A22">
            <w:fldChar w:fldCharType="begin"/>
          </w:r>
          <w:r w:rsidR="00C84912" w:rsidRPr="00F23A22">
            <w:instrText xml:space="preserve"> CITATION Def21 \l 2057 </w:instrText>
          </w:r>
          <w:r w:rsidR="00C84912" w:rsidRPr="00F23A22">
            <w:fldChar w:fldCharType="separate"/>
          </w:r>
          <w:r w:rsidR="00082702" w:rsidRPr="00082702">
            <w:rPr>
              <w:noProof/>
            </w:rPr>
            <w:t>[2]</w:t>
          </w:r>
          <w:r w:rsidR="00C84912" w:rsidRPr="00F23A22">
            <w:fldChar w:fldCharType="end"/>
          </w:r>
        </w:sdtContent>
      </w:sdt>
      <w:sdt>
        <w:sdtPr>
          <w:id w:val="19049623"/>
          <w:citation/>
        </w:sdtPr>
        <w:sdtContent>
          <w:r w:rsidR="00C84912" w:rsidRPr="00F23A22">
            <w:fldChar w:fldCharType="begin"/>
          </w:r>
          <w:r w:rsidR="00C84912" w:rsidRPr="00F23A22">
            <w:instrText xml:space="preserve"> CITATION Hol24 \l 2057 </w:instrText>
          </w:r>
          <w:r w:rsidR="00C84912" w:rsidRPr="00F23A22">
            <w:fldChar w:fldCharType="separate"/>
          </w:r>
          <w:r w:rsidR="00082702">
            <w:rPr>
              <w:noProof/>
            </w:rPr>
            <w:t xml:space="preserve"> </w:t>
          </w:r>
          <w:r w:rsidR="00082702" w:rsidRPr="00082702">
            <w:rPr>
              <w:noProof/>
            </w:rPr>
            <w:t>[3]</w:t>
          </w:r>
          <w:r w:rsidR="00C84912" w:rsidRPr="00F23A22">
            <w:fldChar w:fldCharType="end"/>
          </w:r>
        </w:sdtContent>
      </w:sdt>
      <w:r w:rsidR="00C84912" w:rsidRPr="00F23A22">
        <w:t xml:space="preserve">. However, this design does not comply with Insensitive Munition (IM) regulations and therefore it was deemed necessary to design a replacement system. </w:t>
      </w:r>
      <w:r w:rsidR="0018682E" w:rsidRPr="00F23A22">
        <w:t>The new design was required to meet the following requirements:</w:t>
      </w:r>
    </w:p>
    <w:p w14:paraId="5BA5BB46" w14:textId="07D12791" w:rsidR="0018682E" w:rsidRPr="00F23A22" w:rsidRDefault="0018682E" w:rsidP="0018682E">
      <w:pPr>
        <w:pStyle w:val="ListParagraph"/>
        <w:numPr>
          <w:ilvl w:val="0"/>
          <w:numId w:val="17"/>
        </w:numPr>
      </w:pPr>
      <w:r w:rsidRPr="00F23A22">
        <w:t>Provide forces with the capability to rapidly dig in.</w:t>
      </w:r>
    </w:p>
    <w:p w14:paraId="687FE0C2" w14:textId="76925243" w:rsidR="0018682E" w:rsidRPr="00F23A22" w:rsidRDefault="0018682E" w:rsidP="0018682E">
      <w:pPr>
        <w:pStyle w:val="ListParagraph"/>
        <w:numPr>
          <w:ilvl w:val="0"/>
          <w:numId w:val="17"/>
        </w:numPr>
      </w:pPr>
      <w:r w:rsidRPr="00F23A22">
        <w:t>Be compliant with IM Legislation.</w:t>
      </w:r>
    </w:p>
    <w:p w14:paraId="28BF68F8" w14:textId="3C5F6168" w:rsidR="0018682E" w:rsidRPr="00F23A22" w:rsidRDefault="0018682E" w:rsidP="0018682E">
      <w:pPr>
        <w:pStyle w:val="ListParagraph"/>
        <w:numPr>
          <w:ilvl w:val="0"/>
          <w:numId w:val="17"/>
        </w:numPr>
      </w:pPr>
      <w:r w:rsidRPr="00F23A22">
        <w:t xml:space="preserve">Be capable of operating in Desert/Hot Climates, with all-weather capability desirable. </w:t>
      </w:r>
    </w:p>
    <w:p w14:paraId="5B11BCD9" w14:textId="401FB377" w:rsidR="0018682E" w:rsidRPr="00F23A22" w:rsidRDefault="0018682E" w:rsidP="0018682E">
      <w:pPr>
        <w:pStyle w:val="ListParagraph"/>
        <w:numPr>
          <w:ilvl w:val="0"/>
          <w:numId w:val="17"/>
        </w:numPr>
      </w:pPr>
      <w:r w:rsidRPr="00F23A22">
        <w:t>Be transportable by aircraft, both Fixed and Rotary Wing (Internal Carriage).</w:t>
      </w:r>
    </w:p>
    <w:p w14:paraId="4EB593AB" w14:textId="0752853C" w:rsidR="0018682E" w:rsidRDefault="0018682E" w:rsidP="0018682E">
      <w:pPr>
        <w:pStyle w:val="ListParagraph"/>
        <w:numPr>
          <w:ilvl w:val="0"/>
          <w:numId w:val="17"/>
        </w:numPr>
      </w:pPr>
      <w:r w:rsidRPr="00F23A22">
        <w:t>Be transportable by land systems, both wheeled and tracked, in both Logistical and Operational environments.</w:t>
      </w:r>
    </w:p>
    <w:p w14:paraId="1215A329" w14:textId="77777777" w:rsidR="00F23A22" w:rsidRDefault="00F23A22" w:rsidP="00F23A22">
      <w:pPr>
        <w:keepNext/>
      </w:pPr>
      <w:r>
        <w:rPr>
          <w:noProof/>
        </w:rPr>
        <w:drawing>
          <wp:inline distT="0" distB="0" distL="0" distR="0" wp14:anchorId="2FD55780" wp14:editId="7670323E">
            <wp:extent cx="5274310" cy="3343275"/>
            <wp:effectExtent l="0" t="0" r="2540" b="9525"/>
            <wp:docPr id="193588857" name="Picture 4" descr="A group of bags and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8857" name="Picture 4" descr="A group of bags and wir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3343275"/>
                    </a:xfrm>
                    <a:prstGeom prst="rect">
                      <a:avLst/>
                    </a:prstGeom>
                    <a:noFill/>
                    <a:ln>
                      <a:noFill/>
                    </a:ln>
                  </pic:spPr>
                </pic:pic>
              </a:graphicData>
            </a:graphic>
          </wp:inline>
        </w:drawing>
      </w:r>
    </w:p>
    <w:p w14:paraId="2F3420D1" w14:textId="78E25E2C" w:rsidR="00F23A22" w:rsidRPr="00F23A22" w:rsidRDefault="00F23A22" w:rsidP="00F23A22">
      <w:pPr>
        <w:pStyle w:val="Caption"/>
      </w:pPr>
      <w:bookmarkStart w:id="7" w:name="_Toc165833258"/>
      <w:r>
        <w:t xml:space="preserve">Figure </w:t>
      </w:r>
      <w:r>
        <w:fldChar w:fldCharType="begin"/>
      </w:r>
      <w:r>
        <w:instrText xml:space="preserve"> SEQ Figure \* ARABIC </w:instrText>
      </w:r>
      <w:r>
        <w:fldChar w:fldCharType="separate"/>
      </w:r>
      <w:r w:rsidR="00E11CCF">
        <w:rPr>
          <w:noProof/>
        </w:rPr>
        <w:t>1</w:t>
      </w:r>
      <w:r>
        <w:fldChar w:fldCharType="end"/>
      </w:r>
      <w:r>
        <w:t>: The Components of the Rapid Cratering Kit MK2</w:t>
      </w:r>
      <w:sdt>
        <w:sdtPr>
          <w:id w:val="1290089078"/>
          <w:citation/>
        </w:sdtPr>
        <w:sdtContent>
          <w:r>
            <w:fldChar w:fldCharType="begin"/>
          </w:r>
          <w:r>
            <w:instrText xml:space="preserve"> CITATION Def21 \l 2057 </w:instrText>
          </w:r>
          <w:r>
            <w:fldChar w:fldCharType="separate"/>
          </w:r>
          <w:r w:rsidR="00082702">
            <w:rPr>
              <w:noProof/>
            </w:rPr>
            <w:t xml:space="preserve"> </w:t>
          </w:r>
          <w:r w:rsidR="00082702" w:rsidRPr="00082702">
            <w:rPr>
              <w:noProof/>
            </w:rPr>
            <w:t>[2]</w:t>
          </w:r>
          <w:r>
            <w:fldChar w:fldCharType="end"/>
          </w:r>
        </w:sdtContent>
      </w:sdt>
      <w:bookmarkEnd w:id="7"/>
    </w:p>
    <w:p w14:paraId="12A718AE" w14:textId="77777777" w:rsidR="0018682E" w:rsidRPr="00F23A22" w:rsidRDefault="0018682E" w:rsidP="0018682E"/>
    <w:p w14:paraId="55572F29" w14:textId="3C9A3D5E" w:rsidR="00ED463E" w:rsidRPr="00F23A22" w:rsidRDefault="00ED463E" w:rsidP="0018682E">
      <w:pPr>
        <w:pStyle w:val="Heading3"/>
        <w:numPr>
          <w:ilvl w:val="1"/>
          <w:numId w:val="16"/>
        </w:numPr>
      </w:pPr>
      <w:bookmarkStart w:id="8" w:name="_Toc165833483"/>
      <w:r w:rsidRPr="00F23A22">
        <w:t>Scope of Report</w:t>
      </w:r>
      <w:bookmarkEnd w:id="8"/>
    </w:p>
    <w:p w14:paraId="3270058D" w14:textId="2C1973BA" w:rsidR="00F23A22" w:rsidRPr="00F23A22" w:rsidRDefault="0018682E" w:rsidP="00F23A22">
      <w:r w:rsidRPr="00F23A22">
        <w:t>This report describes the design process of a replacement for the Rapid Cratering Kit Mk2, with a particular focus on the laboratory testing of the explosive composition, using both analytical chemistry, and</w:t>
      </w:r>
      <w:r w:rsidR="00F23A22" w:rsidRPr="00F23A22">
        <w:t xml:space="preserve"> Small-Scale Hazard Testing (SSHT) to determine </w:t>
      </w:r>
      <w:r w:rsidR="00F23A22" w:rsidRPr="00F23A22">
        <w:lastRenderedPageBreak/>
        <w:t xml:space="preserve">the sensitivity and makeup of the explosive composition. In addition, the proceedings of a presentation </w:t>
      </w:r>
      <w:sdt>
        <w:sdtPr>
          <w:id w:val="-1711027906"/>
          <w:citation/>
        </w:sdtPr>
        <w:sdtContent>
          <w:r w:rsidR="00F23A22" w:rsidRPr="00F23A22">
            <w:fldChar w:fldCharType="begin"/>
          </w:r>
          <w:r w:rsidR="00F23A22" w:rsidRPr="00F23A22">
            <w:instrText xml:space="preserve"> CITATION Ble24 \l 2057 </w:instrText>
          </w:r>
          <w:r w:rsidR="00F23A22" w:rsidRPr="00F23A22">
            <w:fldChar w:fldCharType="separate"/>
          </w:r>
          <w:r w:rsidR="00082702" w:rsidRPr="00082702">
            <w:rPr>
              <w:noProof/>
            </w:rPr>
            <w:t>[4]</w:t>
          </w:r>
          <w:r w:rsidR="00F23A22" w:rsidRPr="00F23A22">
            <w:fldChar w:fldCharType="end"/>
          </w:r>
        </w:sdtContent>
      </w:sdt>
      <w:r w:rsidR="00F23A22" w:rsidRPr="00F23A22">
        <w:t xml:space="preserve"> given by the design team are included.</w:t>
      </w:r>
    </w:p>
    <w:p w14:paraId="44E3456F" w14:textId="2772E05D" w:rsidR="00F23A22" w:rsidRPr="00F23A22" w:rsidRDefault="00F23A22" w:rsidP="00F23A22">
      <w:pPr>
        <w:pStyle w:val="Heading3"/>
        <w:numPr>
          <w:ilvl w:val="1"/>
          <w:numId w:val="16"/>
        </w:numPr>
      </w:pPr>
      <w:bookmarkStart w:id="9" w:name="_Toc165833484"/>
      <w:r w:rsidRPr="00F23A22">
        <w:t>Proposal</w:t>
      </w:r>
      <w:bookmarkEnd w:id="9"/>
    </w:p>
    <w:p w14:paraId="778AEB54" w14:textId="567E8AD3" w:rsidR="00F23A22" w:rsidRDefault="00F23A22" w:rsidP="00F23A22">
      <w:r w:rsidRPr="00F23A22">
        <w:t>The design team proposed that the new design should make minimal changes to the original design to maximize</w:t>
      </w:r>
      <w:r>
        <w:t xml:space="preserve"> the compatibility with existing procedures, processes and equipment. For IM compliance, a novel explosive known as Taw-Ex22 was selected, but following research and inquiries, it was realised that insufficient material data was available to allow for the modelling of the charge. Therefore, a different novel Polymer-Bonded Explosive (PBX) by the name of Swans-Ex24 was chosen. </w:t>
      </w:r>
      <w:r w:rsidR="00CA6633">
        <w:t>Following this computer modelling, the decision was made to adjust the cone diameter of the shaped charge to improve the jet formation. To certify the munition for service and verify its IM compliance, a range of tests and trials were also derived.</w:t>
      </w:r>
    </w:p>
    <w:p w14:paraId="634A57CB" w14:textId="77777777" w:rsidR="00CA6633" w:rsidRDefault="00CA6633" w:rsidP="00F23A22"/>
    <w:p w14:paraId="271747A4" w14:textId="77777777" w:rsidR="00CA6633" w:rsidRDefault="00CA6633" w:rsidP="00F23A22"/>
    <w:p w14:paraId="5B25C5A0" w14:textId="77777777" w:rsidR="00CA6633" w:rsidRDefault="00CA6633" w:rsidP="00F23A22"/>
    <w:p w14:paraId="5F672D98" w14:textId="77777777" w:rsidR="00CA6633" w:rsidRDefault="00CA6633" w:rsidP="00F23A22"/>
    <w:p w14:paraId="6D438804" w14:textId="77777777" w:rsidR="00CA6633" w:rsidRDefault="00CA6633" w:rsidP="00F23A22"/>
    <w:p w14:paraId="10A202B6" w14:textId="77777777" w:rsidR="00CA6633" w:rsidRDefault="00CA6633" w:rsidP="00F23A22"/>
    <w:p w14:paraId="108EBCEB" w14:textId="77777777" w:rsidR="00CA6633" w:rsidRDefault="00CA6633" w:rsidP="00F23A22"/>
    <w:p w14:paraId="4028B23C" w14:textId="77777777" w:rsidR="00CA6633" w:rsidRDefault="00CA6633" w:rsidP="00F23A22"/>
    <w:p w14:paraId="669BDB92" w14:textId="77777777" w:rsidR="00CA6633" w:rsidRDefault="00CA6633" w:rsidP="00F23A22"/>
    <w:p w14:paraId="263C39FB" w14:textId="77777777" w:rsidR="00CA6633" w:rsidRDefault="00CA6633" w:rsidP="00F23A22"/>
    <w:p w14:paraId="76C1F507" w14:textId="77777777" w:rsidR="00CA6633" w:rsidRDefault="00CA6633" w:rsidP="00F23A22"/>
    <w:p w14:paraId="40F9A157" w14:textId="77777777" w:rsidR="00CA6633" w:rsidRDefault="00CA6633" w:rsidP="00F23A22"/>
    <w:p w14:paraId="394D7003" w14:textId="77777777" w:rsidR="00CA6633" w:rsidRDefault="00CA6633" w:rsidP="00F23A22"/>
    <w:p w14:paraId="1E578FD7" w14:textId="77777777" w:rsidR="00CA6633" w:rsidRDefault="00CA6633" w:rsidP="00F23A22"/>
    <w:p w14:paraId="4D7ACDDF" w14:textId="77777777" w:rsidR="00CA6633" w:rsidRDefault="00CA6633" w:rsidP="00F23A22"/>
    <w:p w14:paraId="4928F944" w14:textId="77777777" w:rsidR="00CA6633" w:rsidRDefault="00CA6633" w:rsidP="00F23A22"/>
    <w:p w14:paraId="56924271" w14:textId="77777777" w:rsidR="00CA6633" w:rsidRDefault="00CA6633" w:rsidP="00F23A22"/>
    <w:p w14:paraId="14909BDD" w14:textId="77777777" w:rsidR="00CA6633" w:rsidRDefault="00CA6633" w:rsidP="00F23A22"/>
    <w:p w14:paraId="53FEB3D2" w14:textId="77777777" w:rsidR="00CA6633" w:rsidRDefault="00CA6633" w:rsidP="00F23A22"/>
    <w:p w14:paraId="1CA0A8D0" w14:textId="6EC0DAFC" w:rsidR="00CA6633" w:rsidRDefault="00CA6633" w:rsidP="00CA6633">
      <w:pPr>
        <w:pStyle w:val="Heading1"/>
        <w:numPr>
          <w:ilvl w:val="0"/>
          <w:numId w:val="16"/>
        </w:numPr>
      </w:pPr>
      <w:bookmarkStart w:id="10" w:name="_Toc165833485"/>
      <w:r>
        <w:lastRenderedPageBreak/>
        <w:t>Design</w:t>
      </w:r>
      <w:bookmarkEnd w:id="10"/>
    </w:p>
    <w:p w14:paraId="59B22070" w14:textId="66402744" w:rsidR="00CA6633" w:rsidRDefault="00CA6633" w:rsidP="00CA6633">
      <w:pPr>
        <w:pStyle w:val="Heading3"/>
        <w:numPr>
          <w:ilvl w:val="1"/>
          <w:numId w:val="16"/>
        </w:numPr>
      </w:pPr>
      <w:bookmarkStart w:id="11" w:name="_Toc165833486"/>
      <w:r>
        <w:t>Modelling</w:t>
      </w:r>
      <w:bookmarkEnd w:id="11"/>
    </w:p>
    <w:p w14:paraId="5BF878D3" w14:textId="2010616D" w:rsidR="00CA6633" w:rsidRDefault="00CA6633" w:rsidP="00CA6633">
      <w:r>
        <w:t xml:space="preserve">To evaluate whether the existing design’s geometry could be easily adapted to use the new Swans-Ex24 fill, Finite Element Analysis (FEA) was carried out using the Abaqus software from Dassault </w:t>
      </w:r>
      <w:proofErr w:type="spellStart"/>
      <w:r>
        <w:t>Systemes</w:t>
      </w:r>
      <w:proofErr w:type="spellEnd"/>
      <w:r>
        <w:t>. Initially, a model representative of the Mk2 design with a 170mm charge and a 60° Cone Angle was used, with the fill set to Composition B.</w:t>
      </w:r>
      <w:r w:rsidR="005D4324">
        <w:t xml:space="preserve"> A second model was run using Swans-Ex24 as the fill. Results graphs are given below.</w:t>
      </w:r>
    </w:p>
    <w:p w14:paraId="1DDBA074" w14:textId="77777777" w:rsidR="005D4324" w:rsidRDefault="005D4324" w:rsidP="005D4324">
      <w:pPr>
        <w:keepNext/>
      </w:pPr>
      <w:r>
        <w:rPr>
          <w:noProof/>
        </w:rPr>
        <w:drawing>
          <wp:inline distT="0" distB="0" distL="0" distR="0" wp14:anchorId="01451760" wp14:editId="3469C368">
            <wp:extent cx="5274310" cy="2192655"/>
            <wp:effectExtent l="0" t="0" r="2540" b="0"/>
            <wp:docPr id="893708962" name="Picture 5"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graph with a red 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192655"/>
                    </a:xfrm>
                    <a:prstGeom prst="rect">
                      <a:avLst/>
                    </a:prstGeom>
                    <a:noFill/>
                    <a:ln>
                      <a:noFill/>
                    </a:ln>
                  </pic:spPr>
                </pic:pic>
              </a:graphicData>
            </a:graphic>
          </wp:inline>
        </w:drawing>
      </w:r>
    </w:p>
    <w:p w14:paraId="68A18A9B" w14:textId="7EBF9210" w:rsidR="005D4324" w:rsidRDefault="005D4324" w:rsidP="005D4324">
      <w:pPr>
        <w:pStyle w:val="Caption"/>
        <w:rPr>
          <w:rStyle w:val="eop"/>
          <w:rFonts w:ascii="Aptos" w:hAnsi="Aptos"/>
          <w:i w:val="0"/>
          <w:iCs w:val="0"/>
          <w:color w:val="0E2841"/>
          <w:sz w:val="18"/>
          <w:shd w:val="clear" w:color="auto" w:fill="FFFFFF"/>
        </w:rPr>
      </w:pPr>
      <w:bookmarkStart w:id="12" w:name="_Toc165833259"/>
      <w:r>
        <w:t xml:space="preserve">Figure </w:t>
      </w:r>
      <w:r>
        <w:fldChar w:fldCharType="begin"/>
      </w:r>
      <w:r>
        <w:instrText xml:space="preserve"> SEQ Figure \* ARABIC </w:instrText>
      </w:r>
      <w:r>
        <w:fldChar w:fldCharType="separate"/>
      </w:r>
      <w:r w:rsidR="00E11CCF">
        <w:rPr>
          <w:noProof/>
        </w:rPr>
        <w:t>2</w:t>
      </w:r>
      <w:r>
        <w:fldChar w:fldCharType="end"/>
      </w:r>
      <w:r>
        <w:t>:</w:t>
      </w:r>
      <w:r w:rsidRPr="005D4324">
        <w:rPr>
          <w:rStyle w:val="Heading1Char"/>
          <w:rFonts w:ascii="Aptos" w:hAnsi="Aptos"/>
          <w:i w:val="0"/>
          <w:iCs w:val="0"/>
          <w:color w:val="0E2841"/>
          <w:sz w:val="18"/>
          <w:shd w:val="clear" w:color="auto" w:fill="FFFFFF"/>
        </w:rPr>
        <w:t xml:space="preserve"> </w:t>
      </w:r>
      <w:r>
        <w:rPr>
          <w:rStyle w:val="normaltextrun"/>
          <w:rFonts w:ascii="Aptos" w:hAnsi="Aptos"/>
          <w:i w:val="0"/>
          <w:iCs w:val="0"/>
          <w:color w:val="0E2841"/>
          <w:sz w:val="18"/>
          <w:shd w:val="clear" w:color="auto" w:fill="FFFFFF"/>
        </w:rPr>
        <w:t>Energy vs Time Profile for Plastic Strain Results of Explosive Composition B. This figure displays the energy variation over time for the plastic strain results obtained from the explosive Composition B. The energy output of the system is represented along the y-axis, while the time elapsed during the simulation is depicted along the x-axis. Study Type: ALLAE (Allied Load and Energy Analysis) This plot provides insights into the dynamic behaviour of the explosive Composition B, offering valuable information regarding its energy output characteristics over the course of the simulation.</w:t>
      </w:r>
      <w:r>
        <w:rPr>
          <w:rStyle w:val="eop"/>
          <w:rFonts w:ascii="Aptos" w:hAnsi="Aptos"/>
          <w:i w:val="0"/>
          <w:iCs w:val="0"/>
          <w:color w:val="0E2841"/>
          <w:sz w:val="18"/>
          <w:shd w:val="clear" w:color="auto" w:fill="FFFFFF"/>
        </w:rPr>
        <w:t> </w:t>
      </w:r>
      <w:sdt>
        <w:sdtPr>
          <w:rPr>
            <w:rStyle w:val="eop"/>
            <w:rFonts w:ascii="Aptos" w:hAnsi="Aptos"/>
            <w:i w:val="0"/>
            <w:iCs w:val="0"/>
            <w:color w:val="0E2841"/>
            <w:sz w:val="18"/>
            <w:shd w:val="clear" w:color="auto" w:fill="FFFFFF"/>
          </w:rPr>
          <w:id w:val="-846792689"/>
          <w:citation/>
        </w:sdtPr>
        <w:sdtContent>
          <w:r>
            <w:rPr>
              <w:rStyle w:val="eop"/>
              <w:rFonts w:ascii="Aptos" w:hAnsi="Aptos"/>
              <w:i w:val="0"/>
              <w:iCs w:val="0"/>
              <w:color w:val="0E2841"/>
              <w:sz w:val="18"/>
              <w:shd w:val="clear" w:color="auto" w:fill="FFFFFF"/>
            </w:rPr>
            <w:fldChar w:fldCharType="begin"/>
          </w:r>
          <w:r>
            <w:rPr>
              <w:rStyle w:val="eop"/>
              <w:rFonts w:ascii="Aptos" w:hAnsi="Aptos"/>
              <w:i w:val="0"/>
              <w:iCs w:val="0"/>
              <w:color w:val="0E2841"/>
              <w:sz w:val="18"/>
              <w:shd w:val="clear" w:color="auto" w:fill="FFFFFF"/>
            </w:rPr>
            <w:instrText xml:space="preserve"> CITATION McA241 \l 2057 </w:instrText>
          </w:r>
          <w:r>
            <w:rPr>
              <w:rStyle w:val="eop"/>
              <w:rFonts w:ascii="Aptos" w:hAnsi="Aptos"/>
              <w:i w:val="0"/>
              <w:iCs w:val="0"/>
              <w:color w:val="0E2841"/>
              <w:sz w:val="18"/>
              <w:shd w:val="clear" w:color="auto" w:fill="FFFFFF"/>
            </w:rPr>
            <w:fldChar w:fldCharType="separate"/>
          </w:r>
          <w:r w:rsidR="00082702" w:rsidRPr="00082702">
            <w:rPr>
              <w:rFonts w:ascii="Aptos" w:hAnsi="Aptos"/>
              <w:noProof/>
              <w:color w:val="0E2841"/>
              <w:sz w:val="18"/>
              <w:shd w:val="clear" w:color="auto" w:fill="FFFFFF"/>
            </w:rPr>
            <w:t>[5]</w:t>
          </w:r>
          <w:r>
            <w:rPr>
              <w:rStyle w:val="eop"/>
              <w:rFonts w:ascii="Aptos" w:hAnsi="Aptos"/>
              <w:i w:val="0"/>
              <w:iCs w:val="0"/>
              <w:color w:val="0E2841"/>
              <w:sz w:val="18"/>
              <w:shd w:val="clear" w:color="auto" w:fill="FFFFFF"/>
            </w:rPr>
            <w:fldChar w:fldCharType="end"/>
          </w:r>
        </w:sdtContent>
      </w:sdt>
      <w:bookmarkEnd w:id="12"/>
    </w:p>
    <w:p w14:paraId="197E4419" w14:textId="77777777" w:rsidR="005D4324" w:rsidRDefault="005D4324" w:rsidP="005D4324">
      <w:pPr>
        <w:keepNext/>
      </w:pPr>
      <w:r>
        <w:rPr>
          <w:noProof/>
        </w:rPr>
        <w:drawing>
          <wp:inline distT="0" distB="0" distL="0" distR="0" wp14:anchorId="2FE40FD9" wp14:editId="4FCB49B5">
            <wp:extent cx="5274310" cy="2255520"/>
            <wp:effectExtent l="0" t="0" r="2540" b="0"/>
            <wp:docPr id="504391183" name="Picture 6"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graph with a red 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2255520"/>
                    </a:xfrm>
                    <a:prstGeom prst="rect">
                      <a:avLst/>
                    </a:prstGeom>
                    <a:noFill/>
                    <a:ln>
                      <a:noFill/>
                    </a:ln>
                  </pic:spPr>
                </pic:pic>
              </a:graphicData>
            </a:graphic>
          </wp:inline>
        </w:drawing>
      </w:r>
    </w:p>
    <w:p w14:paraId="735EEB75" w14:textId="343F3D24" w:rsidR="005D4324" w:rsidRDefault="005D4324" w:rsidP="005D4324">
      <w:pPr>
        <w:pStyle w:val="Caption"/>
        <w:rPr>
          <w:rStyle w:val="normaltextrun"/>
          <w:rFonts w:ascii="Aptos" w:hAnsi="Aptos"/>
          <w:i w:val="0"/>
          <w:iCs w:val="0"/>
          <w:color w:val="0E2841"/>
          <w:sz w:val="18"/>
          <w:shd w:val="clear" w:color="auto" w:fill="FFFFFF"/>
        </w:rPr>
      </w:pPr>
      <w:bookmarkStart w:id="13" w:name="_Toc165833260"/>
      <w:r>
        <w:t xml:space="preserve">Figure </w:t>
      </w:r>
      <w:r>
        <w:fldChar w:fldCharType="begin"/>
      </w:r>
      <w:r>
        <w:instrText xml:space="preserve"> SEQ Figure \* ARABIC </w:instrText>
      </w:r>
      <w:r>
        <w:fldChar w:fldCharType="separate"/>
      </w:r>
      <w:r w:rsidR="00E11CCF">
        <w:rPr>
          <w:noProof/>
        </w:rPr>
        <w:t>3</w:t>
      </w:r>
      <w:r>
        <w:fldChar w:fldCharType="end"/>
      </w:r>
      <w:r>
        <w:t>:</w:t>
      </w:r>
      <w:r w:rsidRPr="005D4324">
        <w:rPr>
          <w:rStyle w:val="Heading1Char"/>
          <w:rFonts w:ascii="Aptos" w:hAnsi="Aptos"/>
          <w:i w:val="0"/>
          <w:iCs w:val="0"/>
          <w:color w:val="0E2841"/>
          <w:sz w:val="18"/>
          <w:shd w:val="clear" w:color="auto" w:fill="FFFFFF"/>
        </w:rPr>
        <w:t xml:space="preserve"> </w:t>
      </w:r>
      <w:r>
        <w:rPr>
          <w:rStyle w:val="normaltextrun"/>
          <w:rFonts w:ascii="Aptos" w:hAnsi="Aptos"/>
          <w:i w:val="0"/>
          <w:iCs w:val="0"/>
          <w:color w:val="0E2841"/>
          <w:sz w:val="18"/>
          <w:shd w:val="clear" w:color="auto" w:fill="FFFFFF"/>
        </w:rPr>
        <w:t>Energy vs Time Profile for Plastic Dissipation of Composition B. This figure presents the variation in energy over time specifically related to plastic dissipation for the copper liner that was exposed to the detonation of Composition B. The energy output of the system is depicted on the y-axis, while the elapsed time during the simulation is represented on the x-axis. Study Type: ALLPD (Allied Plastic Dissipation) This plot aids in comprehending the dissipation of energy into heat, providing insights into the loss of energy within the material during plastic deformation.</w:t>
      </w:r>
      <w:sdt>
        <w:sdtPr>
          <w:rPr>
            <w:rStyle w:val="normaltextrun"/>
            <w:rFonts w:ascii="Aptos" w:hAnsi="Aptos"/>
            <w:i w:val="0"/>
            <w:iCs w:val="0"/>
            <w:color w:val="0E2841"/>
            <w:sz w:val="18"/>
            <w:shd w:val="clear" w:color="auto" w:fill="FFFFFF"/>
          </w:rPr>
          <w:id w:val="-1415696007"/>
          <w:citation/>
        </w:sdtPr>
        <w:sdtContent>
          <w:r>
            <w:rPr>
              <w:rStyle w:val="normaltextrun"/>
              <w:rFonts w:ascii="Aptos" w:hAnsi="Aptos"/>
              <w:i w:val="0"/>
              <w:iCs w:val="0"/>
              <w:color w:val="0E2841"/>
              <w:sz w:val="18"/>
              <w:shd w:val="clear" w:color="auto" w:fill="FFFFFF"/>
            </w:rPr>
            <w:fldChar w:fldCharType="begin"/>
          </w:r>
          <w:r>
            <w:rPr>
              <w:rStyle w:val="normaltextrun"/>
              <w:rFonts w:ascii="Aptos" w:hAnsi="Aptos"/>
              <w:i w:val="0"/>
              <w:iCs w:val="0"/>
              <w:color w:val="0E2841"/>
              <w:sz w:val="18"/>
              <w:shd w:val="clear" w:color="auto" w:fill="FFFFFF"/>
            </w:rPr>
            <w:instrText xml:space="preserve"> CITATION McA241 \l 2057 </w:instrText>
          </w:r>
          <w:r>
            <w:rPr>
              <w:rStyle w:val="normaltextrun"/>
              <w:rFonts w:ascii="Aptos" w:hAnsi="Aptos"/>
              <w:i w:val="0"/>
              <w:iCs w:val="0"/>
              <w:color w:val="0E2841"/>
              <w:sz w:val="18"/>
              <w:shd w:val="clear" w:color="auto" w:fill="FFFFFF"/>
            </w:rPr>
            <w:fldChar w:fldCharType="separate"/>
          </w:r>
          <w:r w:rsidR="00082702">
            <w:rPr>
              <w:rStyle w:val="normaltextrun"/>
              <w:rFonts w:ascii="Aptos" w:hAnsi="Aptos"/>
              <w:i w:val="0"/>
              <w:iCs w:val="0"/>
              <w:noProof/>
              <w:color w:val="0E2841"/>
              <w:sz w:val="18"/>
              <w:shd w:val="clear" w:color="auto" w:fill="FFFFFF"/>
            </w:rPr>
            <w:t xml:space="preserve"> </w:t>
          </w:r>
          <w:r w:rsidR="00082702" w:rsidRPr="00082702">
            <w:rPr>
              <w:rFonts w:ascii="Aptos" w:hAnsi="Aptos"/>
              <w:noProof/>
              <w:color w:val="0E2841"/>
              <w:sz w:val="18"/>
              <w:shd w:val="clear" w:color="auto" w:fill="FFFFFF"/>
            </w:rPr>
            <w:t>[5]</w:t>
          </w:r>
          <w:r>
            <w:rPr>
              <w:rStyle w:val="normaltextrun"/>
              <w:rFonts w:ascii="Aptos" w:hAnsi="Aptos"/>
              <w:i w:val="0"/>
              <w:iCs w:val="0"/>
              <w:color w:val="0E2841"/>
              <w:sz w:val="18"/>
              <w:shd w:val="clear" w:color="auto" w:fill="FFFFFF"/>
            </w:rPr>
            <w:fldChar w:fldCharType="end"/>
          </w:r>
        </w:sdtContent>
      </w:sdt>
      <w:bookmarkEnd w:id="13"/>
    </w:p>
    <w:p w14:paraId="0F3EFB3C" w14:textId="77777777" w:rsidR="005D4324" w:rsidRDefault="005D4324" w:rsidP="005D4324">
      <w:pPr>
        <w:keepNext/>
      </w:pPr>
      <w:r>
        <w:rPr>
          <w:noProof/>
        </w:rPr>
        <w:lastRenderedPageBreak/>
        <w:drawing>
          <wp:inline distT="0" distB="0" distL="0" distR="0" wp14:anchorId="391DFB5E" wp14:editId="5D925019">
            <wp:extent cx="5274310" cy="2234565"/>
            <wp:effectExtent l="0" t="0" r="2540" b="0"/>
            <wp:docPr id="686369157" name="Picture 7"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graph of a graph&#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2234565"/>
                    </a:xfrm>
                    <a:prstGeom prst="rect">
                      <a:avLst/>
                    </a:prstGeom>
                    <a:noFill/>
                    <a:ln>
                      <a:noFill/>
                    </a:ln>
                  </pic:spPr>
                </pic:pic>
              </a:graphicData>
            </a:graphic>
          </wp:inline>
        </w:drawing>
      </w:r>
    </w:p>
    <w:p w14:paraId="190F0736" w14:textId="30496310" w:rsidR="005D4324" w:rsidRDefault="005D4324" w:rsidP="005D4324">
      <w:pPr>
        <w:pStyle w:val="Caption"/>
        <w:rPr>
          <w:rStyle w:val="normaltextrun"/>
          <w:rFonts w:ascii="Aptos" w:hAnsi="Aptos"/>
          <w:i w:val="0"/>
          <w:iCs w:val="0"/>
          <w:color w:val="0E2841"/>
          <w:sz w:val="18"/>
          <w:shd w:val="clear" w:color="auto" w:fill="FFFFFF"/>
        </w:rPr>
      </w:pPr>
      <w:bookmarkStart w:id="14" w:name="_Toc165833261"/>
      <w:r>
        <w:t xml:space="preserve">Figure </w:t>
      </w:r>
      <w:r>
        <w:fldChar w:fldCharType="begin"/>
      </w:r>
      <w:r>
        <w:instrText xml:space="preserve"> SEQ Figure \* ARABIC </w:instrText>
      </w:r>
      <w:r>
        <w:fldChar w:fldCharType="separate"/>
      </w:r>
      <w:r w:rsidR="00E11CCF">
        <w:rPr>
          <w:noProof/>
        </w:rPr>
        <w:t>4</w:t>
      </w:r>
      <w:r>
        <w:fldChar w:fldCharType="end"/>
      </w:r>
      <w:r>
        <w:t xml:space="preserve">: </w:t>
      </w:r>
      <w:r>
        <w:rPr>
          <w:rStyle w:val="normaltextrun"/>
          <w:rFonts w:ascii="Aptos" w:hAnsi="Aptos"/>
          <w:i w:val="0"/>
          <w:iCs w:val="0"/>
          <w:color w:val="0E2841"/>
          <w:sz w:val="18"/>
          <w:shd w:val="clear" w:color="auto" w:fill="FFFFFF"/>
        </w:rPr>
        <w:t>Energy-Time Profile Illustrating Plastic Strain Results for the explosive SwansEx2024 a 60:40 RDX:HMX mixture. This figure showcases the energy fluctuations over time corresponding to the plastic strain outcomes observed with explosive SwansEx2024. The vertical axis represents the system's energy output, while the horizontal axis denotes the elapsed time during the simulation. Study Type: ALLAE (Allied Load and Energy Analysis)This plot offers insights into the dynamic behaviour of explosive Composition B, providing valuable data on its energy output dynamics throughout the simulation period.</w:t>
      </w:r>
      <w:r>
        <w:rPr>
          <w:rStyle w:val="normaltextrun"/>
          <w:rFonts w:ascii="Aptos" w:hAnsi="Aptos"/>
          <w:i w:val="0"/>
          <w:iCs w:val="0"/>
          <w:color w:val="0E2841"/>
          <w:sz w:val="18"/>
          <w:shd w:val="clear" w:color="auto" w:fill="FFFFFF"/>
        </w:rPr>
        <w:t xml:space="preserve"> </w:t>
      </w:r>
      <w:sdt>
        <w:sdtPr>
          <w:rPr>
            <w:rStyle w:val="normaltextrun"/>
            <w:rFonts w:ascii="Aptos" w:hAnsi="Aptos"/>
            <w:i w:val="0"/>
            <w:iCs w:val="0"/>
            <w:color w:val="0E2841"/>
            <w:sz w:val="18"/>
            <w:shd w:val="clear" w:color="auto" w:fill="FFFFFF"/>
          </w:rPr>
          <w:id w:val="2027740412"/>
          <w:citation/>
        </w:sdtPr>
        <w:sdtContent>
          <w:r>
            <w:rPr>
              <w:rStyle w:val="normaltextrun"/>
              <w:rFonts w:ascii="Aptos" w:hAnsi="Aptos"/>
              <w:i w:val="0"/>
              <w:iCs w:val="0"/>
              <w:color w:val="0E2841"/>
              <w:sz w:val="18"/>
              <w:shd w:val="clear" w:color="auto" w:fill="FFFFFF"/>
            </w:rPr>
            <w:fldChar w:fldCharType="begin"/>
          </w:r>
          <w:r>
            <w:rPr>
              <w:rStyle w:val="normaltextrun"/>
              <w:rFonts w:ascii="Aptos" w:hAnsi="Aptos"/>
              <w:i w:val="0"/>
              <w:iCs w:val="0"/>
              <w:color w:val="0E2841"/>
              <w:sz w:val="18"/>
              <w:shd w:val="clear" w:color="auto" w:fill="FFFFFF"/>
            </w:rPr>
            <w:instrText xml:space="preserve"> CITATION McA241 \l 2057 </w:instrText>
          </w:r>
          <w:r>
            <w:rPr>
              <w:rStyle w:val="normaltextrun"/>
              <w:rFonts w:ascii="Aptos" w:hAnsi="Aptos"/>
              <w:i w:val="0"/>
              <w:iCs w:val="0"/>
              <w:color w:val="0E2841"/>
              <w:sz w:val="18"/>
              <w:shd w:val="clear" w:color="auto" w:fill="FFFFFF"/>
            </w:rPr>
            <w:fldChar w:fldCharType="separate"/>
          </w:r>
          <w:r w:rsidR="00082702" w:rsidRPr="00082702">
            <w:rPr>
              <w:rFonts w:ascii="Aptos" w:hAnsi="Aptos"/>
              <w:noProof/>
              <w:color w:val="0E2841"/>
              <w:sz w:val="18"/>
              <w:shd w:val="clear" w:color="auto" w:fill="FFFFFF"/>
            </w:rPr>
            <w:t>[5]</w:t>
          </w:r>
          <w:r>
            <w:rPr>
              <w:rStyle w:val="normaltextrun"/>
              <w:rFonts w:ascii="Aptos" w:hAnsi="Aptos"/>
              <w:i w:val="0"/>
              <w:iCs w:val="0"/>
              <w:color w:val="0E2841"/>
              <w:sz w:val="18"/>
              <w:shd w:val="clear" w:color="auto" w:fill="FFFFFF"/>
            </w:rPr>
            <w:fldChar w:fldCharType="end"/>
          </w:r>
        </w:sdtContent>
      </w:sdt>
      <w:bookmarkEnd w:id="14"/>
    </w:p>
    <w:p w14:paraId="4275ECF0" w14:textId="77777777" w:rsidR="005D4324" w:rsidRDefault="005D4324" w:rsidP="005D4324">
      <w:pPr>
        <w:keepNext/>
      </w:pPr>
      <w:r>
        <w:rPr>
          <w:rStyle w:val="wacimagecontainer"/>
          <w:rFonts w:ascii="Segoe UI" w:hAnsi="Segoe UI" w:cs="Segoe UI"/>
          <w:noProof/>
          <w:color w:val="000000"/>
          <w:sz w:val="18"/>
          <w:szCs w:val="18"/>
          <w:shd w:val="clear" w:color="auto" w:fill="FFFFFF"/>
        </w:rPr>
        <w:drawing>
          <wp:inline distT="0" distB="0" distL="0" distR="0" wp14:anchorId="04ACDAF8" wp14:editId="05CD8818">
            <wp:extent cx="5274310" cy="2228215"/>
            <wp:effectExtent l="0" t="0" r="2540" b="635"/>
            <wp:docPr id="1689566507" name="Picture 8"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graph with a red lin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4310" cy="2228215"/>
                    </a:xfrm>
                    <a:prstGeom prst="rect">
                      <a:avLst/>
                    </a:prstGeom>
                    <a:noFill/>
                    <a:ln>
                      <a:noFill/>
                    </a:ln>
                  </pic:spPr>
                </pic:pic>
              </a:graphicData>
            </a:graphic>
          </wp:inline>
        </w:drawing>
      </w:r>
    </w:p>
    <w:p w14:paraId="410F7F0D" w14:textId="3854130A" w:rsidR="005D4324" w:rsidRDefault="005D4324" w:rsidP="005D4324">
      <w:pPr>
        <w:pStyle w:val="Caption"/>
        <w:rPr>
          <w:rStyle w:val="normaltextrun"/>
          <w:rFonts w:ascii="Aptos" w:hAnsi="Aptos"/>
          <w:i w:val="0"/>
          <w:iCs w:val="0"/>
          <w:color w:val="0E2841"/>
          <w:sz w:val="18"/>
          <w:shd w:val="clear" w:color="auto" w:fill="FFFFFF"/>
        </w:rPr>
      </w:pPr>
      <w:bookmarkStart w:id="15" w:name="_Toc165833262"/>
      <w:r>
        <w:t xml:space="preserve">Figure </w:t>
      </w:r>
      <w:r>
        <w:fldChar w:fldCharType="begin"/>
      </w:r>
      <w:r>
        <w:instrText xml:space="preserve"> SEQ Figure \* ARABIC </w:instrText>
      </w:r>
      <w:r>
        <w:fldChar w:fldCharType="separate"/>
      </w:r>
      <w:r w:rsidR="00E11CCF">
        <w:rPr>
          <w:noProof/>
        </w:rPr>
        <w:t>5</w:t>
      </w:r>
      <w:r>
        <w:fldChar w:fldCharType="end"/>
      </w:r>
      <w:r>
        <w:t>:</w:t>
      </w:r>
      <w:r w:rsidRPr="005D4324">
        <w:rPr>
          <w:rStyle w:val="Heading1Char"/>
          <w:rFonts w:ascii="Aptos" w:hAnsi="Aptos"/>
          <w:i w:val="0"/>
          <w:iCs w:val="0"/>
          <w:color w:val="0E2841"/>
          <w:sz w:val="18"/>
          <w:shd w:val="clear" w:color="auto" w:fill="FFFFFF"/>
        </w:rPr>
        <w:t xml:space="preserve"> </w:t>
      </w:r>
      <w:r>
        <w:rPr>
          <w:rStyle w:val="normaltextrun"/>
          <w:rFonts w:ascii="Aptos" w:hAnsi="Aptos"/>
          <w:i w:val="0"/>
          <w:iCs w:val="0"/>
          <w:color w:val="0E2841"/>
          <w:sz w:val="18"/>
          <w:shd w:val="clear" w:color="auto" w:fill="FFFFFF"/>
        </w:rPr>
        <w:t>Energy-Time Profile Illustrating Plastic Dissipation for SwansEx2024.This figure depicts the temporal variation in energy specifically attributed to plastic dissipation for Composition B. The vertical axis represents the system's energy output, while the horizontal axis denotes the time elapsed during the simulation. Study Type: ALLPD (Allied Plastic Dissipation) This visualization aids in understanding how energy is transformed into heat during plastic deformation, offering valuable insights into the energy loss within the copper liner material.</w:t>
      </w:r>
      <w:sdt>
        <w:sdtPr>
          <w:rPr>
            <w:rStyle w:val="normaltextrun"/>
            <w:rFonts w:ascii="Aptos" w:hAnsi="Aptos"/>
            <w:i w:val="0"/>
            <w:iCs w:val="0"/>
            <w:color w:val="0E2841"/>
            <w:sz w:val="18"/>
            <w:shd w:val="clear" w:color="auto" w:fill="FFFFFF"/>
          </w:rPr>
          <w:id w:val="1920520003"/>
          <w:citation/>
        </w:sdtPr>
        <w:sdtContent>
          <w:r>
            <w:rPr>
              <w:rStyle w:val="normaltextrun"/>
              <w:rFonts w:ascii="Aptos" w:hAnsi="Aptos"/>
              <w:i w:val="0"/>
              <w:iCs w:val="0"/>
              <w:color w:val="0E2841"/>
              <w:sz w:val="18"/>
              <w:shd w:val="clear" w:color="auto" w:fill="FFFFFF"/>
            </w:rPr>
            <w:fldChar w:fldCharType="begin"/>
          </w:r>
          <w:r>
            <w:rPr>
              <w:rStyle w:val="normaltextrun"/>
              <w:rFonts w:ascii="Aptos" w:hAnsi="Aptos"/>
              <w:i w:val="0"/>
              <w:iCs w:val="0"/>
              <w:color w:val="0E2841"/>
              <w:sz w:val="18"/>
              <w:shd w:val="clear" w:color="auto" w:fill="FFFFFF"/>
            </w:rPr>
            <w:instrText xml:space="preserve"> CITATION McA241 \l 2057 </w:instrText>
          </w:r>
          <w:r>
            <w:rPr>
              <w:rStyle w:val="normaltextrun"/>
              <w:rFonts w:ascii="Aptos" w:hAnsi="Aptos"/>
              <w:i w:val="0"/>
              <w:iCs w:val="0"/>
              <w:color w:val="0E2841"/>
              <w:sz w:val="18"/>
              <w:shd w:val="clear" w:color="auto" w:fill="FFFFFF"/>
            </w:rPr>
            <w:fldChar w:fldCharType="separate"/>
          </w:r>
          <w:r w:rsidR="00082702">
            <w:rPr>
              <w:rStyle w:val="normaltextrun"/>
              <w:rFonts w:ascii="Aptos" w:hAnsi="Aptos"/>
              <w:i w:val="0"/>
              <w:iCs w:val="0"/>
              <w:noProof/>
              <w:color w:val="0E2841"/>
              <w:sz w:val="18"/>
              <w:shd w:val="clear" w:color="auto" w:fill="FFFFFF"/>
            </w:rPr>
            <w:t xml:space="preserve"> </w:t>
          </w:r>
          <w:r w:rsidR="00082702" w:rsidRPr="00082702">
            <w:rPr>
              <w:rFonts w:ascii="Aptos" w:hAnsi="Aptos"/>
              <w:noProof/>
              <w:color w:val="0E2841"/>
              <w:sz w:val="18"/>
              <w:shd w:val="clear" w:color="auto" w:fill="FFFFFF"/>
            </w:rPr>
            <w:t>[5]</w:t>
          </w:r>
          <w:r>
            <w:rPr>
              <w:rStyle w:val="normaltextrun"/>
              <w:rFonts w:ascii="Aptos" w:hAnsi="Aptos"/>
              <w:i w:val="0"/>
              <w:iCs w:val="0"/>
              <w:color w:val="0E2841"/>
              <w:sz w:val="18"/>
              <w:shd w:val="clear" w:color="auto" w:fill="FFFFFF"/>
            </w:rPr>
            <w:fldChar w:fldCharType="end"/>
          </w:r>
        </w:sdtContent>
      </w:sdt>
      <w:r>
        <w:rPr>
          <w:rStyle w:val="normaltextrun"/>
          <w:rFonts w:ascii="Aptos" w:hAnsi="Aptos"/>
          <w:i w:val="0"/>
          <w:iCs w:val="0"/>
          <w:color w:val="0E2841"/>
          <w:sz w:val="18"/>
          <w:shd w:val="clear" w:color="auto" w:fill="FFFFFF"/>
        </w:rPr>
        <w:t>.</w:t>
      </w:r>
      <w:bookmarkEnd w:id="15"/>
    </w:p>
    <w:p w14:paraId="0F8D7121" w14:textId="56F8FC08" w:rsidR="005D4324" w:rsidRDefault="005D4324" w:rsidP="005D4324">
      <w:r>
        <w:t xml:space="preserve">The modelling concluded that Swans-Ex24 had a higher performance than Comp. B which could result in failures of the shaped charge to function correctly if the physical design parameters were kept the same as those on the existing Mk2 Design. It was therefore suggested that to improve the performance of the new design with Swans-Ex24, the cone diameter should be reduced, or less explosive fill should be used. It was also recognised that the Abaqus software was limited in performance, and so there was scope for additional work to be carried out using other computational techniques, such as </w:t>
      </w:r>
      <w:proofErr w:type="spellStart"/>
      <w:r w:rsidR="008514C3">
        <w:t>Trazul</w:t>
      </w:r>
      <w:proofErr w:type="spellEnd"/>
      <w:r w:rsidR="008514C3">
        <w:t xml:space="preserve"> Testing, Hydrocode, and Coupled Models </w:t>
      </w:r>
      <w:sdt>
        <w:sdtPr>
          <w:id w:val="314301748"/>
          <w:citation/>
        </w:sdtPr>
        <w:sdtContent>
          <w:r w:rsidR="008514C3">
            <w:fldChar w:fldCharType="begin"/>
          </w:r>
          <w:r w:rsidR="008514C3">
            <w:instrText xml:space="preserve"> CITATION Ble24 \l 2057 </w:instrText>
          </w:r>
          <w:r w:rsidR="008514C3">
            <w:fldChar w:fldCharType="separate"/>
          </w:r>
          <w:r w:rsidR="00082702" w:rsidRPr="00082702">
            <w:rPr>
              <w:noProof/>
            </w:rPr>
            <w:t>[4]</w:t>
          </w:r>
          <w:r w:rsidR="008514C3">
            <w:fldChar w:fldCharType="end"/>
          </w:r>
        </w:sdtContent>
      </w:sdt>
      <w:r w:rsidR="008514C3">
        <w:t>.</w:t>
      </w:r>
    </w:p>
    <w:p w14:paraId="29254AFB" w14:textId="77777777" w:rsidR="008514C3" w:rsidRDefault="008514C3" w:rsidP="005D4324"/>
    <w:p w14:paraId="02C2D1B7" w14:textId="44B1E21B" w:rsidR="008514C3" w:rsidRDefault="008514C3" w:rsidP="008514C3">
      <w:pPr>
        <w:pStyle w:val="Heading3"/>
        <w:numPr>
          <w:ilvl w:val="1"/>
          <w:numId w:val="16"/>
        </w:numPr>
      </w:pPr>
      <w:bookmarkStart w:id="16" w:name="_Toc165833487"/>
      <w:r>
        <w:lastRenderedPageBreak/>
        <w:t>Manufacture and Packaging</w:t>
      </w:r>
      <w:bookmarkEnd w:id="16"/>
    </w:p>
    <w:p w14:paraId="56BA5092" w14:textId="32AFD6CE" w:rsidR="008514C3" w:rsidRDefault="008514C3" w:rsidP="008514C3">
      <w:r>
        <w:t xml:space="preserve">To determine the manufacturing requirements of the design, it was necessary to consider the current status of explosives manufacturing in the UK. In </w:t>
      </w:r>
      <w:sdt>
        <w:sdtPr>
          <w:id w:val="-87543729"/>
          <w:citation/>
        </w:sdtPr>
        <w:sdtContent>
          <w:r>
            <w:fldChar w:fldCharType="begin"/>
          </w:r>
          <w:r>
            <w:instrText xml:space="preserve"> CITATION Ble24 \l 2057 </w:instrText>
          </w:r>
          <w:r>
            <w:fldChar w:fldCharType="separate"/>
          </w:r>
          <w:r w:rsidR="00082702" w:rsidRPr="00082702">
            <w:rPr>
              <w:noProof/>
            </w:rPr>
            <w:t>[4]</w:t>
          </w:r>
          <w:r>
            <w:fldChar w:fldCharType="end"/>
          </w:r>
        </w:sdtContent>
      </w:sdt>
      <w:r>
        <w:t xml:space="preserve">, Fisher discusses the limitations posed by BAE Systems </w:t>
      </w:r>
      <w:proofErr w:type="spellStart"/>
      <w:r>
        <w:t>Glasgoed</w:t>
      </w:r>
      <w:proofErr w:type="spellEnd"/>
      <w:r>
        <w:t xml:space="preserve"> being the only site in the UK capable of large-scale production of energetic articles. The current standard filling technique is melt-casting, wherein the explosive is melted and poured into the munition as a liquid</w:t>
      </w:r>
      <w:r w:rsidR="00267013">
        <w:t>. As Swans-Ex24 has an initiation temperature below it’s melting point, it is not feasible to use this technique. Therefore, it is proposed to use Resonant Acoustic Mixing (RAM) to mix the components of the explosive competition together without requiring heating. To manufacture the structural components of the munition, it was decided to utilise metal spinning for the both the main Aluminium case, and the Copper Liner, with the stand-off legs being made of three short lengths of folded Aluminium sheet</w:t>
      </w:r>
      <w:sdt>
        <w:sdtPr>
          <w:id w:val="1756857749"/>
          <w:citation/>
        </w:sdtPr>
        <w:sdtContent>
          <w:r w:rsidR="00267013">
            <w:fldChar w:fldCharType="begin"/>
          </w:r>
          <w:r w:rsidR="00267013">
            <w:instrText xml:space="preserve"> CITATION Ble24 \l 2057 </w:instrText>
          </w:r>
          <w:r w:rsidR="00267013">
            <w:fldChar w:fldCharType="separate"/>
          </w:r>
          <w:r w:rsidR="00082702">
            <w:rPr>
              <w:noProof/>
            </w:rPr>
            <w:t xml:space="preserve"> </w:t>
          </w:r>
          <w:r w:rsidR="00082702" w:rsidRPr="00082702">
            <w:rPr>
              <w:noProof/>
            </w:rPr>
            <w:t>[4]</w:t>
          </w:r>
          <w:r w:rsidR="00267013">
            <w:fldChar w:fldCharType="end"/>
          </w:r>
        </w:sdtContent>
      </w:sdt>
      <w:r w:rsidR="00267013">
        <w:t xml:space="preserve">. </w:t>
      </w:r>
    </w:p>
    <w:p w14:paraId="6F45EC09" w14:textId="3A8190DA" w:rsidR="00416BAE" w:rsidRDefault="00267013" w:rsidP="008514C3">
      <w:r>
        <w:t>Since the Swans-Ex24 will need a booster to initiate, it was also necessary to consider the manufacture of this booster. For simplicity, it was decided to use the RDX</w:t>
      </w:r>
      <w:r>
        <w:rPr>
          <w:rStyle w:val="FootnoteReference"/>
        </w:rPr>
        <w:footnoteReference w:id="1"/>
      </w:r>
      <w:r>
        <w:t>-based Plastic Explosive PE8. This explosive is typically provided in 2kg sheets and can be easily worked into shapes by hand or by the use of a machine. The Shaped Charge would use a 25g stamped block of PE8 as a booster, and the Main Charges wo</w:t>
      </w:r>
      <w:r w:rsidR="00416BAE">
        <w:t>uld use 100g PE8 with 4 break marks stamped in the charge to enable users to have a degree of control over the amount of PE8 used</w:t>
      </w:r>
      <w:sdt>
        <w:sdtPr>
          <w:id w:val="139399210"/>
          <w:citation/>
        </w:sdtPr>
        <w:sdtContent>
          <w:r w:rsidR="00416BAE">
            <w:fldChar w:fldCharType="begin"/>
          </w:r>
          <w:r w:rsidR="00416BAE">
            <w:instrText xml:space="preserve"> CITATION Ble24 \l 2057 </w:instrText>
          </w:r>
          <w:r w:rsidR="00416BAE">
            <w:fldChar w:fldCharType="separate"/>
          </w:r>
          <w:r w:rsidR="00082702">
            <w:rPr>
              <w:noProof/>
            </w:rPr>
            <w:t xml:space="preserve"> </w:t>
          </w:r>
          <w:r w:rsidR="00082702" w:rsidRPr="00082702">
            <w:rPr>
              <w:noProof/>
            </w:rPr>
            <w:t>[4]</w:t>
          </w:r>
          <w:r w:rsidR="00416BAE">
            <w:fldChar w:fldCharType="end"/>
          </w:r>
        </w:sdtContent>
      </w:sdt>
      <w:r w:rsidR="00416BAE">
        <w:t>.</w:t>
      </w:r>
    </w:p>
    <w:p w14:paraId="61A1474E" w14:textId="2087D05B" w:rsidR="00416BAE" w:rsidRDefault="00416BAE" w:rsidP="008514C3">
      <w:r>
        <w:t>Two proposals were made for the RAM mixing of the shaped charge, one using a high-volume RAM mixer, and then pouring the freshly mixed composition into the cases, the other placing the entire munition into a RAM mixer, and mixing in-case. Both options remain under consideration, however it is acknowledged that the current availability of RAM Mixers would result in production bottlenecks when mixing in-case, especially in the case of a production surge. The main charge fill would be RAM mixed and then poured into moulds</w:t>
      </w:r>
      <w:sdt>
        <w:sdtPr>
          <w:id w:val="1165588758"/>
          <w:citation/>
        </w:sdtPr>
        <w:sdtContent>
          <w:r>
            <w:fldChar w:fldCharType="begin"/>
          </w:r>
          <w:r>
            <w:instrText xml:space="preserve"> CITATION Ble24 \l 2057 </w:instrText>
          </w:r>
          <w:r>
            <w:fldChar w:fldCharType="separate"/>
          </w:r>
          <w:r w:rsidR="00082702">
            <w:rPr>
              <w:noProof/>
            </w:rPr>
            <w:t xml:space="preserve"> </w:t>
          </w:r>
          <w:r w:rsidR="00082702" w:rsidRPr="00082702">
            <w:rPr>
              <w:noProof/>
            </w:rPr>
            <w:t>[4]</w:t>
          </w:r>
          <w:r>
            <w:fldChar w:fldCharType="end"/>
          </w:r>
        </w:sdtContent>
      </w:sdt>
      <w:r>
        <w:t>.</w:t>
      </w:r>
    </w:p>
    <w:p w14:paraId="01A82129" w14:textId="5DFFE9E9" w:rsidR="00416BAE" w:rsidRDefault="00416BAE" w:rsidP="008514C3">
      <w:r>
        <w:t>For the packaging of the kit, the following arrangement was proposed.</w:t>
      </w:r>
    </w:p>
    <w:p w14:paraId="2A0E02FC" w14:textId="55482F57" w:rsidR="00416BAE" w:rsidRDefault="00416BAE" w:rsidP="00416BAE">
      <w:pPr>
        <w:pStyle w:val="ListParagraph"/>
        <w:numPr>
          <w:ilvl w:val="0"/>
          <w:numId w:val="18"/>
        </w:numPr>
      </w:pPr>
      <w:r>
        <w:t>Wooden Overpack Crate, Containing:</w:t>
      </w:r>
    </w:p>
    <w:p w14:paraId="1F602504" w14:textId="16741C0A" w:rsidR="00416BAE" w:rsidRDefault="00416BAE" w:rsidP="00416BAE">
      <w:pPr>
        <w:pStyle w:val="ListParagraph"/>
        <w:numPr>
          <w:ilvl w:val="1"/>
          <w:numId w:val="18"/>
        </w:numPr>
      </w:pPr>
      <w:r>
        <w:t>1x Shaped Chage (Integrated Booster)</w:t>
      </w:r>
    </w:p>
    <w:p w14:paraId="5B58F376" w14:textId="6023186D" w:rsidR="00416BAE" w:rsidRDefault="00416BAE" w:rsidP="00416BAE">
      <w:pPr>
        <w:pStyle w:val="ListParagraph"/>
        <w:numPr>
          <w:ilvl w:val="1"/>
          <w:numId w:val="18"/>
        </w:numPr>
      </w:pPr>
      <w:r>
        <w:t>2x 10kg Main Charges in Polythene Bags</w:t>
      </w:r>
    </w:p>
    <w:p w14:paraId="702F08EB" w14:textId="0F2843EA" w:rsidR="00416BAE" w:rsidRDefault="00416BAE" w:rsidP="00416BAE">
      <w:pPr>
        <w:pStyle w:val="ListParagraph"/>
        <w:numPr>
          <w:ilvl w:val="1"/>
          <w:numId w:val="18"/>
        </w:numPr>
      </w:pPr>
      <w:r>
        <w:t>1x 100g Main Charge Booster</w:t>
      </w:r>
    </w:p>
    <w:p w14:paraId="1813ED0D" w14:textId="31136E1C" w:rsidR="00416BAE" w:rsidRDefault="00416BAE" w:rsidP="00416BAE">
      <w:pPr>
        <w:pStyle w:val="ListParagraph"/>
        <w:numPr>
          <w:ilvl w:val="0"/>
          <w:numId w:val="18"/>
        </w:numPr>
      </w:pPr>
      <w:r>
        <w:t>Detonators and ignition system stored separately.</w:t>
      </w:r>
    </w:p>
    <w:p w14:paraId="6A27C2A4" w14:textId="77777777" w:rsidR="00416BAE" w:rsidRDefault="00416BAE" w:rsidP="00416BAE"/>
    <w:p w14:paraId="6B34F965" w14:textId="77777777" w:rsidR="00416BAE" w:rsidRDefault="00416BAE" w:rsidP="00416BAE"/>
    <w:p w14:paraId="2F05B35A" w14:textId="77777777" w:rsidR="00416BAE" w:rsidRDefault="00416BAE" w:rsidP="00416BAE"/>
    <w:p w14:paraId="0A873D67" w14:textId="77777777" w:rsidR="00416BAE" w:rsidRDefault="00416BAE" w:rsidP="00416BAE"/>
    <w:p w14:paraId="3F834F2F" w14:textId="1EB42C64" w:rsidR="00416BAE" w:rsidRDefault="00756700" w:rsidP="00756700">
      <w:pPr>
        <w:pStyle w:val="Heading3"/>
      </w:pPr>
      <w:bookmarkStart w:id="17" w:name="_Toc165833488"/>
      <w:r>
        <w:lastRenderedPageBreak/>
        <w:t>2.3 Sequential Environmental Testing</w:t>
      </w:r>
      <w:bookmarkEnd w:id="17"/>
    </w:p>
    <w:p w14:paraId="154C60AE" w14:textId="153BA1C3" w:rsidR="00756700" w:rsidRDefault="00756700" w:rsidP="00756700">
      <w:r>
        <w:t xml:space="preserve">In order to certify the munition for service, it is necessary to simulate expected service conditions, often simulating ‘years of life in months of testing’ In </w:t>
      </w:r>
      <w:sdt>
        <w:sdtPr>
          <w:id w:val="-1967730154"/>
          <w:citation/>
        </w:sdtPr>
        <w:sdtContent>
          <w:r>
            <w:fldChar w:fldCharType="begin"/>
          </w:r>
          <w:r>
            <w:instrText xml:space="preserve"> CITATION Ble24 \l 2057 </w:instrText>
          </w:r>
          <w:r>
            <w:fldChar w:fldCharType="separate"/>
          </w:r>
          <w:r w:rsidR="00082702" w:rsidRPr="00082702">
            <w:rPr>
              <w:noProof/>
            </w:rPr>
            <w:t>[4]</w:t>
          </w:r>
          <w:r>
            <w:fldChar w:fldCharType="end"/>
          </w:r>
        </w:sdtContent>
      </w:sdt>
      <w:r>
        <w:t xml:space="preserve">, Malcolm describes the environmental parameters ‘B3 Hot, Humid, Costal, Desert’ and ‘C2 Cold (Based on Colder locations in Canada)’ to be used for the sequential tests, in accordance with DEFSTAN00-035. </w:t>
      </w:r>
    </w:p>
    <w:p w14:paraId="0A0995D6" w14:textId="0EBE077C" w:rsidR="00756700" w:rsidRDefault="00756700" w:rsidP="00756700">
      <w:r>
        <w:t xml:space="preserve">The testing would involve the Charges and Boosters being tested in a packed configuration (not including detonator or other initiation equipment), followed by a post-test firing. This testing would be a simple functional test; using Blast Gauges, Flash X-Ray, and a Semi-infinite target as the instrumentation </w:t>
      </w:r>
      <w:sdt>
        <w:sdtPr>
          <w:id w:val="-2047746494"/>
          <w:citation/>
        </w:sdtPr>
        <w:sdtContent>
          <w:r>
            <w:fldChar w:fldCharType="begin"/>
          </w:r>
          <w:r>
            <w:instrText xml:space="preserve"> CITATION Ble24 \l 2057 </w:instrText>
          </w:r>
          <w:r>
            <w:fldChar w:fldCharType="separate"/>
          </w:r>
          <w:r w:rsidR="00082702" w:rsidRPr="00082702">
            <w:rPr>
              <w:noProof/>
            </w:rPr>
            <w:t>[4]</w:t>
          </w:r>
          <w:r>
            <w:fldChar w:fldCharType="end"/>
          </w:r>
        </w:sdtContent>
      </w:sdt>
      <w:r>
        <w:t>.</w:t>
      </w:r>
    </w:p>
    <w:p w14:paraId="7D8C17D0" w14:textId="2158DCD8" w:rsidR="00756700" w:rsidRDefault="00756700" w:rsidP="00756700">
      <w:r>
        <w:t xml:space="preserve">An example test is the Wheeled Transport to Depot Shock Test. This test simulates the shocks that would be encountered by the explosive article during </w:t>
      </w:r>
      <w:r w:rsidR="00CC3F3D">
        <w:t>5000km of wheeled transport and is carried out at both hot and cold temperatures in accordance with the B3 and C2 conditions discussed above. Following this test, rounds and packaging should be inspected for damage and those which need firing should be taken for a functional test firing as discussed above</w:t>
      </w:r>
      <w:sdt>
        <w:sdtPr>
          <w:id w:val="-1068647104"/>
          <w:citation/>
        </w:sdtPr>
        <w:sdtContent>
          <w:r w:rsidR="00CC3F3D">
            <w:fldChar w:fldCharType="begin"/>
          </w:r>
          <w:r w:rsidR="00CC3F3D">
            <w:instrText xml:space="preserve"> CITATION Ble24 \l 2057 </w:instrText>
          </w:r>
          <w:r w:rsidR="00CC3F3D">
            <w:fldChar w:fldCharType="separate"/>
          </w:r>
          <w:r w:rsidR="00082702">
            <w:rPr>
              <w:noProof/>
            </w:rPr>
            <w:t xml:space="preserve"> </w:t>
          </w:r>
          <w:r w:rsidR="00082702" w:rsidRPr="00082702">
            <w:rPr>
              <w:noProof/>
            </w:rPr>
            <w:t>[4]</w:t>
          </w:r>
          <w:r w:rsidR="00CC3F3D">
            <w:fldChar w:fldCharType="end"/>
          </w:r>
        </w:sdtContent>
      </w:sdt>
      <w:r w:rsidR="00CC3F3D">
        <w:t>.</w:t>
      </w:r>
    </w:p>
    <w:p w14:paraId="404A3F33" w14:textId="621B829F" w:rsidR="00CC3F3D" w:rsidRDefault="00CC3F3D" w:rsidP="00756700">
      <w:r>
        <w:t>To support potential life extensions for the munition, the sequential tests can be applied to in-service munitions as part of in-service surveillance, however this is subject to variability caused by changes in usage, real-life experience, and new emergent failure modes.</w:t>
      </w:r>
    </w:p>
    <w:p w14:paraId="42861944" w14:textId="5620D799" w:rsidR="00CC3F3D" w:rsidRDefault="00CC3F3D" w:rsidP="00756700">
      <w:r>
        <w:t>Provided the munition passes all of the sequential tests, the design team can present the following conclusions</w:t>
      </w:r>
      <w:r w:rsidR="000E63A2">
        <w:t xml:space="preserve"> on the munition’s </w:t>
      </w:r>
      <w:proofErr w:type="spellStart"/>
      <w:r w:rsidR="000E63A2">
        <w:t>servicability</w:t>
      </w:r>
      <w:proofErr w:type="spellEnd"/>
      <w:sdt>
        <w:sdtPr>
          <w:id w:val="-2143794932"/>
          <w:citation/>
        </w:sdtPr>
        <w:sdtContent>
          <w:r w:rsidR="000E63A2">
            <w:fldChar w:fldCharType="begin"/>
          </w:r>
          <w:r w:rsidR="000E63A2">
            <w:instrText xml:space="preserve"> CITATION Ble24 \l 2057 </w:instrText>
          </w:r>
          <w:r w:rsidR="000E63A2">
            <w:fldChar w:fldCharType="separate"/>
          </w:r>
          <w:r w:rsidR="00082702">
            <w:rPr>
              <w:noProof/>
            </w:rPr>
            <w:t xml:space="preserve"> </w:t>
          </w:r>
          <w:r w:rsidR="00082702" w:rsidRPr="00082702">
            <w:rPr>
              <w:noProof/>
            </w:rPr>
            <w:t>[4]</w:t>
          </w:r>
          <w:r w:rsidR="000E63A2">
            <w:fldChar w:fldCharType="end"/>
          </w:r>
        </w:sdtContent>
      </w:sdt>
      <w:r>
        <w:t>:</w:t>
      </w:r>
    </w:p>
    <w:p w14:paraId="646E9386" w14:textId="38B6CAAB" w:rsidR="00CC3F3D" w:rsidRDefault="00CC3F3D" w:rsidP="00CC3F3D">
      <w:pPr>
        <w:pStyle w:val="ListParagraph"/>
        <w:numPr>
          <w:ilvl w:val="0"/>
          <w:numId w:val="19"/>
        </w:numPr>
      </w:pPr>
      <w:r>
        <w:t>Initial Service Life of 7 Years, Re-</w:t>
      </w:r>
      <w:proofErr w:type="spellStart"/>
      <w:r>
        <w:t>Lifing</w:t>
      </w:r>
      <w:proofErr w:type="spellEnd"/>
      <w:r>
        <w:t xml:space="preserve"> at 6 years may Result in a Service Life of Over 10 Years</w:t>
      </w:r>
    </w:p>
    <w:p w14:paraId="20AF640F" w14:textId="2EF6E75F" w:rsidR="00CC3F3D" w:rsidRDefault="00CC3F3D" w:rsidP="00CC3F3D">
      <w:pPr>
        <w:pStyle w:val="ListParagraph"/>
        <w:numPr>
          <w:ilvl w:val="0"/>
          <w:numId w:val="19"/>
        </w:numPr>
      </w:pPr>
      <w:r>
        <w:t>Munition suitable for all expected climates including limited exposure to maritime environments.</w:t>
      </w:r>
    </w:p>
    <w:p w14:paraId="771AD3B7" w14:textId="3BA2124B" w:rsidR="00CC3F3D" w:rsidRDefault="00CC3F3D" w:rsidP="00CC3F3D">
      <w:pPr>
        <w:pStyle w:val="ListParagraph"/>
        <w:numPr>
          <w:ilvl w:val="1"/>
          <w:numId w:val="19"/>
        </w:numPr>
      </w:pPr>
      <w:r>
        <w:t>7 Years Storage</w:t>
      </w:r>
    </w:p>
    <w:p w14:paraId="6CBC268F" w14:textId="52FE8A8C" w:rsidR="00CC3F3D" w:rsidRDefault="00CC3F3D" w:rsidP="00CC3F3D">
      <w:pPr>
        <w:pStyle w:val="ListParagraph"/>
        <w:numPr>
          <w:ilvl w:val="1"/>
          <w:numId w:val="19"/>
        </w:numPr>
      </w:pPr>
      <w:r>
        <w:t>6-Month Storage/Deployment in Hot Climate (Unprotected from Solar Radiation)</w:t>
      </w:r>
    </w:p>
    <w:p w14:paraId="08C575C5" w14:textId="7C8CC08D" w:rsidR="00CC3F3D" w:rsidRDefault="00CC3F3D" w:rsidP="00CC3F3D">
      <w:pPr>
        <w:pStyle w:val="ListParagraph"/>
        <w:numPr>
          <w:ilvl w:val="1"/>
          <w:numId w:val="19"/>
        </w:numPr>
      </w:pPr>
      <w:r>
        <w:t>3 Years Storage plus 6-Month Deployment in Cold Climate</w:t>
      </w:r>
    </w:p>
    <w:p w14:paraId="7CFF1515" w14:textId="7E212FF4" w:rsidR="00CC3F3D" w:rsidRDefault="00CC3F3D" w:rsidP="00CC3F3D">
      <w:pPr>
        <w:pStyle w:val="ListParagraph"/>
        <w:numPr>
          <w:ilvl w:val="0"/>
          <w:numId w:val="19"/>
        </w:numPr>
      </w:pPr>
      <w:r>
        <w:t>Air</w:t>
      </w:r>
      <w:r w:rsidR="000E63A2">
        <w:t xml:space="preserve"> </w:t>
      </w:r>
      <w:r>
        <w:t>Mobile</w:t>
      </w:r>
    </w:p>
    <w:p w14:paraId="737E1A4D" w14:textId="7A1E3D35" w:rsidR="000E63A2" w:rsidRDefault="000E63A2" w:rsidP="000E63A2">
      <w:pPr>
        <w:pStyle w:val="ListParagraph"/>
        <w:numPr>
          <w:ilvl w:val="1"/>
          <w:numId w:val="19"/>
        </w:numPr>
      </w:pPr>
      <w:r>
        <w:t>100hrs Fixed Wing (A400, Globemaster)</w:t>
      </w:r>
    </w:p>
    <w:p w14:paraId="45694AB3" w14:textId="63C5AD2B" w:rsidR="000E63A2" w:rsidRDefault="000E63A2" w:rsidP="000E63A2">
      <w:pPr>
        <w:pStyle w:val="ListParagraph"/>
        <w:numPr>
          <w:ilvl w:val="1"/>
          <w:numId w:val="19"/>
        </w:numPr>
      </w:pPr>
      <w:r>
        <w:t>50hrs Merlin, 40hrs Chinook, 33hrs Wildcat</w:t>
      </w:r>
    </w:p>
    <w:p w14:paraId="2A417CBF" w14:textId="1C6B186A" w:rsidR="000E63A2" w:rsidRDefault="000E63A2" w:rsidP="000E63A2">
      <w:pPr>
        <w:pStyle w:val="ListParagraph"/>
        <w:numPr>
          <w:ilvl w:val="0"/>
          <w:numId w:val="19"/>
        </w:numPr>
      </w:pPr>
      <w:r>
        <w:t>Road Mobile</w:t>
      </w:r>
    </w:p>
    <w:p w14:paraId="6F74F10B" w14:textId="5A28F60C" w:rsidR="000E63A2" w:rsidRDefault="000E63A2" w:rsidP="000E63A2">
      <w:pPr>
        <w:pStyle w:val="ListParagraph"/>
        <w:numPr>
          <w:ilvl w:val="1"/>
          <w:numId w:val="19"/>
        </w:numPr>
      </w:pPr>
      <w:r>
        <w:t>5000km on-road wheeled</w:t>
      </w:r>
    </w:p>
    <w:p w14:paraId="3180BFC8" w14:textId="660CB77C" w:rsidR="000E63A2" w:rsidRDefault="000E63A2" w:rsidP="000E63A2">
      <w:pPr>
        <w:pStyle w:val="ListParagraph"/>
        <w:numPr>
          <w:ilvl w:val="1"/>
          <w:numId w:val="19"/>
        </w:numPr>
      </w:pPr>
      <w:r>
        <w:t>1000km off-road wheeled</w:t>
      </w:r>
    </w:p>
    <w:p w14:paraId="0161DDC8" w14:textId="039DF4F1" w:rsidR="000E63A2" w:rsidRDefault="000E63A2" w:rsidP="000E63A2">
      <w:pPr>
        <w:pStyle w:val="ListParagraph"/>
        <w:numPr>
          <w:ilvl w:val="1"/>
          <w:numId w:val="19"/>
        </w:numPr>
      </w:pPr>
      <w:r>
        <w:t>400km off-road tracked</w:t>
      </w:r>
    </w:p>
    <w:p w14:paraId="3AE16040" w14:textId="1D3FB921" w:rsidR="000E63A2" w:rsidRDefault="000E63A2" w:rsidP="000E63A2">
      <w:pPr>
        <w:pStyle w:val="ListParagraph"/>
        <w:numPr>
          <w:ilvl w:val="0"/>
          <w:numId w:val="19"/>
        </w:numPr>
      </w:pPr>
      <w:r>
        <w:t>Deliverable by parachute.</w:t>
      </w:r>
    </w:p>
    <w:p w14:paraId="055A61AC" w14:textId="77777777" w:rsidR="00756700" w:rsidRDefault="00756700" w:rsidP="00756700"/>
    <w:p w14:paraId="0262B72F" w14:textId="77777777" w:rsidR="000E63A2" w:rsidRDefault="000E63A2" w:rsidP="00756700"/>
    <w:p w14:paraId="28892EA0" w14:textId="40B9B8E1" w:rsidR="000E63A2" w:rsidRDefault="00EA1E0D" w:rsidP="00EA1E0D">
      <w:pPr>
        <w:pStyle w:val="Heading3"/>
      </w:pPr>
      <w:bookmarkStart w:id="18" w:name="_Toc165833489"/>
      <w:r>
        <w:lastRenderedPageBreak/>
        <w:t xml:space="preserve">2.4 </w:t>
      </w:r>
      <w:r w:rsidR="000E63A2">
        <w:t>Non-Sequential Safety Tests</w:t>
      </w:r>
      <w:bookmarkEnd w:id="18"/>
    </w:p>
    <w:p w14:paraId="29DE8A6D" w14:textId="2A2CBF65" w:rsidR="00093567" w:rsidRDefault="000E63A2" w:rsidP="000E63A2">
      <w:r>
        <w:t xml:space="preserve">Non-Sequential Safety Tests are carried out to support the case that the munition is IM compliant in response to potential threats as laid out in the Threat Hazard Assessment (THA). In </w:t>
      </w:r>
      <w:sdt>
        <w:sdtPr>
          <w:id w:val="-896506296"/>
          <w:citation/>
        </w:sdtPr>
        <w:sdtContent>
          <w:r>
            <w:fldChar w:fldCharType="begin"/>
          </w:r>
          <w:r>
            <w:instrText xml:space="preserve"> CITATION Ble24 \l 2057 </w:instrText>
          </w:r>
          <w:r>
            <w:fldChar w:fldCharType="separate"/>
          </w:r>
          <w:r w:rsidR="00082702" w:rsidRPr="00082702">
            <w:rPr>
              <w:noProof/>
            </w:rPr>
            <w:t>[4]</w:t>
          </w:r>
          <w:r>
            <w:fldChar w:fldCharType="end"/>
          </w:r>
        </w:sdtContent>
      </w:sdt>
      <w:r>
        <w:t xml:space="preserve">, Coplin lays out the tests that would be carried out on the </w:t>
      </w:r>
      <w:r w:rsidR="00093567">
        <w:t>munition, and the outcomes that may occur. These outcomes are:</w:t>
      </w:r>
    </w:p>
    <w:p w14:paraId="0BBBACA7" w14:textId="7EAA323D" w:rsidR="00093567" w:rsidRDefault="00093567" w:rsidP="00093567">
      <w:pPr>
        <w:pStyle w:val="ListParagraph"/>
        <w:numPr>
          <w:ilvl w:val="0"/>
          <w:numId w:val="20"/>
        </w:numPr>
      </w:pPr>
      <w:r>
        <w:t>Type VI No Sustained Reaction</w:t>
      </w:r>
    </w:p>
    <w:p w14:paraId="219393C8" w14:textId="1C26B1C5" w:rsidR="00093567" w:rsidRDefault="00093567" w:rsidP="00093567">
      <w:pPr>
        <w:pStyle w:val="ListParagraph"/>
        <w:numPr>
          <w:ilvl w:val="0"/>
          <w:numId w:val="20"/>
        </w:numPr>
      </w:pPr>
      <w:r>
        <w:t>Type V Burn</w:t>
      </w:r>
    </w:p>
    <w:p w14:paraId="78987DC7" w14:textId="15E6DC24" w:rsidR="00093567" w:rsidRDefault="00093567" w:rsidP="00093567">
      <w:pPr>
        <w:pStyle w:val="ListParagraph"/>
        <w:numPr>
          <w:ilvl w:val="0"/>
          <w:numId w:val="20"/>
        </w:numPr>
      </w:pPr>
      <w:r>
        <w:t>Type IV Deflagration</w:t>
      </w:r>
    </w:p>
    <w:p w14:paraId="6A54C654" w14:textId="5C70D158" w:rsidR="00093567" w:rsidRDefault="00093567" w:rsidP="00093567">
      <w:pPr>
        <w:pStyle w:val="ListParagraph"/>
        <w:numPr>
          <w:ilvl w:val="0"/>
          <w:numId w:val="20"/>
        </w:numPr>
      </w:pPr>
      <w:r>
        <w:t>Type III Explosion</w:t>
      </w:r>
    </w:p>
    <w:p w14:paraId="2084819B" w14:textId="28CE5ECA" w:rsidR="00093567" w:rsidRDefault="00093567" w:rsidP="00093567">
      <w:pPr>
        <w:pStyle w:val="ListParagraph"/>
        <w:numPr>
          <w:ilvl w:val="0"/>
          <w:numId w:val="20"/>
        </w:numPr>
      </w:pPr>
      <w:r>
        <w:t>Type II/I Partial/Full Detonation</w:t>
      </w:r>
    </w:p>
    <w:p w14:paraId="62582BF9" w14:textId="1CA3D223" w:rsidR="00093567" w:rsidRDefault="00093567" w:rsidP="00093567">
      <w:r>
        <w:t>To demonstrate IM compliance in accordance with the THA the tests carried out must produce no worse than a given response:</w:t>
      </w:r>
    </w:p>
    <w:p w14:paraId="3A3CD24C" w14:textId="049D578A" w:rsidR="00093567" w:rsidRDefault="00093567" w:rsidP="00093567">
      <w:pPr>
        <w:pStyle w:val="ListParagraph"/>
        <w:numPr>
          <w:ilvl w:val="0"/>
          <w:numId w:val="21"/>
        </w:numPr>
      </w:pPr>
      <w:r>
        <w:t>Fast Heating Test, Reaction Should be No More Severe Than Type V</w:t>
      </w:r>
    </w:p>
    <w:p w14:paraId="1CED38A8" w14:textId="08E5A4A2" w:rsidR="00093567" w:rsidRDefault="00093567" w:rsidP="00093567">
      <w:pPr>
        <w:pStyle w:val="ListParagraph"/>
        <w:numPr>
          <w:ilvl w:val="0"/>
          <w:numId w:val="21"/>
        </w:numPr>
      </w:pPr>
      <w:r>
        <w:t>Slow Heating Test, Reaction Should be No More Severe Than Type V</w:t>
      </w:r>
    </w:p>
    <w:p w14:paraId="5787585E" w14:textId="555C13FE" w:rsidR="00093567" w:rsidRDefault="00093567" w:rsidP="00093567">
      <w:pPr>
        <w:pStyle w:val="ListParagraph"/>
        <w:numPr>
          <w:ilvl w:val="0"/>
          <w:numId w:val="21"/>
        </w:numPr>
      </w:pPr>
      <w:r>
        <w:t>Shaped Charge Jet, Reaction Should be No More Severe Than Type III</w:t>
      </w:r>
    </w:p>
    <w:p w14:paraId="3BCDA452" w14:textId="771D6C1D" w:rsidR="00093567" w:rsidRDefault="00093567" w:rsidP="00093567">
      <w:pPr>
        <w:pStyle w:val="ListParagraph"/>
        <w:numPr>
          <w:ilvl w:val="0"/>
          <w:numId w:val="21"/>
        </w:numPr>
      </w:pPr>
      <w:r>
        <w:t>Sympathetic Reaction, Reaction Should be No More Severe Than Type III</w:t>
      </w:r>
    </w:p>
    <w:p w14:paraId="371CBD07" w14:textId="7204D810" w:rsidR="00093567" w:rsidRDefault="00093567" w:rsidP="00093567">
      <w:pPr>
        <w:pStyle w:val="ListParagraph"/>
        <w:numPr>
          <w:ilvl w:val="0"/>
          <w:numId w:val="21"/>
        </w:numPr>
      </w:pPr>
      <w:r>
        <w:t>Bullet Impact (12.7mm), Reaction Should be No More Severe Than Type V</w:t>
      </w:r>
    </w:p>
    <w:p w14:paraId="0018CD46" w14:textId="1341877A" w:rsidR="00093567" w:rsidRDefault="00093567" w:rsidP="00093567">
      <w:pPr>
        <w:pStyle w:val="ListParagraph"/>
        <w:numPr>
          <w:ilvl w:val="0"/>
          <w:numId w:val="21"/>
        </w:numPr>
      </w:pPr>
      <w:r>
        <w:t>Fragment Impact, Reaction Should be No More Severe Than Type V</w:t>
      </w:r>
    </w:p>
    <w:p w14:paraId="1D5CA63B" w14:textId="74C2F81B" w:rsidR="00756700" w:rsidRDefault="00093567" w:rsidP="00756700">
      <w:r>
        <w:t>In addition to the standard IM tests outlined above, the THA identified the risk of dropping the munition during transport. Therefore, it was decided to also carry out a munition drop test. The desired reaction to this test is for there to be no visible reaction, but minor damage to the munition casing is acceptable</w:t>
      </w:r>
      <w:sdt>
        <w:sdtPr>
          <w:id w:val="-417480743"/>
          <w:citation/>
        </w:sdtPr>
        <w:sdtContent>
          <w:r>
            <w:fldChar w:fldCharType="begin"/>
          </w:r>
          <w:r>
            <w:instrText xml:space="preserve"> CITATION Ble24 \l 2057 </w:instrText>
          </w:r>
          <w:r>
            <w:fldChar w:fldCharType="separate"/>
          </w:r>
          <w:r w:rsidR="00082702">
            <w:rPr>
              <w:noProof/>
            </w:rPr>
            <w:t xml:space="preserve"> </w:t>
          </w:r>
          <w:r w:rsidR="00082702" w:rsidRPr="00082702">
            <w:rPr>
              <w:noProof/>
            </w:rPr>
            <w:t>[4]</w:t>
          </w:r>
          <w:r>
            <w:fldChar w:fldCharType="end"/>
          </w:r>
        </w:sdtContent>
      </w:sdt>
      <w:r>
        <w:t>.</w:t>
      </w:r>
    </w:p>
    <w:p w14:paraId="553B19E7" w14:textId="77777777" w:rsidR="00093567" w:rsidRDefault="00093567" w:rsidP="00756700"/>
    <w:p w14:paraId="3B77B9F1" w14:textId="77777777" w:rsidR="00093567" w:rsidRDefault="00093567" w:rsidP="00756700"/>
    <w:p w14:paraId="5B2D951F" w14:textId="77777777" w:rsidR="00093567" w:rsidRDefault="00093567" w:rsidP="00756700"/>
    <w:p w14:paraId="735E481D" w14:textId="77777777" w:rsidR="00093567" w:rsidRDefault="00093567" w:rsidP="00756700"/>
    <w:p w14:paraId="6902C371" w14:textId="77777777" w:rsidR="00093567" w:rsidRDefault="00093567" w:rsidP="00756700"/>
    <w:p w14:paraId="604AB785" w14:textId="77777777" w:rsidR="00093567" w:rsidRDefault="00093567" w:rsidP="00756700"/>
    <w:p w14:paraId="22F40A3C" w14:textId="77777777" w:rsidR="00093567" w:rsidRDefault="00093567" w:rsidP="00756700"/>
    <w:p w14:paraId="428EF8CD" w14:textId="77777777" w:rsidR="00093567" w:rsidRDefault="00093567" w:rsidP="00756700"/>
    <w:p w14:paraId="49590C14" w14:textId="77777777" w:rsidR="00093567" w:rsidRDefault="00093567" w:rsidP="00756700"/>
    <w:p w14:paraId="13816D78" w14:textId="77777777" w:rsidR="00093567" w:rsidRDefault="00093567" w:rsidP="00756700"/>
    <w:p w14:paraId="34D0A601" w14:textId="77777777" w:rsidR="00093567" w:rsidRDefault="00093567" w:rsidP="00756700"/>
    <w:p w14:paraId="3836BDAF" w14:textId="77777777" w:rsidR="00093567" w:rsidRDefault="00093567" w:rsidP="00756700"/>
    <w:p w14:paraId="55F1712D" w14:textId="500DE93D" w:rsidR="00093567" w:rsidRDefault="00EA1E0D" w:rsidP="00EA1E0D">
      <w:pPr>
        <w:pStyle w:val="Heading3"/>
      </w:pPr>
      <w:bookmarkStart w:id="19" w:name="_Toc165833490"/>
      <w:r>
        <w:lastRenderedPageBreak/>
        <w:t xml:space="preserve">2.5 </w:t>
      </w:r>
      <w:r w:rsidR="00093567">
        <w:t>Laboratory Analysis</w:t>
      </w:r>
      <w:bookmarkEnd w:id="19"/>
    </w:p>
    <w:p w14:paraId="3ED2488E" w14:textId="66BC8006" w:rsidR="00EA1E0D" w:rsidRDefault="00EA1E0D" w:rsidP="00EA1E0D">
      <w:pPr>
        <w:pStyle w:val="Heading4"/>
      </w:pPr>
      <w:r>
        <w:t>2.5.1 Analysis Overview</w:t>
      </w:r>
    </w:p>
    <w:p w14:paraId="53A730F4" w14:textId="3A81866B" w:rsidR="00EA1E0D" w:rsidRDefault="00EA1E0D" w:rsidP="00EA1E0D">
      <w:r>
        <w:t>To determine the safety and stability of the explosive composition itself, a range of laboratory testing is required. It is proposed that a mixture of standard explosive s</w:t>
      </w:r>
      <w:r w:rsidR="004A4E5F">
        <w:t xml:space="preserve">ensitivity </w:t>
      </w:r>
      <w:r>
        <w:t xml:space="preserve">tests as laid out in the Energetic Materials Testing Assessment Policy Manual of Tests (EMTAP) and UN Manual Testing for the Classification of Dangerous Goods </w:t>
      </w:r>
      <w:sdt>
        <w:sdtPr>
          <w:id w:val="435028729"/>
          <w:citation/>
        </w:sdtPr>
        <w:sdtContent>
          <w:r>
            <w:fldChar w:fldCharType="begin"/>
          </w:r>
          <w:r>
            <w:instrText xml:space="preserve"> CITATION Uni19 \l 2057 </w:instrText>
          </w:r>
          <w:r>
            <w:fldChar w:fldCharType="separate"/>
          </w:r>
          <w:r w:rsidR="00082702" w:rsidRPr="00082702">
            <w:rPr>
              <w:noProof/>
            </w:rPr>
            <w:t>[6]</w:t>
          </w:r>
          <w:r>
            <w:fldChar w:fldCharType="end"/>
          </w:r>
        </w:sdtContent>
      </w:sdt>
      <w:r>
        <w:rPr>
          <w:rStyle w:val="FootnoteReference"/>
        </w:rPr>
        <w:footnoteReference w:id="2"/>
      </w:r>
      <w:r>
        <w:t xml:space="preserve">. </w:t>
      </w:r>
      <w:r w:rsidR="004A4E5F">
        <w:t>Chemical testing would use a range of Chromatographic, Spectrometric, and Spectroscopic techniques to identify and quantify the explosive and inert components of the composition.</w:t>
      </w:r>
    </w:p>
    <w:p w14:paraId="46DB7A0D" w14:textId="601B303B" w:rsidR="004A4E5F" w:rsidRDefault="004A4E5F" w:rsidP="004A4E5F">
      <w:pPr>
        <w:pStyle w:val="Heading4"/>
      </w:pPr>
      <w:r>
        <w:t>2.5.2 Chromatography Overview</w:t>
      </w:r>
    </w:p>
    <w:p w14:paraId="03437DE1" w14:textId="4D684D83" w:rsidR="004A4E5F" w:rsidRDefault="004A4E5F" w:rsidP="004A4E5F">
      <w:r>
        <w:t xml:space="preserve">Many of the chemical techniques proposed for the analysis of the explosive composition involve Chromatography. This is a technique used to separate components of a mixture, by dissolving the sample in a Mobile Phase and carrying it through another substance called a Stationary Phase. The different travel times/distances of the components of the mixture are called the Retention Time or Retention Factor respectively </w:t>
      </w:r>
      <w:sdt>
        <w:sdtPr>
          <w:id w:val="-291208466"/>
          <w:citation/>
        </w:sdtPr>
        <w:sdtContent>
          <w:r>
            <w:fldChar w:fldCharType="begin"/>
          </w:r>
          <w:r>
            <w:instrText xml:space="preserve"> CITATION The19 \l 2057 </w:instrText>
          </w:r>
          <w:r>
            <w:fldChar w:fldCharType="separate"/>
          </w:r>
          <w:r w:rsidR="00082702" w:rsidRPr="00082702">
            <w:rPr>
              <w:noProof/>
            </w:rPr>
            <w:t>[7]</w:t>
          </w:r>
          <w:r>
            <w:fldChar w:fldCharType="end"/>
          </w:r>
        </w:sdtContent>
      </w:sdt>
      <w:r>
        <w:t>. The Retention Time of the sample</w:t>
      </w:r>
      <w:r w:rsidR="008620DB">
        <w:t xml:space="preserve"> component</w:t>
      </w:r>
      <w:r>
        <w:t xml:space="preserve"> can be compared to reference standards</w:t>
      </w:r>
      <w:r w:rsidR="008620DB">
        <w:t xml:space="preserve"> (either run alongside the </w:t>
      </w:r>
      <w:r w:rsidR="0063094B">
        <w:t>sample or</w:t>
      </w:r>
      <w:r w:rsidR="008620DB">
        <w:t xml:space="preserve"> stored digitally in an instrument database) to allow these components to be identified.</w:t>
      </w:r>
    </w:p>
    <w:p w14:paraId="6244170A" w14:textId="6819B001" w:rsidR="008620DB" w:rsidRDefault="008620DB" w:rsidP="008620DB">
      <w:pPr>
        <w:pStyle w:val="Heading4"/>
      </w:pPr>
      <w:r>
        <w:t>2.5.3 Spectroscopy Overview</w:t>
      </w:r>
    </w:p>
    <w:p w14:paraId="654C8E7C" w14:textId="5F47C4E5" w:rsidR="008620DB" w:rsidRDefault="008620DB" w:rsidP="008620DB">
      <w:r>
        <w:t xml:space="preserve">Spectroscopy is an analytical technique that utilizes the interaction of matter with electromagnetic (EM) radiation </w:t>
      </w:r>
      <w:sdt>
        <w:sdtPr>
          <w:id w:val="-454178087"/>
          <w:citation/>
        </w:sdtPr>
        <w:sdtContent>
          <w:r>
            <w:fldChar w:fldCharType="begin"/>
          </w:r>
          <w:r>
            <w:instrText xml:space="preserve"> CITATION Uni24 \l 2057 </w:instrText>
          </w:r>
          <w:r>
            <w:fldChar w:fldCharType="separate"/>
          </w:r>
          <w:r w:rsidR="00082702" w:rsidRPr="00082702">
            <w:rPr>
              <w:noProof/>
            </w:rPr>
            <w:t>[8]</w:t>
          </w:r>
          <w:r>
            <w:fldChar w:fldCharType="end"/>
          </w:r>
        </w:sdtContent>
      </w:sdt>
      <w:r>
        <w:t xml:space="preserve">. In the context of analytical chemistry, this involves the production of spectra from the interaction </w:t>
      </w:r>
      <w:r w:rsidR="0063094B">
        <w:t>of the</w:t>
      </w:r>
      <w:r>
        <w:t xml:space="preserve"> sample with EM radiation such as Ultraviolet (UV) or Infrared (IR). Many substances produce a distinctive spectrum which can </w:t>
      </w:r>
      <w:r w:rsidR="00BD6B4E">
        <w:t>be compared to reference spectra to provide identification.</w:t>
      </w:r>
    </w:p>
    <w:p w14:paraId="09BBA9E8" w14:textId="4DDE53C5" w:rsidR="00BD6B4E" w:rsidRDefault="00BD6B4E" w:rsidP="00BD6B4E">
      <w:pPr>
        <w:pStyle w:val="Heading4"/>
      </w:pPr>
      <w:r>
        <w:t>2.5.4 Mass Spectrometry Overview</w:t>
      </w:r>
    </w:p>
    <w:p w14:paraId="77711573" w14:textId="49FB7C8C" w:rsidR="00BD6B4E" w:rsidRDefault="00BD6B4E" w:rsidP="00BD6B4E">
      <w:r>
        <w:t xml:space="preserve">Mass Spectrometry </w:t>
      </w:r>
      <w:r w:rsidR="0063094B">
        <w:t xml:space="preserve">is a technique which identifies compounds by ionising them and accelerating them towards a detector which measures the mass to charge ratio (m/z) of the ions produced. </w:t>
      </w:r>
      <w:sdt>
        <w:sdtPr>
          <w:id w:val="-277642176"/>
          <w:citation/>
        </w:sdtPr>
        <w:sdtContent>
          <w:r w:rsidR="0063094B">
            <w:fldChar w:fldCharType="begin"/>
          </w:r>
          <w:r w:rsidR="0063094B">
            <w:instrText xml:space="preserve"> CITATION Gar23 \l 2057 </w:instrText>
          </w:r>
          <w:r w:rsidR="0063094B">
            <w:fldChar w:fldCharType="separate"/>
          </w:r>
          <w:r w:rsidR="00082702" w:rsidRPr="00082702">
            <w:rPr>
              <w:noProof/>
            </w:rPr>
            <w:t>[9]</w:t>
          </w:r>
          <w:r w:rsidR="0063094B">
            <w:fldChar w:fldCharType="end"/>
          </w:r>
        </w:sdtContent>
      </w:sdt>
      <w:r w:rsidR="0063094B">
        <w:t>. Since the ionisation process produces ions with a range of charges</w:t>
      </w:r>
      <w:r w:rsidR="00F25729">
        <w:t xml:space="preserve"> and masses</w:t>
      </w:r>
      <w:r w:rsidR="0063094B">
        <w:t xml:space="preserve">, </w:t>
      </w:r>
      <w:r w:rsidR="00F25729">
        <w:t>the detector will produce a graph of all m/z ratio of the detected ions, known as a Mass Spectrum. This spectrum can be compared to the known spectrum of a reference material to identify it.</w:t>
      </w:r>
    </w:p>
    <w:p w14:paraId="0BB5994D" w14:textId="20A91D76" w:rsidR="00F25729" w:rsidRDefault="00F25729" w:rsidP="00BD6B4E">
      <w:r>
        <w:t>Whilst samples can be injected into an MS directly, all MS used in this analysis suite are coupled to a chromatography system to provide separation of components. An example of a mass spectrum is shown below.</w:t>
      </w:r>
    </w:p>
    <w:p w14:paraId="0E061073" w14:textId="77777777" w:rsidR="00F25729" w:rsidRDefault="00F25729" w:rsidP="00F25729">
      <w:pPr>
        <w:keepNext/>
      </w:pPr>
      <w:r>
        <w:rPr>
          <w:noProof/>
        </w:rPr>
        <w:lastRenderedPageBreak/>
        <w:drawing>
          <wp:inline distT="0" distB="0" distL="0" distR="0" wp14:anchorId="1BC6DA0F" wp14:editId="50ADE7FA">
            <wp:extent cx="5274310" cy="3515995"/>
            <wp:effectExtent l="0" t="0" r="2540" b="8255"/>
            <wp:docPr id="826994195" name="Picture 9" descr="Thumbn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humbnai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4310" cy="3515995"/>
                    </a:xfrm>
                    <a:prstGeom prst="rect">
                      <a:avLst/>
                    </a:prstGeom>
                    <a:noFill/>
                    <a:ln>
                      <a:noFill/>
                    </a:ln>
                  </pic:spPr>
                </pic:pic>
              </a:graphicData>
            </a:graphic>
          </wp:inline>
        </w:drawing>
      </w:r>
    </w:p>
    <w:p w14:paraId="590F8CA6" w14:textId="70E1C4AE" w:rsidR="00F25729" w:rsidRDefault="00F25729" w:rsidP="00F25729">
      <w:pPr>
        <w:pStyle w:val="Caption"/>
      </w:pPr>
      <w:bookmarkStart w:id="20" w:name="_Toc165833263"/>
      <w:r>
        <w:t xml:space="preserve">Figure </w:t>
      </w:r>
      <w:r>
        <w:fldChar w:fldCharType="begin"/>
      </w:r>
      <w:r>
        <w:instrText xml:space="preserve"> SEQ Figure \* ARABIC </w:instrText>
      </w:r>
      <w:r>
        <w:fldChar w:fldCharType="separate"/>
      </w:r>
      <w:r w:rsidR="00E11CCF">
        <w:rPr>
          <w:noProof/>
        </w:rPr>
        <w:t>6</w:t>
      </w:r>
      <w:r>
        <w:fldChar w:fldCharType="end"/>
      </w:r>
      <w:r>
        <w:t xml:space="preserve">: A Gas Chromatography-Mass Spectrometry (GC-MS) spectrum for Trinitrotoluene (TNT) </w:t>
      </w:r>
      <w:sdt>
        <w:sdtPr>
          <w:id w:val="-1582061066"/>
          <w:citation/>
        </w:sdtPr>
        <w:sdtContent>
          <w:r>
            <w:fldChar w:fldCharType="begin"/>
          </w:r>
          <w:r>
            <w:instrText xml:space="preserve"> CITATION Pub24 \l 2057 </w:instrText>
          </w:r>
          <w:r>
            <w:fldChar w:fldCharType="separate"/>
          </w:r>
          <w:r w:rsidR="00082702" w:rsidRPr="00082702">
            <w:rPr>
              <w:noProof/>
            </w:rPr>
            <w:t>[10]</w:t>
          </w:r>
          <w:r>
            <w:fldChar w:fldCharType="end"/>
          </w:r>
        </w:sdtContent>
      </w:sdt>
      <w:bookmarkEnd w:id="20"/>
    </w:p>
    <w:p w14:paraId="6064CB54" w14:textId="77777777" w:rsidR="00597B49" w:rsidRDefault="00597B49" w:rsidP="00597B49"/>
    <w:p w14:paraId="565B744E" w14:textId="10F18117" w:rsidR="00597B49" w:rsidRDefault="00597B49" w:rsidP="00597B49">
      <w:pPr>
        <w:pStyle w:val="Heading4"/>
      </w:pPr>
      <w:r>
        <w:t>2.5.5 Small Scale Hazard Testing – Description and Technique</w:t>
      </w:r>
    </w:p>
    <w:p w14:paraId="3051E0CF" w14:textId="52F7FB9F" w:rsidR="00597B49" w:rsidRDefault="00597B49" w:rsidP="00597B49">
      <w:r>
        <w:t xml:space="preserve">Small Scale Hazard Testing refers to the testing of small amounts of explosive composition against a range of stimuli to determine the sensitivity of the explosive to those stimuli. These tests are laid out in the EMTAP and UN manuals. For this section, the UN manual </w:t>
      </w:r>
      <w:sdt>
        <w:sdtPr>
          <w:id w:val="-1505815780"/>
          <w:citation/>
        </w:sdtPr>
        <w:sdtContent>
          <w:r>
            <w:fldChar w:fldCharType="begin"/>
          </w:r>
          <w:r>
            <w:instrText xml:space="preserve"> CITATION Uni19 \l 2057 </w:instrText>
          </w:r>
          <w:r>
            <w:fldChar w:fldCharType="separate"/>
          </w:r>
          <w:r w:rsidR="00082702" w:rsidRPr="00082702">
            <w:rPr>
              <w:noProof/>
            </w:rPr>
            <w:t>[6]</w:t>
          </w:r>
          <w:r>
            <w:fldChar w:fldCharType="end"/>
          </w:r>
        </w:sdtContent>
      </w:sdt>
      <w:r>
        <w:t xml:space="preserve"> is used. The tests chosen to test Swans-Ex24 were based on the limited data supplied for Taw-Ex22, as shown below.</w:t>
      </w:r>
    </w:p>
    <w:p w14:paraId="56568CCB" w14:textId="77777777" w:rsidR="00597B49" w:rsidRDefault="00597B49" w:rsidP="00597B49">
      <w:pPr>
        <w:keepNext/>
      </w:pPr>
      <w:r>
        <w:lastRenderedPageBreak/>
        <w:t> </w:t>
      </w:r>
      <w:r>
        <w:rPr>
          <w:noProof/>
        </w:rPr>
        <w:drawing>
          <wp:inline distT="0" distB="0" distL="0" distR="0" wp14:anchorId="77812BDC" wp14:editId="0D97007B">
            <wp:extent cx="5201630" cy="3688080"/>
            <wp:effectExtent l="0" t="0" r="0" b="7620"/>
            <wp:docPr id="1209950273" name="Picture 10"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screenshot of a test result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08541" cy="3692980"/>
                    </a:xfrm>
                    <a:prstGeom prst="rect">
                      <a:avLst/>
                    </a:prstGeom>
                    <a:noFill/>
                    <a:ln>
                      <a:noFill/>
                    </a:ln>
                  </pic:spPr>
                </pic:pic>
              </a:graphicData>
            </a:graphic>
          </wp:inline>
        </w:drawing>
      </w:r>
    </w:p>
    <w:p w14:paraId="4791F588" w14:textId="4105EF37" w:rsidR="00597B49" w:rsidRDefault="00597B49" w:rsidP="00597B49">
      <w:pPr>
        <w:pStyle w:val="Caption"/>
      </w:pPr>
      <w:bookmarkStart w:id="21" w:name="_Toc165833264"/>
      <w:r>
        <w:t xml:space="preserve">Figure </w:t>
      </w:r>
      <w:r>
        <w:fldChar w:fldCharType="begin"/>
      </w:r>
      <w:r>
        <w:instrText xml:space="preserve"> SEQ Figure \* ARABIC </w:instrText>
      </w:r>
      <w:r>
        <w:fldChar w:fldCharType="separate"/>
      </w:r>
      <w:r w:rsidR="00E11CCF">
        <w:rPr>
          <w:noProof/>
        </w:rPr>
        <w:t>7</w:t>
      </w:r>
      <w:r>
        <w:fldChar w:fldCharType="end"/>
      </w:r>
      <w:r>
        <w:t>: Small Scale Test Data for Taw-Ex22</w:t>
      </w:r>
      <w:sdt>
        <w:sdtPr>
          <w:id w:val="-1343314446"/>
          <w:citation/>
        </w:sdtPr>
        <w:sdtContent>
          <w:r>
            <w:fldChar w:fldCharType="begin"/>
          </w:r>
          <w:r>
            <w:instrText xml:space="preserve"> CITATION Hol241 \l 2057 </w:instrText>
          </w:r>
          <w:r>
            <w:fldChar w:fldCharType="separate"/>
          </w:r>
          <w:r w:rsidR="00082702">
            <w:rPr>
              <w:noProof/>
            </w:rPr>
            <w:t xml:space="preserve"> </w:t>
          </w:r>
          <w:r w:rsidR="00082702" w:rsidRPr="00082702">
            <w:rPr>
              <w:noProof/>
            </w:rPr>
            <w:t>[11]</w:t>
          </w:r>
          <w:r>
            <w:fldChar w:fldCharType="end"/>
          </w:r>
        </w:sdtContent>
      </w:sdt>
      <w:bookmarkEnd w:id="21"/>
    </w:p>
    <w:p w14:paraId="05EBFB87" w14:textId="0CF12645" w:rsidR="00597B49" w:rsidRDefault="00597B49" w:rsidP="00597B49">
      <w:r>
        <w:t>From Figure 7, it can be seen that the small scale testing to be performed is:</w:t>
      </w:r>
    </w:p>
    <w:p w14:paraId="6AF3B792" w14:textId="05F43069" w:rsidR="00597B49" w:rsidRDefault="00F76800" w:rsidP="00597B49">
      <w:pPr>
        <w:pStyle w:val="ListParagraph"/>
        <w:numPr>
          <w:ilvl w:val="0"/>
          <w:numId w:val="22"/>
        </w:numPr>
      </w:pPr>
      <w:r>
        <w:t>Rot</w:t>
      </w:r>
      <w:r w:rsidR="008649AD">
        <w:t>ter</w:t>
      </w:r>
      <w:r>
        <w:t xml:space="preserve"> </w:t>
      </w:r>
      <w:r w:rsidR="008649AD">
        <w:t xml:space="preserve">Test </w:t>
      </w:r>
      <w:r>
        <w:t xml:space="preserve">(UN Test 3, </w:t>
      </w:r>
      <w:r w:rsidR="008649AD">
        <w:t>a iii</w:t>
      </w:r>
      <w:r>
        <w:t>)</w:t>
      </w:r>
    </w:p>
    <w:p w14:paraId="697C6B2B" w14:textId="7F2B0315" w:rsidR="00F76800" w:rsidRDefault="008649AD" w:rsidP="00597B49">
      <w:pPr>
        <w:pStyle w:val="ListParagraph"/>
        <w:numPr>
          <w:ilvl w:val="0"/>
          <w:numId w:val="22"/>
        </w:numPr>
      </w:pPr>
      <w:r>
        <w:t>Rotary Friction</w:t>
      </w:r>
      <w:r w:rsidR="00F76800">
        <w:t xml:space="preserve"> (UN Test 3 b ii)</w:t>
      </w:r>
    </w:p>
    <w:p w14:paraId="2C710246" w14:textId="6E7A0A69" w:rsidR="00F76800" w:rsidRDefault="00F76800" w:rsidP="00597B49">
      <w:pPr>
        <w:pStyle w:val="ListParagraph"/>
        <w:numPr>
          <w:ilvl w:val="0"/>
          <w:numId w:val="22"/>
        </w:numPr>
      </w:pPr>
      <w:r>
        <w:t>Mallet Friction Test (EMTAP only)</w:t>
      </w:r>
    </w:p>
    <w:p w14:paraId="04D75765" w14:textId="29C6668D" w:rsidR="00F76800" w:rsidRDefault="00F76800" w:rsidP="00597B49">
      <w:pPr>
        <w:pStyle w:val="ListParagraph"/>
        <w:numPr>
          <w:ilvl w:val="0"/>
          <w:numId w:val="22"/>
        </w:numPr>
      </w:pPr>
      <w:r>
        <w:t>Electrostatic Discharge (ESD) test (EMTAP only)</w:t>
      </w:r>
    </w:p>
    <w:p w14:paraId="5E8A4157" w14:textId="4DBC9F94" w:rsidR="00F76800" w:rsidRDefault="00F76800" w:rsidP="00597B49">
      <w:pPr>
        <w:pStyle w:val="ListParagraph"/>
        <w:numPr>
          <w:ilvl w:val="0"/>
          <w:numId w:val="22"/>
        </w:numPr>
      </w:pPr>
      <w:r>
        <w:t>Temperature of Ignition Test (EMTAP only)</w:t>
      </w:r>
    </w:p>
    <w:p w14:paraId="179F743F" w14:textId="03A97BC9" w:rsidR="00F76800" w:rsidRDefault="00F76800" w:rsidP="00597B49">
      <w:pPr>
        <w:pStyle w:val="ListParagraph"/>
        <w:numPr>
          <w:ilvl w:val="0"/>
          <w:numId w:val="22"/>
        </w:numPr>
      </w:pPr>
      <w:r>
        <w:t>Train Test (EMTAP only)</w:t>
      </w:r>
    </w:p>
    <w:p w14:paraId="1A16B2AC" w14:textId="60F65FC6" w:rsidR="00F76800" w:rsidRDefault="00F76800" w:rsidP="00597B49">
      <w:pPr>
        <w:pStyle w:val="ListParagraph"/>
        <w:numPr>
          <w:ilvl w:val="0"/>
          <w:numId w:val="22"/>
        </w:numPr>
      </w:pPr>
      <w:proofErr w:type="spellStart"/>
      <w:r>
        <w:t>Brickford</w:t>
      </w:r>
      <w:proofErr w:type="spellEnd"/>
      <w:r>
        <w:t xml:space="preserve"> Fuze Test (EMTAP only)</w:t>
      </w:r>
    </w:p>
    <w:p w14:paraId="30613A11" w14:textId="1A3E2E56" w:rsidR="00F76800" w:rsidRDefault="00F76800" w:rsidP="00F76800">
      <w:r>
        <w:t xml:space="preserve">The UN Manual </w:t>
      </w:r>
      <w:sdt>
        <w:sdtPr>
          <w:id w:val="1236747726"/>
          <w:citation/>
        </w:sdtPr>
        <w:sdtContent>
          <w:r>
            <w:fldChar w:fldCharType="begin"/>
          </w:r>
          <w:r>
            <w:instrText xml:space="preserve"> CITATION Uni19 \l 2057 </w:instrText>
          </w:r>
          <w:r>
            <w:fldChar w:fldCharType="separate"/>
          </w:r>
          <w:r w:rsidR="00082702" w:rsidRPr="00082702">
            <w:rPr>
              <w:noProof/>
            </w:rPr>
            <w:t>[6]</w:t>
          </w:r>
          <w:r>
            <w:fldChar w:fldCharType="end"/>
          </w:r>
        </w:sdtContent>
      </w:sdt>
      <w:r>
        <w:t xml:space="preserve"> provides overviews of the </w:t>
      </w:r>
      <w:r w:rsidR="008649AD">
        <w:t xml:space="preserve">Rotter test </w:t>
      </w:r>
      <w:r>
        <w:t>and impact friction, and overviews of other tests have been provided to the design team but references are not readily available in the open source.</w:t>
      </w:r>
    </w:p>
    <w:p w14:paraId="56F74661" w14:textId="6EBBB946" w:rsidR="00F76800" w:rsidRDefault="00F76800" w:rsidP="00F76800">
      <w:r>
        <w:t xml:space="preserve">The </w:t>
      </w:r>
      <w:r w:rsidR="008649AD">
        <w:t>Rotter test is used to determine the sensitivity of an explosive to impact. In this test, samples are either sieved at 850μm, or cut into 0.03cm</w:t>
      </w:r>
      <w:r w:rsidR="008649AD">
        <w:rPr>
          <w:vertAlign w:val="superscript"/>
        </w:rPr>
        <w:t>3</w:t>
      </w:r>
      <w:r w:rsidR="008649AD">
        <w:t xml:space="preserve"> discs which are then placed into brass caps, which are then placed into a steel explosion chamber with a striker on top, and a 5kg drop weight above the chamber. The weight is dropped from a range of heights in accordance with the procedure laid out in </w:t>
      </w:r>
      <w:sdt>
        <w:sdtPr>
          <w:id w:val="561920718"/>
          <w:citation/>
        </w:sdtPr>
        <w:sdtContent>
          <w:r w:rsidR="008649AD">
            <w:fldChar w:fldCharType="begin"/>
          </w:r>
          <w:r w:rsidR="008649AD">
            <w:instrText xml:space="preserve"> CITATION Uni19 \l 2057 </w:instrText>
          </w:r>
          <w:r w:rsidR="008649AD">
            <w:fldChar w:fldCharType="separate"/>
          </w:r>
          <w:r w:rsidR="00082702" w:rsidRPr="00082702">
            <w:rPr>
              <w:noProof/>
            </w:rPr>
            <w:t>[6]</w:t>
          </w:r>
          <w:r w:rsidR="008649AD">
            <w:fldChar w:fldCharType="end"/>
          </w:r>
        </w:sdtContent>
      </w:sdt>
      <w:r w:rsidR="008649AD">
        <w:t xml:space="preserve">, and taking into account the expected sensitivity of the explosive. A burette is attached to the chamber which allows for the measurement of the volume of gas produced. Production of gas indicates that the explosive has reacted, termed a ‘go’. </w:t>
      </w:r>
      <w:r w:rsidR="003B2930">
        <w:t>Alongside the sample, an RDX reference standard is also run. The result of this test is given as the Figure of Insensitiveness (</w:t>
      </w:r>
      <w:proofErr w:type="spellStart"/>
      <w:r w:rsidR="003B2930">
        <w:t>FofI</w:t>
      </w:r>
      <w:proofErr w:type="spellEnd"/>
      <w:r w:rsidR="003B2930">
        <w:t>) and the equation for this is given below.</w:t>
      </w:r>
    </w:p>
    <w:p w14:paraId="1336CE2E" w14:textId="5CE01D2A" w:rsidR="003B2930" w:rsidRPr="003B2930" w:rsidRDefault="003B2930" w:rsidP="003B2930">
      <w:pPr>
        <w:keepNext/>
      </w:pPr>
      <m:oMathPara>
        <m:oMathParaPr>
          <m:jc m:val="center"/>
        </m:oMathParaPr>
        <m:oMath>
          <m:r>
            <w:rPr>
              <w:rFonts w:ascii="Cambria Math" w:hAnsi="Cambria Math"/>
            </w:rPr>
            <w:lastRenderedPageBreak/>
            <m:t>FofI=80×</m:t>
          </m:r>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2</m:t>
                  </m:r>
                </m:sub>
              </m:sSub>
            </m:num>
            <m:den>
              <m:sSub>
                <m:sSubPr>
                  <m:ctrlPr>
                    <w:rPr>
                      <w:rFonts w:ascii="Cambria Math" w:hAnsi="Cambria Math"/>
                      <w:i/>
                    </w:rPr>
                  </m:ctrlPr>
                </m:sSubPr>
                <m:e>
                  <m:r>
                    <w:rPr>
                      <w:rFonts w:ascii="Cambria Math" w:hAnsi="Cambria Math"/>
                    </w:rPr>
                    <m:t>H</m:t>
                  </m:r>
                </m:e>
                <m:sub>
                  <m:r>
                    <w:rPr>
                      <w:rFonts w:ascii="Cambria Math" w:hAnsi="Cambria Math"/>
                    </w:rPr>
                    <m:t>1</m:t>
                  </m:r>
                </m:sub>
              </m:sSub>
            </m:den>
          </m:f>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&lt;200</m:t>
          </m:r>
          <m:r>
            <w:rPr>
              <w:rFonts w:ascii="Cambria Math" w:hAnsi="Cambria Math"/>
            </w:rPr>
            <w:br/>
          </m:r>
        </m:oMath>
        <m:oMath>
          <m:r>
            <w:rPr>
              <w:rFonts w:ascii="Cambria Math" w:hAnsi="Cambria Math"/>
            </w:rPr>
            <m:t xml:space="preserve">where: </m:t>
          </m:r>
          <m:r>
            <w:rPr>
              <w:rFonts w:ascii="Cambria Math" w:hAnsi="Cambria Math"/>
            </w:rPr>
            <w:br/>
          </m:r>
        </m:oMath>
        <m:oMath>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 xml:space="preserve"> is the median drop height required to produce a go response from the RDX reference</m:t>
          </m:r>
          <m:r>
            <w:rPr>
              <w:rFonts w:ascii="Cambria Math" w:hAnsi="Cambria Math"/>
            </w:rPr>
            <w:br/>
          </m:r>
        </m:oMath>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 is the median drop height required to produce a go response from the sample</m:t>
          </m:r>
          <m:r>
            <w:rPr>
              <w:rFonts w:ascii="Cambria Math" w:hAnsi="Cambria Math"/>
            </w:rPr>
            <w:br/>
          </m:r>
        </m:oMath>
        <m:oMath>
          <m:r>
            <w:rPr>
              <w:rFonts w:ascii="Cambria Math" w:hAnsi="Cambria Math"/>
            </w:rPr>
            <m:t xml:space="preserve">IF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 ≥200, then FofI is given as &gt;200</m:t>
          </m:r>
        </m:oMath>
      </m:oMathPara>
    </w:p>
    <w:p w14:paraId="16CEBEB4" w14:textId="531EC771" w:rsidR="00597B49" w:rsidRDefault="003B2930" w:rsidP="003B2930">
      <w:pPr>
        <w:pStyle w:val="Caption"/>
      </w:pPr>
      <w:bookmarkStart w:id="22" w:name="_Toc165833287"/>
      <w:r>
        <w:t xml:space="preserve">Equation </w:t>
      </w:r>
      <w:r>
        <w:fldChar w:fldCharType="begin"/>
      </w:r>
      <w:r>
        <w:instrText xml:space="preserve"> SEQ Equation \* ARABIC </w:instrText>
      </w:r>
      <w:r>
        <w:fldChar w:fldCharType="separate"/>
      </w:r>
      <w:r w:rsidR="00C55246">
        <w:rPr>
          <w:noProof/>
        </w:rPr>
        <w:t>1</w:t>
      </w:r>
      <w:r>
        <w:fldChar w:fldCharType="end"/>
      </w:r>
      <w:r>
        <w:t xml:space="preserve">: Equation for the Figure of Insensitiveness from the Rotter Test </w:t>
      </w:r>
      <w:sdt>
        <w:sdtPr>
          <w:id w:val="-273172243"/>
          <w:citation/>
        </w:sdtPr>
        <w:sdtContent>
          <w:r>
            <w:fldChar w:fldCharType="begin"/>
          </w:r>
          <w:r>
            <w:instrText xml:space="preserve"> CITATION Uni19 \l 2057 </w:instrText>
          </w:r>
          <w:r>
            <w:fldChar w:fldCharType="separate"/>
          </w:r>
          <w:r w:rsidR="00082702" w:rsidRPr="00082702">
            <w:rPr>
              <w:noProof/>
            </w:rPr>
            <w:t>[6]</w:t>
          </w:r>
          <w:r>
            <w:fldChar w:fldCharType="end"/>
          </w:r>
        </w:sdtContent>
      </w:sdt>
      <w:bookmarkEnd w:id="22"/>
    </w:p>
    <w:p w14:paraId="3BB2B981" w14:textId="1E798D39" w:rsidR="002D09B5" w:rsidRDefault="003B2930" w:rsidP="003B2930">
      <w:r>
        <w:t xml:space="preserve">The rotary friction test is used to determine the sensitivity of an explosive to friction. In this test, a small amount of sample is placed on a mild steel bar with a compressed air applied from below. </w:t>
      </w:r>
      <w:r w:rsidR="002D09B5">
        <w:t>Above the sample is a rotating wheel to impart frictional forces upon the sample. The result is given as Figure of Friction (</w:t>
      </w:r>
      <w:proofErr w:type="spellStart"/>
      <w:r w:rsidR="002D09B5">
        <w:t>FoF</w:t>
      </w:r>
      <w:proofErr w:type="spellEnd"/>
      <w:r w:rsidR="002D09B5">
        <w:t xml:space="preserve">) and an RDX reference standard is run alongside the sample. An equation for </w:t>
      </w:r>
      <w:proofErr w:type="spellStart"/>
      <w:r w:rsidR="002D09B5">
        <w:t>FoF</w:t>
      </w:r>
      <w:proofErr w:type="spellEnd"/>
      <w:r w:rsidR="002D09B5">
        <w:t xml:space="preserve"> is given below.</w:t>
      </w:r>
    </w:p>
    <w:p w14:paraId="7887C0B9" w14:textId="2FD20CE0" w:rsidR="002D09B5" w:rsidRPr="002D09B5" w:rsidRDefault="002D09B5" w:rsidP="002D09B5">
      <w:pPr>
        <w:keepNext/>
        <w:jc w:val="center"/>
      </w:pPr>
      <m:oMathPara>
        <m:oMathParaPr>
          <m:jc m:val="center"/>
        </m:oMathParaPr>
        <m:oMath>
          <m:r>
            <w:rPr>
              <w:rFonts w:ascii="Cambria Math" w:hAnsi="Cambria Math"/>
            </w:rPr>
            <m:t>FoF=3×</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2</m:t>
                  </m:r>
                </m:sub>
              </m:sSub>
            </m:num>
            <m:den>
              <m:sSub>
                <m:sSubPr>
                  <m:ctrlPr>
                    <w:rPr>
                      <w:rFonts w:ascii="Cambria Math" w:hAnsi="Cambria Math"/>
                      <w:i/>
                    </w:rPr>
                  </m:ctrlPr>
                </m:sSubPr>
                <m:e>
                  <m:r>
                    <w:rPr>
                      <w:rFonts w:ascii="Cambria Math" w:hAnsi="Cambria Math"/>
                    </w:rPr>
                    <m:t>V</m:t>
                  </m:r>
                </m:e>
                <m:sub>
                  <m:r>
                    <w:rPr>
                      <w:rFonts w:ascii="Cambria Math" w:hAnsi="Cambria Math"/>
                    </w:rPr>
                    <m:t>1</m:t>
                  </m:r>
                </m:sub>
              </m:sSub>
            </m:den>
          </m:f>
          <m:r>
            <w:rPr>
              <w:rFonts w:ascii="Cambria Math" w:hAnsi="Cambria Math"/>
            </w:rPr>
            <w:br/>
          </m:r>
        </m:oMath>
        <m:oMath>
          <m:r>
            <w:rPr>
              <w:rFonts w:ascii="Cambria Math" w:hAnsi="Cambria Math"/>
            </w:rPr>
            <m:t xml:space="preserve">where: </m:t>
          </m:r>
          <m: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 xml:space="preserve"> is the median striking velocity of standard RDX</m:t>
          </m:r>
          <m: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 xml:space="preserve"> is the median striking velocity of the sample</m:t>
          </m:r>
        </m:oMath>
      </m:oMathPara>
    </w:p>
    <w:p w14:paraId="1C1280CC" w14:textId="46535570" w:rsidR="00EA1E0D" w:rsidRDefault="002D09B5" w:rsidP="002D09B5">
      <w:pPr>
        <w:pStyle w:val="Caption"/>
        <w:jc w:val="center"/>
      </w:pPr>
      <w:bookmarkStart w:id="23" w:name="_Toc165833288"/>
      <w:r>
        <w:t xml:space="preserve">Equation </w:t>
      </w:r>
      <w:r>
        <w:fldChar w:fldCharType="begin"/>
      </w:r>
      <w:r>
        <w:instrText xml:space="preserve"> SEQ Equation \* ARABIC </w:instrText>
      </w:r>
      <w:r>
        <w:fldChar w:fldCharType="separate"/>
      </w:r>
      <w:r w:rsidR="00C55246">
        <w:rPr>
          <w:noProof/>
        </w:rPr>
        <w:t>2</w:t>
      </w:r>
      <w:r>
        <w:fldChar w:fldCharType="end"/>
      </w:r>
      <w:r>
        <w:t>: Equation for the Figure of Friction from the Rotary Friction Test</w:t>
      </w:r>
      <w:sdt>
        <w:sdtPr>
          <w:id w:val="-1701303991"/>
          <w:citation/>
        </w:sdtPr>
        <w:sdtContent>
          <w:r>
            <w:fldChar w:fldCharType="begin"/>
          </w:r>
          <w:r>
            <w:instrText xml:space="preserve"> CITATION Uni19 \l 2057 </w:instrText>
          </w:r>
          <w:r>
            <w:fldChar w:fldCharType="separate"/>
          </w:r>
          <w:r w:rsidR="00082702">
            <w:rPr>
              <w:noProof/>
            </w:rPr>
            <w:t xml:space="preserve"> </w:t>
          </w:r>
          <w:r w:rsidR="00082702" w:rsidRPr="00082702">
            <w:rPr>
              <w:noProof/>
            </w:rPr>
            <w:t>[6]</w:t>
          </w:r>
          <w:r>
            <w:fldChar w:fldCharType="end"/>
          </w:r>
        </w:sdtContent>
      </w:sdt>
      <w:bookmarkEnd w:id="23"/>
    </w:p>
    <w:p w14:paraId="5DA74EF0" w14:textId="41532D3C" w:rsidR="002D09B5" w:rsidRDefault="001B1EE7" w:rsidP="002D09B5">
      <w:r>
        <w:t>The Mallet Friction Test involves placing a small amount of explosive onto an anvil and striking a glancing blow with a mallet, and recording the percentage of ‘go’ results produced from a series of swings.</w:t>
      </w:r>
    </w:p>
    <w:p w14:paraId="21C45B40" w14:textId="294653BB" w:rsidR="001B1EE7" w:rsidRDefault="001B1EE7" w:rsidP="002D09B5">
      <w:r>
        <w:t>ESD testing involves placing the explosive into a machine which exposes it to a range of electrostatic discharges, at 4.5J, 0.45J, and 0.045J. The ignition threshold is recorded, for example an explosive may initiate consistently at 4.5J, but have no ignitions at 0.45J.</w:t>
      </w:r>
    </w:p>
    <w:p w14:paraId="471DB3D2" w14:textId="126A43C7" w:rsidR="001B1EE7" w:rsidRDefault="001B1EE7" w:rsidP="002D09B5">
      <w:r>
        <w:t xml:space="preserve">Temperature of ignition testing involves gradually heating up an explosive sample until a reaction is observed. The result is the average temperature at which the explosive ignites across a range of tests. </w:t>
      </w:r>
    </w:p>
    <w:p w14:paraId="669ADBF8" w14:textId="77777777" w:rsidR="001B1EE7" w:rsidRDefault="001B1EE7" w:rsidP="002D09B5">
      <w:r>
        <w:t>The Train test involves placing a sample of explosive in a long tray and igniting it at one end. Possible results are:</w:t>
      </w:r>
    </w:p>
    <w:p w14:paraId="31A1A7D3" w14:textId="5230CEBF" w:rsidR="001B1EE7" w:rsidRDefault="001B1EE7" w:rsidP="001B1EE7">
      <w:pPr>
        <w:pStyle w:val="ListParagraph"/>
        <w:numPr>
          <w:ilvl w:val="0"/>
          <w:numId w:val="23"/>
        </w:numPr>
      </w:pPr>
      <w:r>
        <w:t>No sustained burn.</w:t>
      </w:r>
    </w:p>
    <w:p w14:paraId="5AB9C862" w14:textId="35784902" w:rsidR="001B1EE7" w:rsidRDefault="001B1EE7" w:rsidP="001B1EE7">
      <w:pPr>
        <w:pStyle w:val="ListParagraph"/>
        <w:numPr>
          <w:ilvl w:val="0"/>
          <w:numId w:val="23"/>
        </w:numPr>
      </w:pPr>
      <w:r>
        <w:t>Ignites and supports train inconsistently.</w:t>
      </w:r>
    </w:p>
    <w:p w14:paraId="1E5E79D0" w14:textId="6295A079" w:rsidR="001B1EE7" w:rsidRDefault="001B1EE7" w:rsidP="001B1EE7">
      <w:pPr>
        <w:pStyle w:val="ListParagraph"/>
        <w:numPr>
          <w:ilvl w:val="0"/>
          <w:numId w:val="23"/>
        </w:numPr>
      </w:pPr>
      <w:r>
        <w:t>Ignites and supports train steadily.</w:t>
      </w:r>
    </w:p>
    <w:p w14:paraId="73E60689" w14:textId="63F0DF92" w:rsidR="001B1EE7" w:rsidRDefault="001B1EE7" w:rsidP="001B1EE7">
      <w:pPr>
        <w:pStyle w:val="ListParagraph"/>
        <w:numPr>
          <w:ilvl w:val="0"/>
          <w:numId w:val="23"/>
        </w:numPr>
      </w:pPr>
      <w:r>
        <w:t>Ignites and supports train vigorously.</w:t>
      </w:r>
    </w:p>
    <w:p w14:paraId="5009E5CB" w14:textId="3323338F" w:rsidR="001B1EE7" w:rsidRDefault="001B1EE7" w:rsidP="001B1EE7">
      <w:pPr>
        <w:pStyle w:val="ListParagraph"/>
        <w:numPr>
          <w:ilvl w:val="0"/>
          <w:numId w:val="23"/>
        </w:numPr>
      </w:pPr>
      <w:r>
        <w:t>Explodes</w:t>
      </w:r>
    </w:p>
    <w:p w14:paraId="392E9E33" w14:textId="3359F3A8" w:rsidR="001B1EE7" w:rsidRDefault="001B1EE7" w:rsidP="001B1EE7">
      <w:r>
        <w:t xml:space="preserve">The </w:t>
      </w:r>
      <w:proofErr w:type="spellStart"/>
      <w:r>
        <w:t>Brickford</w:t>
      </w:r>
      <w:proofErr w:type="spellEnd"/>
      <w:r>
        <w:t xml:space="preserve"> </w:t>
      </w:r>
      <w:proofErr w:type="spellStart"/>
      <w:r>
        <w:t>fuze</w:t>
      </w:r>
      <w:proofErr w:type="spellEnd"/>
      <w:r>
        <w:t xml:space="preserve"> test involves placing a small amount of explosive in a test tube</w:t>
      </w:r>
      <w:r w:rsidR="005A3C89">
        <w:t xml:space="preserve">, and inserting safety </w:t>
      </w:r>
      <w:proofErr w:type="spellStart"/>
      <w:r w:rsidR="005A3C89">
        <w:t>fuze</w:t>
      </w:r>
      <w:proofErr w:type="spellEnd"/>
      <w:r w:rsidR="005A3C89">
        <w:t xml:space="preserve">. This </w:t>
      </w:r>
      <w:proofErr w:type="spellStart"/>
      <w:r w:rsidR="005A3C89">
        <w:t>fuze</w:t>
      </w:r>
      <w:proofErr w:type="spellEnd"/>
      <w:r w:rsidR="005A3C89">
        <w:t xml:space="preserve"> is then lit, and the reaction is observed and noted.</w:t>
      </w:r>
    </w:p>
    <w:p w14:paraId="224E282E" w14:textId="77777777" w:rsidR="005A3C89" w:rsidRDefault="005A3C89" w:rsidP="001B1EE7"/>
    <w:p w14:paraId="56AA2BF5" w14:textId="6F512FD6" w:rsidR="005A3C89" w:rsidRDefault="005A3C89" w:rsidP="001B1EE7">
      <w:r>
        <w:lastRenderedPageBreak/>
        <w:t>These tests allow the sensitivity of the explosive to a range of stimuli to be determined and as such this analysis must be carried out before conducting any chemical analysis of samples to ensure that a safe system of work can be put in place in the laboratory, such as minimising friction or working in conducting conditions. It is proposed that this testing be carried out on explosive samples from three sources:</w:t>
      </w:r>
    </w:p>
    <w:p w14:paraId="1BC4B41E" w14:textId="05A64B4B" w:rsidR="005A3C89" w:rsidRDefault="005A3C89" w:rsidP="005A3C89">
      <w:pPr>
        <w:pStyle w:val="ListParagraph"/>
        <w:numPr>
          <w:ilvl w:val="0"/>
          <w:numId w:val="24"/>
        </w:numPr>
      </w:pPr>
      <w:r>
        <w:t>Sample of fresh explosive direct from production line.</w:t>
      </w:r>
    </w:p>
    <w:p w14:paraId="1BF7F4CE" w14:textId="4715FF9E" w:rsidR="005A3C89" w:rsidRDefault="005A3C89" w:rsidP="005A3C89">
      <w:pPr>
        <w:pStyle w:val="ListParagraph"/>
        <w:numPr>
          <w:ilvl w:val="0"/>
          <w:numId w:val="24"/>
        </w:numPr>
      </w:pPr>
      <w:r>
        <w:t>Sample of explosive artificially aged after sampling from production.</w:t>
      </w:r>
    </w:p>
    <w:p w14:paraId="2B61D2C2" w14:textId="61475AB5" w:rsidR="005A3C89" w:rsidRDefault="005A3C89" w:rsidP="005A3C89">
      <w:pPr>
        <w:pStyle w:val="ListParagraph"/>
        <w:numPr>
          <w:ilvl w:val="0"/>
          <w:numId w:val="24"/>
        </w:numPr>
      </w:pPr>
      <w:r>
        <w:t>Samples of explosive drawn from Sequential environmental testing (Section 2.3)</w:t>
      </w:r>
    </w:p>
    <w:p w14:paraId="709C2D54" w14:textId="4F9B9B00" w:rsidR="005A3C89" w:rsidRDefault="005A3C89" w:rsidP="005A3C89">
      <w:r>
        <w:t>The artificial aging involves heating the explosive over time to induce chemical changes in both the energetics and the stabilising compounds. A rule of thumb for aging is that each 10°C above ambient doubles the rate of aging. In order to avoid initiating the explosive, Swans-Ex could be aged at up to 150°C. An equation is given below.</w:t>
      </w:r>
    </w:p>
    <w:p w14:paraId="5F02ADC4" w14:textId="0CD03223" w:rsidR="005A3C89" w:rsidRPr="00A33E76" w:rsidRDefault="005A3C89" w:rsidP="00A33E76">
      <w:pPr>
        <w:keepNext/>
        <w:rPr>
          <w:rFonts w:eastAsiaTheme="minorEastAsia"/>
        </w:rPr>
      </w:pPr>
      <m:oMathPara>
        <m:oMathParaPr>
          <m:jc m:val="center"/>
        </m:oMathParaPr>
        <m:oMath>
          <m:r>
            <w:rPr>
              <w:rFonts w:ascii="Cambria Math" w:hAnsi="Cambria Math"/>
            </w:rPr>
            <m:t>Aging Rate=</m:t>
          </m:r>
          <m:sSup>
            <m:sSupPr>
              <m:ctrlPr>
                <w:rPr>
                  <w:rFonts w:ascii="Cambria Math" w:hAnsi="Cambria Math"/>
                  <w:i/>
                </w:rPr>
              </m:ctrlPr>
            </m:sSupPr>
            <m:e>
              <m:r>
                <w:rPr>
                  <w:rFonts w:ascii="Cambria Math" w:hAnsi="Cambria Math"/>
                </w:rPr>
                <m:t>2</m:t>
              </m:r>
            </m:e>
            <m:sup>
              <m:f>
                <m:fPr>
                  <m:ctrlPr>
                    <w:rPr>
                      <w:rFonts w:ascii="Cambria Math" w:hAnsi="Cambria Math"/>
                      <w:i/>
                    </w:rPr>
                  </m:ctrlPr>
                </m:fPr>
                <m:num>
                  <m:r>
                    <w:rPr>
                      <w:rFonts w:ascii="Cambria Math" w:hAnsi="Cambria Math"/>
                    </w:rPr>
                    <m:t>T</m:t>
                  </m:r>
                  <m:r>
                    <w:rPr>
                      <w:rFonts w:ascii="Cambria Math" w:hAnsi="Cambria Math"/>
                    </w:rPr>
                    <m:t>-25</m:t>
                  </m:r>
                </m:num>
                <m:den>
                  <m:r>
                    <w:rPr>
                      <w:rFonts w:ascii="Cambria Math" w:hAnsi="Cambria Math"/>
                    </w:rPr>
                    <m:t>10</m:t>
                  </m:r>
                </m:den>
              </m:f>
            </m:sup>
          </m:sSup>
          <m:r>
            <w:rPr>
              <w:rFonts w:ascii="Cambria Math" w:hAnsi="Cambria Math"/>
            </w:rPr>
            <m:t xml:space="preserve">, where </m:t>
          </m:r>
          <m:r>
            <w:rPr>
              <w:rFonts w:ascii="Cambria Math" w:hAnsi="Cambria Math"/>
            </w:rPr>
            <m:t>T</m:t>
          </m:r>
          <m:r>
            <w:rPr>
              <w:rFonts w:ascii="Cambria Math" w:hAnsi="Cambria Math"/>
            </w:rPr>
            <m:t xml:space="preserve"> is the</m:t>
          </m:r>
          <m:r>
            <w:rPr>
              <w:rFonts w:ascii="Cambria Math" w:hAnsi="Cambria Math"/>
            </w:rPr>
            <m:t xml:space="preserve"> temperature in ℃</m:t>
          </m:r>
          <m:r>
            <w:rPr>
              <w:rFonts w:ascii="Cambria Math" w:hAnsi="Cambria Math"/>
            </w:rPr>
            <w:br/>
          </m:r>
        </m:oMath>
        <m:oMath>
          <m:r>
            <w:rPr>
              <w:rFonts w:ascii="Cambria Math" w:hAnsi="Cambria Math"/>
            </w:rPr>
            <m:t>Setting T to 150 gives:</m:t>
          </m:r>
          <m:r>
            <w:rPr>
              <w:rFonts w:ascii="Cambria Math" w:hAnsi="Cambria Math"/>
            </w:rPr>
            <w:br/>
          </m:r>
        </m:oMath>
        <m:oMath>
          <m:r>
            <w:rPr>
              <w:rFonts w:ascii="Cambria Math" w:hAnsi="Cambria Math"/>
            </w:rPr>
            <m:t xml:space="preserve">Aging Rate= </m:t>
          </m:r>
          <m:sSup>
            <m:sSupPr>
              <m:ctrlPr>
                <w:rPr>
                  <w:rFonts w:ascii="Cambria Math" w:hAnsi="Cambria Math"/>
                  <w:i/>
                </w:rPr>
              </m:ctrlPr>
            </m:sSupPr>
            <m:e>
              <m:r>
                <w:rPr>
                  <w:rFonts w:ascii="Cambria Math" w:hAnsi="Cambria Math"/>
                </w:rPr>
                <m:t>2</m:t>
              </m:r>
            </m:e>
            <m:sup>
              <m:r>
                <w:rPr>
                  <w:rFonts w:ascii="Cambria Math" w:hAnsi="Cambria Math"/>
                </w:rPr>
                <m:t>12.5</m:t>
              </m:r>
            </m:sup>
          </m:sSup>
          <m:r>
            <w:rPr>
              <w:rFonts w:ascii="Cambria Math" w:hAnsi="Cambria Math"/>
            </w:rPr>
            <m:t xml:space="preserve"> </m:t>
          </m:r>
          <m:r>
            <w:rPr>
              <w:rFonts w:ascii="Cambria Math" w:hAnsi="Cambria Math"/>
            </w:rPr>
            <w:br/>
          </m:r>
        </m:oMath>
        <m:oMath>
          <m:r>
            <w:rPr>
              <w:rFonts w:ascii="Cambria Math" w:hAnsi="Cambria Math"/>
            </w:rPr>
            <m:t>∴Aging Rate=5792.6</m:t>
          </m:r>
          <m:r>
            <w:rPr>
              <w:rFonts w:ascii="Cambria Math" w:hAnsi="Cambria Math"/>
            </w:rPr>
            <w:br/>
          </m:r>
        </m:oMath>
        <m:oMath>
          <m:r>
            <w:rPr>
              <w:rFonts w:ascii="Cambria Math" w:hAnsi="Cambria Math"/>
            </w:rPr>
            <m:t xml:space="preserve">Assuming an initial service life of 7 years </m:t>
          </m:r>
          <m:d>
            <m:dPr>
              <m:ctrlPr>
                <w:rPr>
                  <w:rFonts w:ascii="Cambria Math" w:hAnsi="Cambria Math"/>
                  <w:i/>
                </w:rPr>
              </m:ctrlPr>
            </m:dPr>
            <m:e>
              <m:r>
                <w:rPr>
                  <w:rFonts w:ascii="Cambria Math" w:hAnsi="Cambria Math"/>
                </w:rPr>
                <m:t>From Section 2.3</m:t>
              </m:r>
            </m:e>
          </m:d>
          <m:r>
            <w:rPr>
              <w:rFonts w:ascii="Cambria Math" w:hAnsi="Cambria Math"/>
            </w:rPr>
            <m:t>:</m:t>
          </m:r>
          <m:r>
            <w:rPr>
              <w:rFonts w:ascii="Cambria Math" w:hAnsi="Cambria Math"/>
            </w:rPr>
            <w:br/>
          </m:r>
        </m:oMath>
        <m:oMath>
          <m:r>
            <w:rPr>
              <w:rFonts w:ascii="Cambria Math" w:hAnsi="Cambria Math"/>
            </w:rPr>
            <m:t>7 years=2555 days</m:t>
          </m:r>
          <m:r>
            <w:rPr>
              <w:rFonts w:ascii="Cambria Math" w:hAnsi="Cambria Math"/>
            </w:rPr>
            <w:br/>
          </m:r>
        </m:oMath>
        <m:oMath>
          <m:r>
            <w:rPr>
              <w:rFonts w:ascii="Cambria Math" w:hAnsi="Cambria Math"/>
            </w:rPr>
            <m:t xml:space="preserve">∴Aging Time= </m:t>
          </m:r>
          <m:f>
            <m:fPr>
              <m:ctrlPr>
                <w:rPr>
                  <w:rFonts w:ascii="Cambria Math" w:hAnsi="Cambria Math"/>
                  <w:i/>
                </w:rPr>
              </m:ctrlPr>
            </m:fPr>
            <m:num>
              <m:r>
                <w:rPr>
                  <w:rFonts w:ascii="Cambria Math" w:hAnsi="Cambria Math"/>
                </w:rPr>
                <m:t>2555</m:t>
              </m:r>
            </m:num>
            <m:den>
              <m:r>
                <w:rPr>
                  <w:rFonts w:ascii="Cambria Math" w:hAnsi="Cambria Math"/>
                </w:rPr>
                <m:t>5792.6</m:t>
              </m:r>
            </m:den>
          </m:f>
          <m:r>
            <w:rPr>
              <w:rFonts w:ascii="Cambria Math" w:hAnsi="Cambria Math"/>
            </w:rPr>
            <w:br/>
          </m:r>
        </m:oMath>
        <m:oMath>
          <m:r>
            <w:rPr>
              <w:rFonts w:ascii="Cambria Math" w:hAnsi="Cambria Math"/>
            </w:rPr>
            <m:t>∴Aging Time=0.4412 days</m:t>
          </m:r>
          <m:r>
            <w:rPr>
              <w:rFonts w:ascii="Cambria Math" w:hAnsi="Cambria Math"/>
            </w:rPr>
            <w:br/>
          </m:r>
        </m:oMath>
        <m:oMath>
          <m:r>
            <w:rPr>
              <w:rFonts w:ascii="Cambria Math" w:hAnsi="Cambria Math"/>
            </w:rPr>
            <m:t>∴Aging Time=10</m:t>
          </m:r>
          <m:r>
            <w:rPr>
              <w:rFonts w:ascii="Cambria Math" w:hAnsi="Cambria Math"/>
            </w:rPr>
            <m:t>hrs 35mins</m:t>
          </m:r>
          <m:r>
            <w:rPr>
              <w:rFonts w:ascii="Cambria Math" w:hAnsi="Cambria Math"/>
            </w:rPr>
            <m:t xml:space="preserve"> </m:t>
          </m:r>
        </m:oMath>
      </m:oMathPara>
    </w:p>
    <w:p w14:paraId="56B27681" w14:textId="09E35FBE" w:rsidR="00A33E76" w:rsidRDefault="00A33E76" w:rsidP="00A33E76">
      <w:pPr>
        <w:pStyle w:val="Caption"/>
      </w:pPr>
      <w:bookmarkStart w:id="24" w:name="_Toc165833289"/>
      <w:r>
        <w:t xml:space="preserve">Equation </w:t>
      </w:r>
      <w:r>
        <w:fldChar w:fldCharType="begin"/>
      </w:r>
      <w:r>
        <w:instrText xml:space="preserve"> SEQ Equation \* ARABIC </w:instrText>
      </w:r>
      <w:r>
        <w:fldChar w:fldCharType="separate"/>
      </w:r>
      <w:r w:rsidR="00C55246">
        <w:rPr>
          <w:noProof/>
        </w:rPr>
        <w:t>3</w:t>
      </w:r>
      <w:r>
        <w:fldChar w:fldCharType="end"/>
      </w:r>
      <w:r>
        <w:t>: Calculation of the Aging time required to simulate 7 years of aging at 150°C</w:t>
      </w:r>
      <w:bookmarkEnd w:id="24"/>
    </w:p>
    <w:p w14:paraId="010BE332" w14:textId="20294946" w:rsidR="00A33E76" w:rsidRDefault="00A33E76" w:rsidP="00A33E76">
      <w:pPr>
        <w:pStyle w:val="Heading4"/>
      </w:pPr>
      <w:r>
        <w:t>2.5.6 Qualitative Analysis</w:t>
      </w:r>
    </w:p>
    <w:p w14:paraId="5A494542" w14:textId="1A544131" w:rsidR="00A717FF" w:rsidRDefault="00A33E76" w:rsidP="00A33E76">
      <w:r>
        <w:t xml:space="preserve">Once the Small-Scale Hazard Testing has been carried out it is necessary to begin the chemical analysis. Before beginning quantitative analysis, qualitative analysis should be carried out. This analysis aims to identify the components of a sample. Whilst the components of Swans-Ex24 are known (90-93% RDX/HMX at a 60/40 ratio, and 7-10% binders and other inert components), it is important to carry out this testing after aging to confirm that no components (especially the stabilising and binding compounds) have decomposed to such a point that they </w:t>
      </w:r>
      <w:r w:rsidR="00A717FF">
        <w:t xml:space="preserve">are no longer detectable. It is proposed to use two indicative techniques to identify the energetic components, and a single technique to identify the inert components. </w:t>
      </w:r>
    </w:p>
    <w:p w14:paraId="4C86E20C" w14:textId="46C35077" w:rsidR="00A717FF" w:rsidRDefault="00A717FF" w:rsidP="00A33E76">
      <w:r>
        <w:t>The first technique proposed is Thin Layer Chromatography (TLC). This is a form of Chromatography as discussed in Section 2.5.2 which uses a thin layer of silica based material as its stationary phase</w:t>
      </w:r>
      <w:sdt>
        <w:sdtPr>
          <w:id w:val="925693021"/>
          <w:citation/>
        </w:sdtPr>
        <w:sdtContent>
          <w:r>
            <w:fldChar w:fldCharType="begin"/>
          </w:r>
          <w:r>
            <w:instrText xml:space="preserve"> CITATION The19 \l 2057 </w:instrText>
          </w:r>
          <w:r>
            <w:fldChar w:fldCharType="separate"/>
          </w:r>
          <w:r w:rsidR="00082702">
            <w:rPr>
              <w:noProof/>
            </w:rPr>
            <w:t xml:space="preserve"> </w:t>
          </w:r>
          <w:r w:rsidR="00082702" w:rsidRPr="00082702">
            <w:rPr>
              <w:noProof/>
            </w:rPr>
            <w:t>[7]</w:t>
          </w:r>
          <w:r>
            <w:fldChar w:fldCharType="end"/>
          </w:r>
        </w:sdtContent>
      </w:sdt>
      <w:r>
        <w:t>. A brief method for this technique is outlined below:</w:t>
      </w:r>
    </w:p>
    <w:p w14:paraId="41A6CF2D" w14:textId="77777777" w:rsidR="00A717FF" w:rsidRDefault="00A717FF" w:rsidP="00A33E76"/>
    <w:p w14:paraId="7D3A65DB" w14:textId="0C476D4E" w:rsidR="00A717FF" w:rsidRDefault="00A717FF" w:rsidP="00A717FF">
      <w:pPr>
        <w:pStyle w:val="ListParagraph"/>
        <w:numPr>
          <w:ilvl w:val="0"/>
          <w:numId w:val="25"/>
        </w:numPr>
      </w:pPr>
      <w:r>
        <w:lastRenderedPageBreak/>
        <w:t xml:space="preserve">Dissolve Explosive samples in a suitable solvent </w:t>
      </w:r>
      <w:proofErr w:type="spellStart"/>
      <w:r>
        <w:t>e.g</w:t>
      </w:r>
      <w:proofErr w:type="spellEnd"/>
      <w:r>
        <w:t xml:space="preserve"> Acetonitrile.</w:t>
      </w:r>
    </w:p>
    <w:p w14:paraId="478E5A8F" w14:textId="6B112864" w:rsidR="00A717FF" w:rsidRDefault="00A717FF" w:rsidP="00A717FF">
      <w:pPr>
        <w:pStyle w:val="ListParagraph"/>
        <w:numPr>
          <w:ilvl w:val="0"/>
          <w:numId w:val="25"/>
        </w:numPr>
      </w:pPr>
      <w:r>
        <w:t>Prepare an eluent tank of mobile phase, made up of Ethyl Acetate and Toluene.</w:t>
      </w:r>
    </w:p>
    <w:p w14:paraId="28CD3130" w14:textId="44CF9843" w:rsidR="00A717FF" w:rsidRDefault="00A717FF" w:rsidP="00A717FF">
      <w:pPr>
        <w:pStyle w:val="ListParagraph"/>
        <w:numPr>
          <w:ilvl w:val="0"/>
          <w:numId w:val="25"/>
        </w:numPr>
      </w:pPr>
      <w:r>
        <w:t>Prepare the TLC plate by drawing a reference line and pre-washing in the eluent.</w:t>
      </w:r>
    </w:p>
    <w:p w14:paraId="23808C31" w14:textId="095A869F" w:rsidR="00A717FF" w:rsidRDefault="00A717FF" w:rsidP="00A717FF">
      <w:pPr>
        <w:pStyle w:val="ListParagraph"/>
        <w:numPr>
          <w:ilvl w:val="0"/>
          <w:numId w:val="25"/>
        </w:numPr>
      </w:pPr>
      <w:r>
        <w:t>Spike samples, reference standards (RDX and HMX), an Analytical Quality Control (AQC), and a blank (neat Acetonitrile) onto the plate.</w:t>
      </w:r>
    </w:p>
    <w:p w14:paraId="0ACDB22E" w14:textId="69BB9E95" w:rsidR="00A717FF" w:rsidRDefault="00A717FF" w:rsidP="00A717FF">
      <w:pPr>
        <w:pStyle w:val="ListParagraph"/>
        <w:numPr>
          <w:ilvl w:val="0"/>
          <w:numId w:val="25"/>
        </w:numPr>
      </w:pPr>
      <w:r>
        <w:t>Insert the plate into the eluent tank and wait for the mobile phase to elute.</w:t>
      </w:r>
    </w:p>
    <w:p w14:paraId="1DA73436" w14:textId="0687537F" w:rsidR="00A717FF" w:rsidRDefault="00A717FF" w:rsidP="00A717FF">
      <w:pPr>
        <w:pStyle w:val="ListParagraph"/>
        <w:numPr>
          <w:ilvl w:val="0"/>
          <w:numId w:val="25"/>
        </w:numPr>
      </w:pPr>
      <w:r>
        <w:t xml:space="preserve">Record observations of the pate initially, under UV light, and after spraying with reagent and heating to visualise spots on the plate. </w:t>
      </w:r>
    </w:p>
    <w:p w14:paraId="1E623053" w14:textId="75AD7948" w:rsidR="00A717FF" w:rsidRDefault="00A717FF" w:rsidP="00A717FF">
      <w:pPr>
        <w:pStyle w:val="ListParagraph"/>
        <w:numPr>
          <w:ilvl w:val="0"/>
          <w:numId w:val="25"/>
        </w:numPr>
      </w:pPr>
      <w:r>
        <w:t>Compare samples to standards for indication of explosives present.</w:t>
      </w:r>
    </w:p>
    <w:p w14:paraId="384149CF" w14:textId="4750EC76" w:rsidR="00A717FF" w:rsidRDefault="00A717FF" w:rsidP="00A717FF">
      <w:r>
        <w:t xml:space="preserve">To corroborate the result of an indicative technique such as TLC, it is good practice to obtain matching results from another indicative technique such as </w:t>
      </w:r>
      <w:r w:rsidR="00D340A9">
        <w:t xml:space="preserve">Fourier Transfer Infrared Spectroscopy (FTIR). This is a spectroscopic technique which reflects/transmits (depending on the exact instrument used) infrared light through the sample. The atomic bonds in the sample compounds will absorb some of the IR light resulting in a unique spectrum being produced. The expected result for FTIR would be a spectrum resembling a combination of the individual spectra of RDX and HMX, with a few peaks from the most abundant inert components. </w:t>
      </w:r>
    </w:p>
    <w:p w14:paraId="4E4304C7" w14:textId="7849F207" w:rsidR="00D340A9" w:rsidRDefault="00104F9D" w:rsidP="00A717FF">
      <w:r>
        <w:t>To identify the inert components, Gas Chromatography-Mass Spectrometry should be used. This is a very sensitive technique which uses Gas Chromatography to separate components in the gas phase, and then detect them using a mass spectrometer. Identification of components is achieved by comparing the retention time of a sample component to the retention time of a reference standard, and comparing the mass spectrum produced to a database stored on the GC-MS instrument. Whilst the instrument is sensitive enough to detect the inert components at the low concentrations at which they occur in the sample, it is necessary to ensure that the instrument has an appropriate method programmed, and that the solution produced from the sample is at a relatively high concentration.</w:t>
      </w:r>
    </w:p>
    <w:p w14:paraId="0F8EF6B7" w14:textId="0853B49B" w:rsidR="00104F9D" w:rsidRDefault="00104F9D" w:rsidP="00104F9D">
      <w:pPr>
        <w:pStyle w:val="Heading4"/>
      </w:pPr>
      <w:r>
        <w:t>2.5.7 Quantitative Analysis</w:t>
      </w:r>
    </w:p>
    <w:p w14:paraId="6F91EBB6" w14:textId="297DE2FB" w:rsidR="00104F9D" w:rsidRDefault="00104F9D" w:rsidP="00104F9D">
      <w:r>
        <w:t xml:space="preserve">To quantify both the energetic and inert components, High Performance Liquid Chromatography (HPLC) will be used. This is a chromatographic technique using a liquid mobile phase. Samples are injected into the instrument </w:t>
      </w:r>
      <w:r w:rsidR="00E11CCF">
        <w:t xml:space="preserve">and separate to produce a chromatogram composed of a series of peaks. The area of each peak can be compared to a calibration line produced from standards at a range of concentrations. </w:t>
      </w:r>
    </w:p>
    <w:p w14:paraId="1C08217E" w14:textId="44EDBF36" w:rsidR="00E11CCF" w:rsidRDefault="00E11CCF" w:rsidP="00104F9D">
      <w:r>
        <w:t>Whilst this technique can quantify both energetic and inert components, this cannot be done from the same samples. The samples used to identify the inert components must be prepared at a higher concentration than the energetic samples as the already low relative concentration of the inert components means they will be suppressed entirely by the energetic components at lower concentrations.</w:t>
      </w:r>
    </w:p>
    <w:p w14:paraId="304B1F6A" w14:textId="722A3300" w:rsidR="00E11CCF" w:rsidRDefault="00E11CCF" w:rsidP="00104F9D">
      <w:r>
        <w:t xml:space="preserve">Once the samples and standard have been injected into the instrument and initial results have been produced, the first step is to produce a calibration curve. This is </w:t>
      </w:r>
      <w:r>
        <w:lastRenderedPageBreak/>
        <w:t>done by plotting the peak area of each reference standard against the concentration of the standards, as seen in the table and figure below</w:t>
      </w:r>
      <w:r>
        <w:rPr>
          <w:rStyle w:val="FootnoteReference"/>
        </w:rPr>
        <w:footnoteReference w:id="3"/>
      </w:r>
      <w:r>
        <w:t>.</w:t>
      </w:r>
    </w:p>
    <w:tbl>
      <w:tblPr>
        <w:tblW w:w="31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0"/>
        <w:gridCol w:w="1080"/>
      </w:tblGrid>
      <w:tr w:rsidR="00E11CCF" w:rsidRPr="00E11CCF" w14:paraId="3F7F3D6B" w14:textId="77777777" w:rsidTr="00326F3E">
        <w:trPr>
          <w:trHeight w:val="288"/>
          <w:jc w:val="center"/>
        </w:trPr>
        <w:tc>
          <w:tcPr>
            <w:tcW w:w="2080" w:type="dxa"/>
            <w:shd w:val="clear" w:color="auto" w:fill="auto"/>
            <w:noWrap/>
            <w:vAlign w:val="bottom"/>
            <w:hideMark/>
          </w:tcPr>
          <w:p w14:paraId="3027A86F" w14:textId="14ADFF5C" w:rsidR="00E11CCF" w:rsidRPr="00E11CCF" w:rsidRDefault="00E11CCF" w:rsidP="00E11CCF">
            <w:pPr>
              <w:spacing w:before="0" w:after="0" w:line="240" w:lineRule="auto"/>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 xml:space="preserve">Standard </w:t>
            </w:r>
            <w:proofErr w:type="spellStart"/>
            <w:r w:rsidRPr="00E11CCF">
              <w:rPr>
                <w:rFonts w:ascii="Aptos Narrow" w:eastAsia="Times New Roman" w:hAnsi="Aptos Narrow" w:cs="Times New Roman"/>
                <w:color w:val="000000"/>
                <w:lang w:eastAsia="en-GB"/>
              </w:rPr>
              <w:t>Conc</w:t>
            </w:r>
            <w:proofErr w:type="spellEnd"/>
            <w:r w:rsidRPr="00E11CCF">
              <w:rPr>
                <w:rFonts w:ascii="Aptos Narrow" w:eastAsia="Times New Roman" w:hAnsi="Aptos Narrow" w:cs="Times New Roman"/>
                <w:color w:val="000000"/>
                <w:lang w:eastAsia="en-GB"/>
              </w:rPr>
              <w:t xml:space="preserve"> (ng/</w:t>
            </w:r>
            <w:proofErr w:type="spellStart"/>
            <w:r>
              <w:rPr>
                <w:rFonts w:ascii="Aptos Narrow" w:eastAsia="Times New Roman" w:hAnsi="Aptos Narrow" w:cs="Times New Roman"/>
                <w:color w:val="000000"/>
                <w:lang w:eastAsia="en-GB"/>
              </w:rPr>
              <w:t>μ</w:t>
            </w:r>
            <w:r w:rsidRPr="00E11CCF">
              <w:rPr>
                <w:rFonts w:ascii="Aptos Narrow" w:eastAsia="Times New Roman" w:hAnsi="Aptos Narrow" w:cs="Times New Roman"/>
                <w:color w:val="000000"/>
                <w:lang w:eastAsia="en-GB"/>
              </w:rPr>
              <w:t>l</w:t>
            </w:r>
            <w:proofErr w:type="spellEnd"/>
            <w:r w:rsidRPr="00E11CCF">
              <w:rPr>
                <w:rFonts w:ascii="Aptos Narrow" w:eastAsia="Times New Roman" w:hAnsi="Aptos Narrow" w:cs="Times New Roman"/>
                <w:color w:val="000000"/>
                <w:lang w:eastAsia="en-GB"/>
              </w:rPr>
              <w:t>)</w:t>
            </w:r>
          </w:p>
        </w:tc>
        <w:tc>
          <w:tcPr>
            <w:tcW w:w="1080" w:type="dxa"/>
            <w:shd w:val="clear" w:color="auto" w:fill="auto"/>
            <w:noWrap/>
            <w:vAlign w:val="bottom"/>
            <w:hideMark/>
          </w:tcPr>
          <w:p w14:paraId="7C756A62" w14:textId="77777777" w:rsidR="00E11CCF" w:rsidRPr="00E11CCF" w:rsidRDefault="00E11CCF" w:rsidP="00E11CCF">
            <w:pPr>
              <w:spacing w:before="0" w:after="0" w:line="240" w:lineRule="auto"/>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Peak Area</w:t>
            </w:r>
          </w:p>
        </w:tc>
      </w:tr>
      <w:tr w:rsidR="00E11CCF" w:rsidRPr="00E11CCF" w14:paraId="031D87D6" w14:textId="77777777" w:rsidTr="00326F3E">
        <w:trPr>
          <w:trHeight w:val="288"/>
          <w:jc w:val="center"/>
        </w:trPr>
        <w:tc>
          <w:tcPr>
            <w:tcW w:w="2080" w:type="dxa"/>
            <w:shd w:val="clear" w:color="auto" w:fill="auto"/>
            <w:noWrap/>
            <w:vAlign w:val="bottom"/>
            <w:hideMark/>
          </w:tcPr>
          <w:p w14:paraId="0F64099E"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0.05</w:t>
            </w:r>
          </w:p>
        </w:tc>
        <w:tc>
          <w:tcPr>
            <w:tcW w:w="1080" w:type="dxa"/>
            <w:shd w:val="clear" w:color="auto" w:fill="auto"/>
            <w:noWrap/>
            <w:vAlign w:val="bottom"/>
            <w:hideMark/>
          </w:tcPr>
          <w:p w14:paraId="0BD19A6A"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10230</w:t>
            </w:r>
          </w:p>
        </w:tc>
      </w:tr>
      <w:tr w:rsidR="00E11CCF" w:rsidRPr="00E11CCF" w14:paraId="56193A1E" w14:textId="77777777" w:rsidTr="00326F3E">
        <w:trPr>
          <w:trHeight w:val="288"/>
          <w:jc w:val="center"/>
        </w:trPr>
        <w:tc>
          <w:tcPr>
            <w:tcW w:w="2080" w:type="dxa"/>
            <w:shd w:val="clear" w:color="auto" w:fill="auto"/>
            <w:noWrap/>
            <w:vAlign w:val="bottom"/>
            <w:hideMark/>
          </w:tcPr>
          <w:p w14:paraId="1EF0E07B"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0.1</w:t>
            </w:r>
          </w:p>
        </w:tc>
        <w:tc>
          <w:tcPr>
            <w:tcW w:w="1080" w:type="dxa"/>
            <w:shd w:val="clear" w:color="auto" w:fill="auto"/>
            <w:noWrap/>
            <w:vAlign w:val="bottom"/>
            <w:hideMark/>
          </w:tcPr>
          <w:p w14:paraId="19E089F5"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20480</w:t>
            </w:r>
          </w:p>
        </w:tc>
      </w:tr>
      <w:tr w:rsidR="00E11CCF" w:rsidRPr="00E11CCF" w14:paraId="6C78BDCB" w14:textId="77777777" w:rsidTr="00326F3E">
        <w:trPr>
          <w:trHeight w:val="288"/>
          <w:jc w:val="center"/>
        </w:trPr>
        <w:tc>
          <w:tcPr>
            <w:tcW w:w="2080" w:type="dxa"/>
            <w:shd w:val="clear" w:color="auto" w:fill="auto"/>
            <w:noWrap/>
            <w:vAlign w:val="bottom"/>
            <w:hideMark/>
          </w:tcPr>
          <w:p w14:paraId="20D780FE"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0.2</w:t>
            </w:r>
          </w:p>
        </w:tc>
        <w:tc>
          <w:tcPr>
            <w:tcW w:w="1080" w:type="dxa"/>
            <w:shd w:val="clear" w:color="auto" w:fill="auto"/>
            <w:noWrap/>
            <w:vAlign w:val="bottom"/>
            <w:hideMark/>
          </w:tcPr>
          <w:p w14:paraId="067C5FED"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40930</w:t>
            </w:r>
          </w:p>
        </w:tc>
      </w:tr>
      <w:tr w:rsidR="00E11CCF" w:rsidRPr="00E11CCF" w14:paraId="7F491122" w14:textId="77777777" w:rsidTr="00326F3E">
        <w:trPr>
          <w:trHeight w:val="288"/>
          <w:jc w:val="center"/>
        </w:trPr>
        <w:tc>
          <w:tcPr>
            <w:tcW w:w="2080" w:type="dxa"/>
            <w:shd w:val="clear" w:color="auto" w:fill="auto"/>
            <w:noWrap/>
            <w:vAlign w:val="bottom"/>
            <w:hideMark/>
          </w:tcPr>
          <w:p w14:paraId="6F160583"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0.3</w:t>
            </w:r>
          </w:p>
        </w:tc>
        <w:tc>
          <w:tcPr>
            <w:tcW w:w="1080" w:type="dxa"/>
            <w:shd w:val="clear" w:color="auto" w:fill="auto"/>
            <w:noWrap/>
            <w:vAlign w:val="bottom"/>
            <w:hideMark/>
          </w:tcPr>
          <w:p w14:paraId="3ADE5AAA"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61450</w:t>
            </w:r>
          </w:p>
        </w:tc>
      </w:tr>
      <w:tr w:rsidR="00E11CCF" w:rsidRPr="00E11CCF" w14:paraId="23FD1ED1" w14:textId="77777777" w:rsidTr="00326F3E">
        <w:trPr>
          <w:trHeight w:val="288"/>
          <w:jc w:val="center"/>
        </w:trPr>
        <w:tc>
          <w:tcPr>
            <w:tcW w:w="2080" w:type="dxa"/>
            <w:shd w:val="clear" w:color="auto" w:fill="auto"/>
            <w:noWrap/>
            <w:vAlign w:val="bottom"/>
            <w:hideMark/>
          </w:tcPr>
          <w:p w14:paraId="31233C57"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0.4</w:t>
            </w:r>
          </w:p>
        </w:tc>
        <w:tc>
          <w:tcPr>
            <w:tcW w:w="1080" w:type="dxa"/>
            <w:shd w:val="clear" w:color="auto" w:fill="auto"/>
            <w:noWrap/>
            <w:vAlign w:val="bottom"/>
            <w:hideMark/>
          </w:tcPr>
          <w:p w14:paraId="2FCE9A2B"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82000</w:t>
            </w:r>
          </w:p>
        </w:tc>
      </w:tr>
      <w:tr w:rsidR="00E11CCF" w:rsidRPr="00E11CCF" w14:paraId="4D797BF9" w14:textId="77777777" w:rsidTr="00326F3E">
        <w:trPr>
          <w:trHeight w:val="288"/>
          <w:jc w:val="center"/>
        </w:trPr>
        <w:tc>
          <w:tcPr>
            <w:tcW w:w="2080" w:type="dxa"/>
            <w:shd w:val="clear" w:color="auto" w:fill="auto"/>
            <w:noWrap/>
            <w:vAlign w:val="bottom"/>
            <w:hideMark/>
          </w:tcPr>
          <w:p w14:paraId="4093FE6F"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0.5</w:t>
            </w:r>
          </w:p>
        </w:tc>
        <w:tc>
          <w:tcPr>
            <w:tcW w:w="1080" w:type="dxa"/>
            <w:shd w:val="clear" w:color="auto" w:fill="auto"/>
            <w:noWrap/>
            <w:vAlign w:val="bottom"/>
            <w:hideMark/>
          </w:tcPr>
          <w:p w14:paraId="0894BF3F"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102400</w:t>
            </w:r>
          </w:p>
        </w:tc>
      </w:tr>
      <w:tr w:rsidR="00E11CCF" w:rsidRPr="00E11CCF" w14:paraId="43A4E999" w14:textId="77777777" w:rsidTr="00326F3E">
        <w:trPr>
          <w:trHeight w:val="288"/>
          <w:jc w:val="center"/>
        </w:trPr>
        <w:tc>
          <w:tcPr>
            <w:tcW w:w="2080" w:type="dxa"/>
            <w:shd w:val="clear" w:color="auto" w:fill="auto"/>
            <w:noWrap/>
            <w:vAlign w:val="bottom"/>
            <w:hideMark/>
          </w:tcPr>
          <w:p w14:paraId="4895E01D"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0.75</w:t>
            </w:r>
          </w:p>
        </w:tc>
        <w:tc>
          <w:tcPr>
            <w:tcW w:w="1080" w:type="dxa"/>
            <w:shd w:val="clear" w:color="auto" w:fill="auto"/>
            <w:noWrap/>
            <w:vAlign w:val="bottom"/>
            <w:hideMark/>
          </w:tcPr>
          <w:p w14:paraId="38C39E83"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153620</w:t>
            </w:r>
          </w:p>
        </w:tc>
      </w:tr>
      <w:tr w:rsidR="00E11CCF" w:rsidRPr="00E11CCF" w14:paraId="55ABB8D9" w14:textId="77777777" w:rsidTr="00326F3E">
        <w:trPr>
          <w:trHeight w:val="288"/>
          <w:jc w:val="center"/>
        </w:trPr>
        <w:tc>
          <w:tcPr>
            <w:tcW w:w="2080" w:type="dxa"/>
            <w:shd w:val="clear" w:color="auto" w:fill="auto"/>
            <w:noWrap/>
            <w:vAlign w:val="bottom"/>
            <w:hideMark/>
          </w:tcPr>
          <w:p w14:paraId="28A25C8A"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1</w:t>
            </w:r>
          </w:p>
        </w:tc>
        <w:tc>
          <w:tcPr>
            <w:tcW w:w="1080" w:type="dxa"/>
            <w:shd w:val="clear" w:color="auto" w:fill="auto"/>
            <w:noWrap/>
            <w:vAlign w:val="bottom"/>
            <w:hideMark/>
          </w:tcPr>
          <w:p w14:paraId="77C4D852"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205000</w:t>
            </w:r>
          </w:p>
        </w:tc>
      </w:tr>
      <w:tr w:rsidR="00E11CCF" w:rsidRPr="00E11CCF" w14:paraId="5A58A6B7" w14:textId="77777777" w:rsidTr="00326F3E">
        <w:trPr>
          <w:trHeight w:val="288"/>
          <w:jc w:val="center"/>
        </w:trPr>
        <w:tc>
          <w:tcPr>
            <w:tcW w:w="2080" w:type="dxa"/>
            <w:shd w:val="clear" w:color="auto" w:fill="auto"/>
            <w:noWrap/>
            <w:vAlign w:val="bottom"/>
            <w:hideMark/>
          </w:tcPr>
          <w:p w14:paraId="37DF4ECC"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2</w:t>
            </w:r>
          </w:p>
        </w:tc>
        <w:tc>
          <w:tcPr>
            <w:tcW w:w="1080" w:type="dxa"/>
            <w:shd w:val="clear" w:color="auto" w:fill="auto"/>
            <w:noWrap/>
            <w:vAlign w:val="bottom"/>
            <w:hideMark/>
          </w:tcPr>
          <w:p w14:paraId="0CDECC84"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410100</w:t>
            </w:r>
          </w:p>
        </w:tc>
      </w:tr>
      <w:tr w:rsidR="00E11CCF" w:rsidRPr="00E11CCF" w14:paraId="68B00A1C" w14:textId="77777777" w:rsidTr="00326F3E">
        <w:trPr>
          <w:trHeight w:val="288"/>
          <w:jc w:val="center"/>
        </w:trPr>
        <w:tc>
          <w:tcPr>
            <w:tcW w:w="2080" w:type="dxa"/>
            <w:shd w:val="clear" w:color="auto" w:fill="auto"/>
            <w:noWrap/>
            <w:vAlign w:val="bottom"/>
            <w:hideMark/>
          </w:tcPr>
          <w:p w14:paraId="16008E41" w14:textId="77777777" w:rsidR="00E11CCF" w:rsidRPr="00E11CCF" w:rsidRDefault="00E11CCF" w:rsidP="00E11CCF">
            <w:pPr>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2.5</w:t>
            </w:r>
          </w:p>
        </w:tc>
        <w:tc>
          <w:tcPr>
            <w:tcW w:w="1080" w:type="dxa"/>
            <w:shd w:val="clear" w:color="auto" w:fill="auto"/>
            <w:noWrap/>
            <w:vAlign w:val="bottom"/>
            <w:hideMark/>
          </w:tcPr>
          <w:p w14:paraId="2E5E09F0" w14:textId="77777777" w:rsidR="00E11CCF" w:rsidRPr="00E11CCF" w:rsidRDefault="00E11CCF" w:rsidP="00E11CCF">
            <w:pPr>
              <w:keepNext/>
              <w:spacing w:before="0" w:after="0" w:line="240" w:lineRule="auto"/>
              <w:jc w:val="right"/>
              <w:rPr>
                <w:rFonts w:ascii="Aptos Narrow" w:eastAsia="Times New Roman" w:hAnsi="Aptos Narrow" w:cs="Times New Roman"/>
                <w:color w:val="000000"/>
                <w:lang w:eastAsia="en-GB"/>
              </w:rPr>
            </w:pPr>
            <w:r w:rsidRPr="00E11CCF">
              <w:rPr>
                <w:rFonts w:ascii="Aptos Narrow" w:eastAsia="Times New Roman" w:hAnsi="Aptos Narrow" w:cs="Times New Roman"/>
                <w:color w:val="000000"/>
                <w:lang w:eastAsia="en-GB"/>
              </w:rPr>
              <w:t>512200</w:t>
            </w:r>
          </w:p>
        </w:tc>
      </w:tr>
    </w:tbl>
    <w:p w14:paraId="32F3EE88" w14:textId="757317F9" w:rsidR="00E11CCF" w:rsidRDefault="00E11CCF" w:rsidP="00E11CCF">
      <w:pPr>
        <w:pStyle w:val="Caption"/>
        <w:jc w:val="center"/>
      </w:pPr>
      <w:bookmarkStart w:id="25" w:name="_Toc165833274"/>
      <w:r>
        <w:t xml:space="preserve">Table </w:t>
      </w:r>
      <w:r>
        <w:fldChar w:fldCharType="begin"/>
      </w:r>
      <w:r>
        <w:instrText xml:space="preserve"> SEQ Table \* ARABIC </w:instrText>
      </w:r>
      <w:r>
        <w:fldChar w:fldCharType="separate"/>
      </w:r>
      <w:r w:rsidR="00326F3E">
        <w:rPr>
          <w:noProof/>
        </w:rPr>
        <w:t>1</w:t>
      </w:r>
      <w:r>
        <w:fldChar w:fldCharType="end"/>
      </w:r>
      <w:r>
        <w:t>: An example of the data for a calibration curve</w:t>
      </w:r>
      <w:bookmarkEnd w:id="25"/>
    </w:p>
    <w:p w14:paraId="0861614D" w14:textId="77777777" w:rsidR="00E11CCF" w:rsidRDefault="00E11CCF" w:rsidP="00E11CCF">
      <w:pPr>
        <w:keepNext/>
        <w:jc w:val="center"/>
      </w:pPr>
      <w:r>
        <w:rPr>
          <w:noProof/>
        </w:rPr>
        <w:drawing>
          <wp:inline distT="0" distB="0" distL="0" distR="0" wp14:anchorId="7C77B496" wp14:editId="1757CB24">
            <wp:extent cx="4581525" cy="2647950"/>
            <wp:effectExtent l="0" t="0" r="9525" b="0"/>
            <wp:docPr id="1836547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5475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4581525" cy="2647950"/>
                    </a:xfrm>
                    <a:prstGeom prst="rect">
                      <a:avLst/>
                    </a:prstGeom>
                  </pic:spPr>
                </pic:pic>
              </a:graphicData>
            </a:graphic>
          </wp:inline>
        </w:drawing>
      </w:r>
    </w:p>
    <w:p w14:paraId="17EEDCDE" w14:textId="1D1826BA" w:rsidR="00E11CCF" w:rsidRDefault="00E11CCF" w:rsidP="00E11CCF">
      <w:pPr>
        <w:pStyle w:val="Caption"/>
      </w:pPr>
      <w:bookmarkStart w:id="26" w:name="_Toc165833265"/>
      <w:r>
        <w:t xml:space="preserve">Figure </w:t>
      </w:r>
      <w:r>
        <w:fldChar w:fldCharType="begin"/>
      </w:r>
      <w:r>
        <w:instrText xml:space="preserve"> SEQ Figure \* ARABIC </w:instrText>
      </w:r>
      <w:r>
        <w:fldChar w:fldCharType="separate"/>
      </w:r>
      <w:r>
        <w:rPr>
          <w:noProof/>
        </w:rPr>
        <w:t>8</w:t>
      </w:r>
      <w:r>
        <w:fldChar w:fldCharType="end"/>
      </w:r>
      <w:r>
        <w:t>: An example calibration line</w:t>
      </w:r>
      <w:bookmarkEnd w:id="26"/>
    </w:p>
    <w:p w14:paraId="04401F6F" w14:textId="45E13880" w:rsidR="00E11CCF" w:rsidRDefault="00E11CCF" w:rsidP="00E11CCF">
      <w:r>
        <w:t>Using the equation of the graph</w:t>
      </w:r>
      <w:r>
        <w:rPr>
          <w:rStyle w:val="FootnoteReference"/>
        </w:rPr>
        <w:footnoteReference w:id="4"/>
      </w:r>
      <w:r>
        <w:t xml:space="preserve">, </w:t>
      </w:r>
      <w:r w:rsidR="00C55246">
        <w:t>the relationship between concentration of the target analyte and peak area on the chromatogram can be mathematically defined as shown below.</w:t>
      </w:r>
    </w:p>
    <w:p w14:paraId="0E63C1A1" w14:textId="77777777" w:rsidR="00C55246" w:rsidRDefault="00C55246" w:rsidP="00E11CCF"/>
    <w:p w14:paraId="62F59FE5" w14:textId="77777777" w:rsidR="00C55246" w:rsidRDefault="00C55246" w:rsidP="00E11CCF"/>
    <w:p w14:paraId="2A9DC33A" w14:textId="77777777" w:rsidR="00C55246" w:rsidRDefault="00C55246" w:rsidP="00E11CCF"/>
    <w:p w14:paraId="1065388B" w14:textId="77777777" w:rsidR="00C55246" w:rsidRDefault="00C55246" w:rsidP="00E11CCF"/>
    <w:p w14:paraId="543519DE" w14:textId="136FE71E" w:rsidR="00C55246" w:rsidRPr="00C55246" w:rsidRDefault="00C55246" w:rsidP="00C55246">
      <w:pPr>
        <w:keepNext/>
      </w:pPr>
      <m:oMathPara>
        <m:oMathParaPr>
          <m:jc m:val="center"/>
        </m:oMathParaPr>
        <m:oMath>
          <m:r>
            <w:rPr>
              <w:rFonts w:ascii="Cambria Math" w:hAnsi="Cambria Math"/>
            </w:rPr>
            <m:t xml:space="preserve">Analyte Concentration= </m:t>
          </m:r>
          <m:f>
            <m:fPr>
              <m:ctrlPr>
                <w:rPr>
                  <w:rFonts w:ascii="Cambria Math" w:hAnsi="Cambria Math"/>
                  <w:i/>
                </w:rPr>
              </m:ctrlPr>
            </m:fPr>
            <m:num>
              <m:r>
                <w:rPr>
                  <w:rFonts w:ascii="Cambria Math" w:hAnsi="Cambria Math"/>
                </w:rPr>
                <m:t>A-c</m:t>
              </m:r>
            </m:num>
            <m:den>
              <m:r>
                <w:rPr>
                  <w:rFonts w:ascii="Cambria Math" w:hAnsi="Cambria Math"/>
                </w:rPr>
                <m:t>m</m:t>
              </m:r>
            </m:den>
          </m:f>
          <m:r>
            <w:rPr>
              <w:rFonts w:ascii="Cambria Math" w:hAnsi="Cambria Math"/>
            </w:rPr>
            <m:t xml:space="preserve"> </m:t>
          </m:r>
          <m:r>
            <w:rPr>
              <w:rFonts w:ascii="Cambria Math" w:hAnsi="Cambria Math"/>
            </w:rPr>
            <w:br/>
          </m:r>
        </m:oMath>
        <m:oMath>
          <m:r>
            <w:rPr>
              <w:rFonts w:ascii="Cambria Math" w:hAnsi="Cambria Math"/>
            </w:rPr>
            <m:t>Where:</m:t>
          </m:r>
          <m:r>
            <w:rPr>
              <w:rFonts w:ascii="Cambria Math" w:hAnsi="Cambria Math"/>
            </w:rPr>
            <w:br/>
          </m:r>
        </m:oMath>
        <m:oMath>
          <m:r>
            <w:rPr>
              <w:rFonts w:ascii="Cambria Math" w:hAnsi="Cambria Math"/>
            </w:rPr>
            <m:t>A is the peak area</m:t>
          </m:r>
          <m:r>
            <w:rPr>
              <w:rFonts w:ascii="Cambria Math" w:hAnsi="Cambria Math"/>
            </w:rPr>
            <w:br/>
          </m:r>
        </m:oMath>
        <m:oMath>
          <m:r>
            <w:rPr>
              <w:rFonts w:ascii="Cambria Math" w:hAnsi="Cambria Math"/>
            </w:rPr>
            <m:t>c is the intercept of the graph</m:t>
          </m:r>
          <m:r>
            <w:rPr>
              <w:rFonts w:ascii="Cambria Math" w:hAnsi="Cambria Math"/>
            </w:rPr>
            <w:br/>
          </m:r>
        </m:oMath>
        <m:oMath>
          <m:r>
            <w:rPr>
              <w:rFonts w:ascii="Cambria Math" w:hAnsi="Cambria Math"/>
            </w:rPr>
            <m:t>m is the gradient of the graph</m:t>
          </m:r>
        </m:oMath>
      </m:oMathPara>
    </w:p>
    <w:p w14:paraId="282FB979" w14:textId="4D61731C" w:rsidR="00C55246" w:rsidRDefault="00C55246" w:rsidP="00C55246">
      <w:pPr>
        <w:pStyle w:val="Caption"/>
      </w:pPr>
      <w:bookmarkStart w:id="27" w:name="_Toc165833290"/>
      <w:r>
        <w:t xml:space="preserve">Equation </w:t>
      </w:r>
      <w:r>
        <w:fldChar w:fldCharType="begin"/>
      </w:r>
      <w:r>
        <w:instrText xml:space="preserve"> SEQ Equation \* ARABIC </w:instrText>
      </w:r>
      <w:r>
        <w:fldChar w:fldCharType="separate"/>
      </w:r>
      <w:r>
        <w:rPr>
          <w:noProof/>
        </w:rPr>
        <w:t>4</w:t>
      </w:r>
      <w:r>
        <w:fldChar w:fldCharType="end"/>
      </w:r>
      <w:r>
        <w:t>: Calculation of the Analyte Concentration in a Sample from HPLC results</w:t>
      </w:r>
      <w:bookmarkEnd w:id="27"/>
    </w:p>
    <w:p w14:paraId="04A095C5" w14:textId="52EBF46C" w:rsidR="00C55246" w:rsidRDefault="00C55246" w:rsidP="00C55246">
      <w:r>
        <w:t>From this analyte concentration, the weight concentration (%w/w) can be calculated which represents the relative concentration by mass of the analyte in the overall mixture, as shown below.</w:t>
      </w:r>
    </w:p>
    <w:p w14:paraId="65F23B58" w14:textId="77777777" w:rsidR="00C55246" w:rsidRDefault="00C55246" w:rsidP="00C55246">
      <w:pPr>
        <w:keepNext/>
      </w:pPr>
      <m:oMathPara>
        <m:oMath>
          <m:r>
            <w:rPr>
              <w:rFonts w:ascii="Cambria Math" w:hAnsi="Cambria Math"/>
            </w:rPr>
            <m:t>%</m:t>
          </m:r>
          <m:f>
            <m:fPr>
              <m:ctrlPr>
                <w:rPr>
                  <w:rFonts w:ascii="Cambria Math" w:hAnsi="Cambria Math"/>
                  <w:i/>
                </w:rPr>
              </m:ctrlPr>
            </m:fPr>
            <m:num>
              <m:r>
                <w:rPr>
                  <w:rFonts w:ascii="Cambria Math" w:hAnsi="Cambria Math"/>
                </w:rPr>
                <m:t>w</m:t>
              </m:r>
            </m:num>
            <m:den>
              <m:r>
                <w:rPr>
                  <w:rFonts w:ascii="Cambria Math" w:hAnsi="Cambria Math"/>
                </w:rPr>
                <m:t>w</m:t>
              </m:r>
            </m:den>
          </m:f>
          <m:r>
            <w:rPr>
              <w:rFonts w:ascii="Cambria Math" w:hAnsi="Cambria Math"/>
            </w:rPr>
            <m:t>=100×</m:t>
          </m:r>
          <m:f>
            <m:fPr>
              <m:ctrlPr>
                <w:rPr>
                  <w:rFonts w:ascii="Cambria Math" w:hAnsi="Cambria Math"/>
                  <w:i/>
                </w:rPr>
              </m:ctrlPr>
            </m:fPr>
            <m:num>
              <m:r>
                <w:rPr>
                  <w:rFonts w:ascii="Cambria Math" w:hAnsi="Cambria Math"/>
                </w:rPr>
                <m:t>Analyte Concentration</m:t>
              </m:r>
            </m:num>
            <m:den>
              <m:r>
                <w:rPr>
                  <w:rFonts w:ascii="Cambria Math" w:hAnsi="Cambria Math"/>
                </w:rPr>
                <m:t>Sample Concentration</m:t>
              </m:r>
            </m:den>
          </m:f>
        </m:oMath>
      </m:oMathPara>
    </w:p>
    <w:p w14:paraId="1FDF71FD" w14:textId="5CB77056" w:rsidR="00C55246" w:rsidRDefault="00C55246" w:rsidP="00C55246">
      <w:pPr>
        <w:pStyle w:val="Caption"/>
      </w:pPr>
      <w:bookmarkStart w:id="28" w:name="_Toc165833291"/>
      <w:r>
        <w:t xml:space="preserve">Equation </w:t>
      </w:r>
      <w:r>
        <w:fldChar w:fldCharType="begin"/>
      </w:r>
      <w:r>
        <w:instrText xml:space="preserve"> SEQ Equation \* ARABIC </w:instrText>
      </w:r>
      <w:r>
        <w:fldChar w:fldCharType="separate"/>
      </w:r>
      <w:r>
        <w:rPr>
          <w:noProof/>
        </w:rPr>
        <w:t>5</w:t>
      </w:r>
      <w:r>
        <w:fldChar w:fldCharType="end"/>
      </w:r>
      <w:r>
        <w:t>: Calculation of the weight concentration from the analyte concentration</w:t>
      </w:r>
      <w:bookmarkEnd w:id="28"/>
    </w:p>
    <w:tbl>
      <w:tblPr>
        <w:tblW w:w="33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0"/>
        <w:gridCol w:w="1054"/>
        <w:gridCol w:w="1054"/>
      </w:tblGrid>
      <w:tr w:rsidR="00C55246" w:rsidRPr="00C55246" w14:paraId="0E04F181" w14:textId="77777777" w:rsidTr="00326F3E">
        <w:trPr>
          <w:trHeight w:val="288"/>
          <w:jc w:val="center"/>
        </w:trPr>
        <w:tc>
          <w:tcPr>
            <w:tcW w:w="1400" w:type="dxa"/>
            <w:shd w:val="clear" w:color="auto" w:fill="auto"/>
            <w:noWrap/>
            <w:vAlign w:val="bottom"/>
            <w:hideMark/>
          </w:tcPr>
          <w:p w14:paraId="3612B803" w14:textId="77777777" w:rsidR="00C55246" w:rsidRPr="00C55246" w:rsidRDefault="00C55246" w:rsidP="00C55246">
            <w:pPr>
              <w:spacing w:before="0" w:after="0" w:line="240" w:lineRule="auto"/>
              <w:rPr>
                <w:rFonts w:ascii="Times New Roman" w:eastAsia="Times New Roman" w:hAnsi="Times New Roman" w:cs="Times New Roman"/>
                <w:color w:val="auto"/>
                <w:sz w:val="24"/>
                <w:szCs w:val="24"/>
                <w:lang w:eastAsia="en-GB"/>
              </w:rPr>
            </w:pPr>
          </w:p>
        </w:tc>
        <w:tc>
          <w:tcPr>
            <w:tcW w:w="960" w:type="dxa"/>
            <w:shd w:val="clear" w:color="auto" w:fill="auto"/>
            <w:noWrap/>
            <w:vAlign w:val="bottom"/>
            <w:hideMark/>
          </w:tcPr>
          <w:p w14:paraId="072A1606" w14:textId="77777777" w:rsidR="00C55246" w:rsidRPr="00C55246" w:rsidRDefault="00C55246" w:rsidP="00C55246">
            <w:pPr>
              <w:spacing w:before="0" w:after="0" w:line="240" w:lineRule="auto"/>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Sample A</w:t>
            </w:r>
          </w:p>
        </w:tc>
        <w:tc>
          <w:tcPr>
            <w:tcW w:w="960" w:type="dxa"/>
            <w:shd w:val="clear" w:color="auto" w:fill="auto"/>
            <w:noWrap/>
            <w:vAlign w:val="bottom"/>
            <w:hideMark/>
          </w:tcPr>
          <w:p w14:paraId="749B89DE" w14:textId="77777777" w:rsidR="00C55246" w:rsidRPr="00C55246" w:rsidRDefault="00C55246" w:rsidP="00C55246">
            <w:pPr>
              <w:spacing w:before="0" w:after="0" w:line="240" w:lineRule="auto"/>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Sample B</w:t>
            </w:r>
          </w:p>
        </w:tc>
      </w:tr>
      <w:tr w:rsidR="00C55246" w:rsidRPr="00C55246" w14:paraId="4E1504E6" w14:textId="77777777" w:rsidTr="00326F3E">
        <w:trPr>
          <w:trHeight w:val="288"/>
          <w:jc w:val="center"/>
        </w:trPr>
        <w:tc>
          <w:tcPr>
            <w:tcW w:w="1400" w:type="dxa"/>
            <w:shd w:val="clear" w:color="auto" w:fill="auto"/>
            <w:noWrap/>
            <w:vAlign w:val="bottom"/>
            <w:hideMark/>
          </w:tcPr>
          <w:p w14:paraId="6EB18C0C" w14:textId="77777777" w:rsidR="00C55246" w:rsidRPr="00C55246" w:rsidRDefault="00C55246" w:rsidP="00C55246">
            <w:pPr>
              <w:spacing w:before="0" w:after="0" w:line="240" w:lineRule="auto"/>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Mass (g)</w:t>
            </w:r>
          </w:p>
        </w:tc>
        <w:tc>
          <w:tcPr>
            <w:tcW w:w="960" w:type="dxa"/>
            <w:shd w:val="clear" w:color="auto" w:fill="auto"/>
            <w:noWrap/>
            <w:vAlign w:val="bottom"/>
            <w:hideMark/>
          </w:tcPr>
          <w:p w14:paraId="2C568C51"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1.022</w:t>
            </w:r>
          </w:p>
        </w:tc>
        <w:tc>
          <w:tcPr>
            <w:tcW w:w="960" w:type="dxa"/>
            <w:shd w:val="clear" w:color="auto" w:fill="auto"/>
            <w:noWrap/>
            <w:vAlign w:val="bottom"/>
            <w:hideMark/>
          </w:tcPr>
          <w:p w14:paraId="0F51BEE5"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0.993</w:t>
            </w:r>
          </w:p>
        </w:tc>
      </w:tr>
      <w:tr w:rsidR="00C55246" w:rsidRPr="00C55246" w14:paraId="0B4C09E5" w14:textId="77777777" w:rsidTr="00326F3E">
        <w:trPr>
          <w:trHeight w:val="288"/>
          <w:jc w:val="center"/>
        </w:trPr>
        <w:tc>
          <w:tcPr>
            <w:tcW w:w="1400" w:type="dxa"/>
            <w:shd w:val="clear" w:color="auto" w:fill="auto"/>
            <w:noWrap/>
            <w:vAlign w:val="bottom"/>
            <w:hideMark/>
          </w:tcPr>
          <w:p w14:paraId="1769BDC1" w14:textId="77777777" w:rsidR="00C55246" w:rsidRPr="00C55246" w:rsidRDefault="00C55246" w:rsidP="00C55246">
            <w:pPr>
              <w:spacing w:before="0" w:after="0" w:line="240" w:lineRule="auto"/>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Volume (ml)</w:t>
            </w:r>
          </w:p>
        </w:tc>
        <w:tc>
          <w:tcPr>
            <w:tcW w:w="960" w:type="dxa"/>
            <w:shd w:val="clear" w:color="auto" w:fill="auto"/>
            <w:noWrap/>
            <w:vAlign w:val="bottom"/>
            <w:hideMark/>
          </w:tcPr>
          <w:p w14:paraId="4EA1528E"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250</w:t>
            </w:r>
          </w:p>
        </w:tc>
        <w:tc>
          <w:tcPr>
            <w:tcW w:w="960" w:type="dxa"/>
            <w:shd w:val="clear" w:color="auto" w:fill="auto"/>
            <w:noWrap/>
            <w:vAlign w:val="bottom"/>
            <w:hideMark/>
          </w:tcPr>
          <w:p w14:paraId="1DE8E954"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250</w:t>
            </w:r>
          </w:p>
        </w:tc>
      </w:tr>
      <w:tr w:rsidR="00C55246" w:rsidRPr="00C55246" w14:paraId="60C8A388" w14:textId="77777777" w:rsidTr="00326F3E">
        <w:trPr>
          <w:trHeight w:val="288"/>
          <w:jc w:val="center"/>
        </w:trPr>
        <w:tc>
          <w:tcPr>
            <w:tcW w:w="1400" w:type="dxa"/>
            <w:shd w:val="clear" w:color="auto" w:fill="auto"/>
            <w:noWrap/>
            <w:vAlign w:val="bottom"/>
            <w:hideMark/>
          </w:tcPr>
          <w:p w14:paraId="7F244984" w14:textId="77777777" w:rsidR="00C55246" w:rsidRPr="00C55246" w:rsidRDefault="00C55246" w:rsidP="00C55246">
            <w:pPr>
              <w:spacing w:before="0" w:after="0" w:line="240" w:lineRule="auto"/>
              <w:rPr>
                <w:rFonts w:ascii="Aptos Narrow" w:eastAsia="Times New Roman" w:hAnsi="Aptos Narrow" w:cs="Times New Roman"/>
                <w:color w:val="000000"/>
                <w:lang w:eastAsia="en-GB"/>
              </w:rPr>
            </w:pPr>
            <w:proofErr w:type="spellStart"/>
            <w:r w:rsidRPr="00C55246">
              <w:rPr>
                <w:rFonts w:ascii="Aptos Narrow" w:eastAsia="Times New Roman" w:hAnsi="Aptos Narrow" w:cs="Times New Roman"/>
                <w:color w:val="000000"/>
                <w:lang w:eastAsia="en-GB"/>
              </w:rPr>
              <w:t>Conc</w:t>
            </w:r>
            <w:proofErr w:type="spellEnd"/>
            <w:r w:rsidRPr="00C55246">
              <w:rPr>
                <w:rFonts w:ascii="Aptos Narrow" w:eastAsia="Times New Roman" w:hAnsi="Aptos Narrow" w:cs="Times New Roman"/>
                <w:color w:val="000000"/>
                <w:lang w:eastAsia="en-GB"/>
              </w:rPr>
              <w:t xml:space="preserve"> (ng/</w:t>
            </w:r>
            <w:proofErr w:type="spellStart"/>
            <w:r w:rsidRPr="00C55246">
              <w:rPr>
                <w:rFonts w:ascii="Aptos Narrow" w:eastAsia="Times New Roman" w:hAnsi="Aptos Narrow" w:cs="Times New Roman"/>
                <w:color w:val="000000"/>
                <w:lang w:eastAsia="en-GB"/>
              </w:rPr>
              <w:t>ul</w:t>
            </w:r>
            <w:proofErr w:type="spellEnd"/>
            <w:r w:rsidRPr="00C55246">
              <w:rPr>
                <w:rFonts w:ascii="Aptos Narrow" w:eastAsia="Times New Roman" w:hAnsi="Aptos Narrow" w:cs="Times New Roman"/>
                <w:color w:val="000000"/>
                <w:lang w:eastAsia="en-GB"/>
              </w:rPr>
              <w:t>)</w:t>
            </w:r>
          </w:p>
        </w:tc>
        <w:tc>
          <w:tcPr>
            <w:tcW w:w="960" w:type="dxa"/>
            <w:shd w:val="clear" w:color="auto" w:fill="auto"/>
            <w:noWrap/>
            <w:vAlign w:val="bottom"/>
            <w:hideMark/>
          </w:tcPr>
          <w:p w14:paraId="2E25370E"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4.088</w:t>
            </w:r>
          </w:p>
        </w:tc>
        <w:tc>
          <w:tcPr>
            <w:tcW w:w="960" w:type="dxa"/>
            <w:shd w:val="clear" w:color="auto" w:fill="auto"/>
            <w:noWrap/>
            <w:vAlign w:val="bottom"/>
            <w:hideMark/>
          </w:tcPr>
          <w:p w14:paraId="64BDCF5A"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3.972</w:t>
            </w:r>
          </w:p>
        </w:tc>
      </w:tr>
      <w:tr w:rsidR="00C55246" w:rsidRPr="00C55246" w14:paraId="1D06A397" w14:textId="77777777" w:rsidTr="00326F3E">
        <w:trPr>
          <w:trHeight w:val="288"/>
          <w:jc w:val="center"/>
        </w:trPr>
        <w:tc>
          <w:tcPr>
            <w:tcW w:w="1400" w:type="dxa"/>
            <w:shd w:val="clear" w:color="auto" w:fill="auto"/>
            <w:noWrap/>
            <w:vAlign w:val="bottom"/>
            <w:hideMark/>
          </w:tcPr>
          <w:p w14:paraId="0C369192" w14:textId="77777777" w:rsidR="00C55246" w:rsidRPr="00C55246" w:rsidRDefault="00C55246" w:rsidP="00C55246">
            <w:pPr>
              <w:spacing w:before="0" w:after="0" w:line="240" w:lineRule="auto"/>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Peak Area</w:t>
            </w:r>
          </w:p>
        </w:tc>
        <w:tc>
          <w:tcPr>
            <w:tcW w:w="960" w:type="dxa"/>
            <w:shd w:val="clear" w:color="auto" w:fill="auto"/>
            <w:noWrap/>
            <w:vAlign w:val="bottom"/>
            <w:hideMark/>
          </w:tcPr>
          <w:p w14:paraId="247B3681"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502700</w:t>
            </w:r>
          </w:p>
        </w:tc>
        <w:tc>
          <w:tcPr>
            <w:tcW w:w="960" w:type="dxa"/>
            <w:shd w:val="clear" w:color="auto" w:fill="auto"/>
            <w:noWrap/>
            <w:vAlign w:val="bottom"/>
            <w:hideMark/>
          </w:tcPr>
          <w:p w14:paraId="25E6A9A3"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490070</w:t>
            </w:r>
          </w:p>
        </w:tc>
      </w:tr>
      <w:tr w:rsidR="00C55246" w:rsidRPr="00C55246" w14:paraId="6DC1576E" w14:textId="77777777" w:rsidTr="00326F3E">
        <w:trPr>
          <w:trHeight w:val="288"/>
          <w:jc w:val="center"/>
        </w:trPr>
        <w:tc>
          <w:tcPr>
            <w:tcW w:w="1400" w:type="dxa"/>
            <w:shd w:val="clear" w:color="auto" w:fill="auto"/>
            <w:noWrap/>
            <w:vAlign w:val="bottom"/>
            <w:hideMark/>
          </w:tcPr>
          <w:p w14:paraId="22BE9560" w14:textId="77777777" w:rsidR="00C55246" w:rsidRPr="00C55246" w:rsidRDefault="00C55246" w:rsidP="00C55246">
            <w:pPr>
              <w:spacing w:before="0" w:after="0" w:line="240" w:lineRule="auto"/>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Analyte Conc.</w:t>
            </w:r>
          </w:p>
        </w:tc>
        <w:tc>
          <w:tcPr>
            <w:tcW w:w="960" w:type="dxa"/>
            <w:shd w:val="clear" w:color="auto" w:fill="auto"/>
            <w:noWrap/>
            <w:vAlign w:val="bottom"/>
            <w:hideMark/>
          </w:tcPr>
          <w:p w14:paraId="04753C3A"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2.452834</w:t>
            </w:r>
          </w:p>
        </w:tc>
        <w:tc>
          <w:tcPr>
            <w:tcW w:w="960" w:type="dxa"/>
            <w:shd w:val="clear" w:color="auto" w:fill="auto"/>
            <w:noWrap/>
            <w:vAlign w:val="bottom"/>
            <w:hideMark/>
          </w:tcPr>
          <w:p w14:paraId="209420F7"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2.391212</w:t>
            </w:r>
          </w:p>
        </w:tc>
      </w:tr>
      <w:tr w:rsidR="00C55246" w:rsidRPr="00C55246" w14:paraId="008BC3F8" w14:textId="77777777" w:rsidTr="00326F3E">
        <w:trPr>
          <w:trHeight w:val="288"/>
          <w:jc w:val="center"/>
        </w:trPr>
        <w:tc>
          <w:tcPr>
            <w:tcW w:w="1400" w:type="dxa"/>
            <w:shd w:val="clear" w:color="auto" w:fill="auto"/>
            <w:noWrap/>
            <w:vAlign w:val="bottom"/>
            <w:hideMark/>
          </w:tcPr>
          <w:p w14:paraId="2D43FD8A" w14:textId="77777777" w:rsidR="00C55246" w:rsidRPr="00C55246" w:rsidRDefault="00C55246" w:rsidP="00C55246">
            <w:pPr>
              <w:spacing w:before="0" w:after="0" w:line="240" w:lineRule="auto"/>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%w/w</w:t>
            </w:r>
          </w:p>
        </w:tc>
        <w:tc>
          <w:tcPr>
            <w:tcW w:w="960" w:type="dxa"/>
            <w:shd w:val="clear" w:color="auto" w:fill="auto"/>
            <w:noWrap/>
            <w:vAlign w:val="bottom"/>
            <w:hideMark/>
          </w:tcPr>
          <w:p w14:paraId="2462643C" w14:textId="77777777" w:rsidR="00C55246" w:rsidRPr="00C55246" w:rsidRDefault="00C55246" w:rsidP="00C55246">
            <w:pPr>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60.00084</w:t>
            </w:r>
          </w:p>
        </w:tc>
        <w:tc>
          <w:tcPr>
            <w:tcW w:w="960" w:type="dxa"/>
            <w:shd w:val="clear" w:color="auto" w:fill="auto"/>
            <w:noWrap/>
            <w:vAlign w:val="bottom"/>
            <w:hideMark/>
          </w:tcPr>
          <w:p w14:paraId="6DAC281D" w14:textId="77777777" w:rsidR="00C55246" w:rsidRPr="00C55246" w:rsidRDefault="00C55246" w:rsidP="00C55246">
            <w:pPr>
              <w:keepNext/>
              <w:spacing w:before="0" w:after="0" w:line="240" w:lineRule="auto"/>
              <w:jc w:val="right"/>
              <w:rPr>
                <w:rFonts w:ascii="Aptos Narrow" w:eastAsia="Times New Roman" w:hAnsi="Aptos Narrow" w:cs="Times New Roman"/>
                <w:color w:val="000000"/>
                <w:lang w:eastAsia="en-GB"/>
              </w:rPr>
            </w:pPr>
            <w:r w:rsidRPr="00C55246">
              <w:rPr>
                <w:rFonts w:ascii="Aptos Narrow" w:eastAsia="Times New Roman" w:hAnsi="Aptos Narrow" w:cs="Times New Roman"/>
                <w:color w:val="000000"/>
                <w:lang w:eastAsia="en-GB"/>
              </w:rPr>
              <w:t>60.2017</w:t>
            </w:r>
          </w:p>
        </w:tc>
      </w:tr>
    </w:tbl>
    <w:p w14:paraId="118D2C05" w14:textId="631821F0" w:rsidR="00C55246" w:rsidRDefault="00C55246" w:rsidP="00C55246">
      <w:pPr>
        <w:pStyle w:val="Caption"/>
        <w:jc w:val="center"/>
      </w:pPr>
      <w:bookmarkStart w:id="29" w:name="_Toc165833275"/>
      <w:r>
        <w:t xml:space="preserve">Table </w:t>
      </w:r>
      <w:r>
        <w:fldChar w:fldCharType="begin"/>
      </w:r>
      <w:r>
        <w:instrText xml:space="preserve"> SEQ Table \* ARABIC </w:instrText>
      </w:r>
      <w:r>
        <w:fldChar w:fldCharType="separate"/>
      </w:r>
      <w:r w:rsidR="00326F3E">
        <w:rPr>
          <w:noProof/>
        </w:rPr>
        <w:t>2</w:t>
      </w:r>
      <w:r>
        <w:fldChar w:fldCharType="end"/>
      </w:r>
      <w:r>
        <w:t>: Example results table for two arbitrary samples.</w:t>
      </w:r>
      <w:bookmarkEnd w:id="29"/>
    </w:p>
    <w:p w14:paraId="5C78D462" w14:textId="72107836" w:rsidR="00C55246" w:rsidRDefault="00326F3E" w:rsidP="00326F3E">
      <w:pPr>
        <w:pStyle w:val="Heading4"/>
      </w:pPr>
      <w:r>
        <w:t>2.5.8 Expected Results</w:t>
      </w:r>
    </w:p>
    <w:p w14:paraId="4F00087D" w14:textId="3DD09828" w:rsidR="00326F3E" w:rsidRDefault="00326F3E" w:rsidP="00326F3E">
      <w:r>
        <w:t>The table below shows the expected results of the testing.</w:t>
      </w:r>
    </w:p>
    <w:tbl>
      <w:tblPr>
        <w:tblStyle w:val="TableGrid"/>
        <w:tblW w:w="0" w:type="auto"/>
        <w:tblLook w:val="04A0" w:firstRow="1" w:lastRow="0" w:firstColumn="1" w:lastColumn="0" w:noHBand="0" w:noVBand="1"/>
      </w:tblPr>
      <w:tblGrid>
        <w:gridCol w:w="4148"/>
        <w:gridCol w:w="4148"/>
      </w:tblGrid>
      <w:tr w:rsidR="00326F3E" w14:paraId="5013890B" w14:textId="77777777" w:rsidTr="00326F3E">
        <w:tc>
          <w:tcPr>
            <w:tcW w:w="4148" w:type="dxa"/>
          </w:tcPr>
          <w:p w14:paraId="3E6FA313" w14:textId="198ECAB5" w:rsidR="00326F3E" w:rsidRDefault="00326F3E" w:rsidP="00326F3E">
            <w:r>
              <w:t>Test</w:t>
            </w:r>
          </w:p>
        </w:tc>
        <w:tc>
          <w:tcPr>
            <w:tcW w:w="4148" w:type="dxa"/>
          </w:tcPr>
          <w:p w14:paraId="5BCFDB0E" w14:textId="4AE568C0" w:rsidR="00326F3E" w:rsidRDefault="00326F3E" w:rsidP="00326F3E">
            <w:r>
              <w:t>Expected Result</w:t>
            </w:r>
          </w:p>
        </w:tc>
      </w:tr>
      <w:tr w:rsidR="00326F3E" w14:paraId="0FB8B07F" w14:textId="77777777" w:rsidTr="00326F3E">
        <w:tc>
          <w:tcPr>
            <w:tcW w:w="4148" w:type="dxa"/>
          </w:tcPr>
          <w:p w14:paraId="187D467C" w14:textId="16FD3879" w:rsidR="00326F3E" w:rsidRDefault="00326F3E" w:rsidP="00326F3E">
            <w:r>
              <w:t>Small Scale Hazard Testing</w:t>
            </w:r>
          </w:p>
        </w:tc>
        <w:tc>
          <w:tcPr>
            <w:tcW w:w="4148" w:type="dxa"/>
          </w:tcPr>
          <w:p w14:paraId="1905D492" w14:textId="0034661F" w:rsidR="00326F3E" w:rsidRDefault="00326F3E" w:rsidP="00326F3E">
            <w:r>
              <w:t>Aged Samples give the same result as unaged samples</w:t>
            </w:r>
          </w:p>
        </w:tc>
      </w:tr>
      <w:tr w:rsidR="00326F3E" w14:paraId="601F9710" w14:textId="77777777" w:rsidTr="00326F3E">
        <w:tc>
          <w:tcPr>
            <w:tcW w:w="4148" w:type="dxa"/>
          </w:tcPr>
          <w:p w14:paraId="3B57A83E" w14:textId="3074DAD3" w:rsidR="00326F3E" w:rsidRDefault="00326F3E" w:rsidP="00326F3E">
            <w:r>
              <w:t>Qualitative Analysis</w:t>
            </w:r>
          </w:p>
        </w:tc>
        <w:tc>
          <w:tcPr>
            <w:tcW w:w="4148" w:type="dxa"/>
          </w:tcPr>
          <w:p w14:paraId="2CDE1D87" w14:textId="6FF914CB" w:rsidR="00326F3E" w:rsidRDefault="00326F3E" w:rsidP="00326F3E">
            <w:r>
              <w:t>All samples indicate presence of HMX, RDX, and targeted inert components</w:t>
            </w:r>
          </w:p>
        </w:tc>
      </w:tr>
      <w:tr w:rsidR="00326F3E" w14:paraId="77495E8F" w14:textId="77777777" w:rsidTr="00326F3E">
        <w:tc>
          <w:tcPr>
            <w:tcW w:w="4148" w:type="dxa"/>
          </w:tcPr>
          <w:p w14:paraId="36F3248B" w14:textId="498CD370" w:rsidR="00326F3E" w:rsidRDefault="00326F3E" w:rsidP="00326F3E">
            <w:r>
              <w:t>Quantitative Analysis</w:t>
            </w:r>
          </w:p>
        </w:tc>
        <w:tc>
          <w:tcPr>
            <w:tcW w:w="4148" w:type="dxa"/>
          </w:tcPr>
          <w:p w14:paraId="28CDB945" w14:textId="598EAAE6" w:rsidR="00326F3E" w:rsidRDefault="00326F3E" w:rsidP="00326F3E">
            <w:pPr>
              <w:keepNext/>
            </w:pPr>
            <w:r>
              <w:t>54-55.8% RDX, 36-37.2% HMX, Key inert components add up to approximately 10%</w:t>
            </w:r>
          </w:p>
        </w:tc>
      </w:tr>
    </w:tbl>
    <w:p w14:paraId="2B371E63" w14:textId="2CA18EF5" w:rsidR="00326F3E" w:rsidRDefault="00326F3E" w:rsidP="00326F3E">
      <w:pPr>
        <w:pStyle w:val="Caption"/>
      </w:pPr>
      <w:bookmarkStart w:id="30" w:name="_Toc165833276"/>
      <w:r>
        <w:t xml:space="preserve">Table </w:t>
      </w:r>
      <w:r>
        <w:fldChar w:fldCharType="begin"/>
      </w:r>
      <w:r>
        <w:instrText xml:space="preserve"> SEQ Table \* ARABIC </w:instrText>
      </w:r>
      <w:r>
        <w:fldChar w:fldCharType="separate"/>
      </w:r>
      <w:r>
        <w:rPr>
          <w:noProof/>
        </w:rPr>
        <w:t>3</w:t>
      </w:r>
      <w:r>
        <w:fldChar w:fldCharType="end"/>
      </w:r>
      <w:r>
        <w:t>: Expected results of SSHT and Chemical Testing</w:t>
      </w:r>
      <w:bookmarkEnd w:id="30"/>
    </w:p>
    <w:p w14:paraId="188531EE" w14:textId="545F7D8B" w:rsidR="00326F3E" w:rsidRDefault="00326F3E" w:rsidP="00326F3E">
      <w:r>
        <w:t>If any of the results vary from those given above, it will be necessary to conduct additional testing and investigations to identify the cause of this deviation, and derive mitigations to make the composition safer before entry to service.</w:t>
      </w:r>
    </w:p>
    <w:p w14:paraId="79409AD5" w14:textId="77777777" w:rsidR="00326F3E" w:rsidRDefault="00326F3E" w:rsidP="00326F3E"/>
    <w:p w14:paraId="6DC4D146" w14:textId="77777777" w:rsidR="00326F3E" w:rsidRDefault="00326F3E" w:rsidP="00326F3E"/>
    <w:p w14:paraId="5A980B77" w14:textId="7DFD4FE2" w:rsidR="00326F3E" w:rsidRDefault="00326F3E" w:rsidP="00326F3E">
      <w:pPr>
        <w:pStyle w:val="Heading1"/>
        <w:numPr>
          <w:ilvl w:val="0"/>
          <w:numId w:val="16"/>
        </w:numPr>
      </w:pPr>
      <w:bookmarkStart w:id="31" w:name="_Toc165833491"/>
      <w:r>
        <w:lastRenderedPageBreak/>
        <w:t>Outcomes and Conclusions</w:t>
      </w:r>
      <w:bookmarkEnd w:id="31"/>
    </w:p>
    <w:p w14:paraId="7DBA7F33" w14:textId="5362BC9B" w:rsidR="002D4E11" w:rsidRDefault="002D4E11" w:rsidP="002D4E11">
      <w:pPr>
        <w:pStyle w:val="Heading3"/>
        <w:numPr>
          <w:ilvl w:val="1"/>
          <w:numId w:val="16"/>
        </w:numPr>
      </w:pPr>
      <w:bookmarkStart w:id="32" w:name="_Toc165833492"/>
      <w:r>
        <w:t>Meetings</w:t>
      </w:r>
      <w:bookmarkEnd w:id="32"/>
    </w:p>
    <w:p w14:paraId="243233C7" w14:textId="2DB74582" w:rsidR="002D4E11" w:rsidRPr="002D4E11" w:rsidRDefault="002D4E11" w:rsidP="002D4E11">
      <w:r>
        <w:t xml:space="preserve">Throughout the design process, the team regularly met using Microsoft Teams to discuss progress and opportunities for collaboration between individual capabilities. Examples of outcomes from these meetings include discussions on the most appropriate choice of material for the overpack crate discussed in Section 2.2, and the identification of the need for Chemical Analysis to be carried out on </w:t>
      </w:r>
      <w:r w:rsidR="00496710">
        <w:t>samples from munitions subjected to non-sequential testing.</w:t>
      </w:r>
    </w:p>
    <w:p w14:paraId="546D250A" w14:textId="57D8B68B" w:rsidR="00326F3E" w:rsidRDefault="002D4E11" w:rsidP="002D4E11">
      <w:pPr>
        <w:pStyle w:val="Heading3"/>
      </w:pPr>
      <w:bookmarkStart w:id="33" w:name="_Toc165833493"/>
      <w:r>
        <w:t xml:space="preserve">3.2 </w:t>
      </w:r>
      <w:r w:rsidR="00326F3E">
        <w:t>Design Review</w:t>
      </w:r>
      <w:bookmarkEnd w:id="33"/>
    </w:p>
    <w:p w14:paraId="7EA06C50" w14:textId="5E16A9CB" w:rsidR="00326F3E" w:rsidRDefault="00326F3E" w:rsidP="00326F3E">
      <w:r>
        <w:t>As the design developed, the design team met with staff to present the state of their design for review and feedback</w:t>
      </w:r>
      <w:r w:rsidR="002D4E11">
        <w:t>. The status of the design was presented and the decision to pursue Swans-Ex24 in place of Taw-Ex22 was explained. The design was considered to be suitable to continue</w:t>
      </w:r>
      <w:sdt>
        <w:sdtPr>
          <w:id w:val="1312601902"/>
          <w:citation/>
        </w:sdtPr>
        <w:sdtContent>
          <w:r w:rsidR="002D4E11">
            <w:fldChar w:fldCharType="begin"/>
          </w:r>
          <w:r w:rsidR="002D4E11">
            <w:instrText xml:space="preserve"> CITATION Mal24 \l 2057 </w:instrText>
          </w:r>
          <w:r w:rsidR="002D4E11">
            <w:fldChar w:fldCharType="separate"/>
          </w:r>
          <w:r w:rsidR="00082702">
            <w:rPr>
              <w:noProof/>
            </w:rPr>
            <w:t xml:space="preserve"> </w:t>
          </w:r>
          <w:r w:rsidR="00082702" w:rsidRPr="00082702">
            <w:rPr>
              <w:noProof/>
            </w:rPr>
            <w:t>[12]</w:t>
          </w:r>
          <w:r w:rsidR="002D4E11">
            <w:fldChar w:fldCharType="end"/>
          </w:r>
        </w:sdtContent>
      </w:sdt>
    </w:p>
    <w:p w14:paraId="6F007A54" w14:textId="026EEB61" w:rsidR="00496710" w:rsidRDefault="00496710" w:rsidP="00496710">
      <w:pPr>
        <w:pStyle w:val="Heading3"/>
        <w:numPr>
          <w:ilvl w:val="1"/>
          <w:numId w:val="16"/>
        </w:numPr>
      </w:pPr>
      <w:bookmarkStart w:id="34" w:name="_Toc165833494"/>
      <w:r>
        <w:t>Presentation</w:t>
      </w:r>
      <w:bookmarkEnd w:id="34"/>
    </w:p>
    <w:p w14:paraId="19F90CDB" w14:textId="4174E479" w:rsidR="00496710" w:rsidRDefault="00496710" w:rsidP="00496710">
      <w:r>
        <w:t xml:space="preserve">The design team gave a presentation to a panel of reviewers to present the overall design and the process followed to reach it. Overall the presentation was deemed to be of good quality and to effectively convey the design </w:t>
      </w:r>
      <w:sdt>
        <w:sdtPr>
          <w:id w:val="-93403310"/>
          <w:citation/>
        </w:sdtPr>
        <w:sdtContent>
          <w:r>
            <w:fldChar w:fldCharType="begin"/>
          </w:r>
          <w:r>
            <w:instrText xml:space="preserve"> CITATION Col24 \l 2057 </w:instrText>
          </w:r>
          <w:r>
            <w:fldChar w:fldCharType="separate"/>
          </w:r>
          <w:r w:rsidR="00082702" w:rsidRPr="00082702">
            <w:rPr>
              <w:noProof/>
            </w:rPr>
            <w:t>[13]</w:t>
          </w:r>
          <w:r>
            <w:fldChar w:fldCharType="end"/>
          </w:r>
        </w:sdtContent>
      </w:sdt>
      <w:r>
        <w:t>. At the end of the presentation a number of questions were raised and areas of further study were identified from them. It was suggested that the team further pursue the safety case for the munition, including the UN Hazard Classification, as well as further pursuing the chemical analysis with specific focus on the binders and stabilisers as these are the most likely components to cause increased risk in the event of degradation.</w:t>
      </w:r>
    </w:p>
    <w:p w14:paraId="13C473E9" w14:textId="43474CFB" w:rsidR="00496710" w:rsidRDefault="00496710" w:rsidP="00496710">
      <w:pPr>
        <w:pStyle w:val="Heading3"/>
        <w:numPr>
          <w:ilvl w:val="1"/>
          <w:numId w:val="16"/>
        </w:numPr>
      </w:pPr>
      <w:bookmarkStart w:id="35" w:name="_Toc165833495"/>
      <w:r>
        <w:t>Conclusions</w:t>
      </w:r>
      <w:bookmarkEnd w:id="35"/>
      <w:r>
        <w:tab/>
      </w:r>
    </w:p>
    <w:p w14:paraId="446DCC66" w14:textId="515C3253" w:rsidR="00496710" w:rsidRDefault="00496710" w:rsidP="00496710">
      <w:r>
        <w:t>Overall, the design team believes that the design produced will likely be suitable for service, provided it passes the tests laid out in this report. To further secure this success, the team will continue pursuing Hazard Classification, further clarity on the binder properties, as well as suitability for the full range of operational environments including potential maritime transport.</w:t>
      </w:r>
    </w:p>
    <w:p w14:paraId="2976E09F" w14:textId="77777777" w:rsidR="00496710" w:rsidRDefault="00496710" w:rsidP="00496710"/>
    <w:p w14:paraId="59CF4AA5" w14:textId="77777777" w:rsidR="00496710" w:rsidRDefault="00496710" w:rsidP="00496710"/>
    <w:p w14:paraId="4EE6ACC0" w14:textId="77777777" w:rsidR="00496710" w:rsidRDefault="00496710" w:rsidP="00496710"/>
    <w:p w14:paraId="3BEF61BE" w14:textId="77777777" w:rsidR="00496710" w:rsidRDefault="00496710" w:rsidP="00496710"/>
    <w:p w14:paraId="40AB5F77" w14:textId="77777777" w:rsidR="00496710" w:rsidRDefault="00496710" w:rsidP="00496710"/>
    <w:p w14:paraId="2F52D48D" w14:textId="77777777" w:rsidR="00496710" w:rsidRDefault="00496710" w:rsidP="00496710"/>
    <w:p w14:paraId="77E8EC03" w14:textId="77777777" w:rsidR="00496710" w:rsidRDefault="00496710" w:rsidP="00496710"/>
    <w:p w14:paraId="42F902E8" w14:textId="77777777" w:rsidR="00496710" w:rsidRDefault="00496710" w:rsidP="00496710"/>
    <w:bookmarkStart w:id="36" w:name="_Toc165833496" w:displacedByCustomXml="next"/>
    <w:sdt>
      <w:sdtPr>
        <w:id w:val="-473377019"/>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2359DF7C" w14:textId="61DCE25B" w:rsidR="00496710" w:rsidRDefault="00496710">
          <w:pPr>
            <w:pStyle w:val="Heading1"/>
          </w:pPr>
          <w:r>
            <w:t>References</w:t>
          </w:r>
          <w:bookmarkEnd w:id="36"/>
        </w:p>
        <w:sdt>
          <w:sdtPr>
            <w:id w:val="-573587230"/>
            <w:bibliography/>
          </w:sdtPr>
          <w:sdtContent>
            <w:p w14:paraId="11F082E5" w14:textId="77777777" w:rsidR="00082702" w:rsidRDefault="00496710">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008"/>
              </w:tblGrid>
              <w:tr w:rsidR="00082702" w14:paraId="5888B593" w14:textId="77777777">
                <w:trPr>
                  <w:divId w:val="182911430"/>
                  <w:tblCellSpacing w:w="15" w:type="dxa"/>
                </w:trPr>
                <w:tc>
                  <w:tcPr>
                    <w:tcW w:w="50" w:type="pct"/>
                    <w:hideMark/>
                  </w:tcPr>
                  <w:p w14:paraId="11C6E4FA" w14:textId="36FFE492" w:rsidR="00082702" w:rsidRDefault="00082702">
                    <w:pPr>
                      <w:pStyle w:val="Bibliography"/>
                      <w:rPr>
                        <w:noProof/>
                        <w:sz w:val="24"/>
                        <w:szCs w:val="24"/>
                      </w:rPr>
                    </w:pPr>
                    <w:r>
                      <w:rPr>
                        <w:noProof/>
                      </w:rPr>
                      <w:t xml:space="preserve">[1] </w:t>
                    </w:r>
                  </w:p>
                </w:tc>
                <w:tc>
                  <w:tcPr>
                    <w:tcW w:w="0" w:type="auto"/>
                    <w:hideMark/>
                  </w:tcPr>
                  <w:p w14:paraId="164B0EEF" w14:textId="77777777" w:rsidR="00082702" w:rsidRDefault="00082702">
                    <w:pPr>
                      <w:pStyle w:val="Bibliography"/>
                      <w:rPr>
                        <w:noProof/>
                      </w:rPr>
                    </w:pPr>
                    <w:r>
                      <w:rPr>
                        <w:noProof/>
                      </w:rPr>
                      <w:t xml:space="preserve">S. McAngus, Swansea: UWTSD, 2024. </w:t>
                    </w:r>
                  </w:p>
                </w:tc>
              </w:tr>
              <w:tr w:rsidR="00082702" w14:paraId="435D70E9" w14:textId="77777777">
                <w:trPr>
                  <w:divId w:val="182911430"/>
                  <w:tblCellSpacing w:w="15" w:type="dxa"/>
                </w:trPr>
                <w:tc>
                  <w:tcPr>
                    <w:tcW w:w="50" w:type="pct"/>
                    <w:hideMark/>
                  </w:tcPr>
                  <w:p w14:paraId="0FAA9E93" w14:textId="77777777" w:rsidR="00082702" w:rsidRDefault="00082702">
                    <w:pPr>
                      <w:pStyle w:val="Bibliography"/>
                      <w:rPr>
                        <w:noProof/>
                      </w:rPr>
                    </w:pPr>
                    <w:r>
                      <w:rPr>
                        <w:noProof/>
                      </w:rPr>
                      <w:t xml:space="preserve">[2] </w:t>
                    </w:r>
                  </w:p>
                </w:tc>
                <w:tc>
                  <w:tcPr>
                    <w:tcW w:w="0" w:type="auto"/>
                    <w:hideMark/>
                  </w:tcPr>
                  <w:p w14:paraId="1F921C89" w14:textId="77777777" w:rsidR="00082702" w:rsidRDefault="00082702">
                    <w:pPr>
                      <w:pStyle w:val="Bibliography"/>
                      <w:rPr>
                        <w:noProof/>
                      </w:rPr>
                    </w:pPr>
                    <w:r>
                      <w:rPr>
                        <w:noProof/>
                      </w:rPr>
                      <w:t>Defence&amp;Security Systems International , “Shaped Charges — Rapid Crater Kits,” Defence&amp;Security Systems International , 2 July 2021. [Online]. Available: https://www.defence-and-security.com/news/newsshaped-charges-rapid-crater-kits-8866488. [Accessed May 2024].</w:t>
                    </w:r>
                  </w:p>
                </w:tc>
              </w:tr>
              <w:tr w:rsidR="00082702" w14:paraId="560AE223" w14:textId="77777777">
                <w:trPr>
                  <w:divId w:val="182911430"/>
                  <w:tblCellSpacing w:w="15" w:type="dxa"/>
                </w:trPr>
                <w:tc>
                  <w:tcPr>
                    <w:tcW w:w="50" w:type="pct"/>
                    <w:hideMark/>
                  </w:tcPr>
                  <w:p w14:paraId="72C17CDF" w14:textId="77777777" w:rsidR="00082702" w:rsidRDefault="00082702">
                    <w:pPr>
                      <w:pStyle w:val="Bibliography"/>
                      <w:rPr>
                        <w:noProof/>
                      </w:rPr>
                    </w:pPr>
                    <w:r>
                      <w:rPr>
                        <w:noProof/>
                      </w:rPr>
                      <w:t xml:space="preserve">[3] </w:t>
                    </w:r>
                  </w:p>
                </w:tc>
                <w:tc>
                  <w:tcPr>
                    <w:tcW w:w="0" w:type="auto"/>
                    <w:hideMark/>
                  </w:tcPr>
                  <w:p w14:paraId="03E07C3D" w14:textId="77777777" w:rsidR="00082702" w:rsidRDefault="00082702">
                    <w:pPr>
                      <w:pStyle w:val="Bibliography"/>
                      <w:rPr>
                        <w:noProof/>
                      </w:rPr>
                    </w:pPr>
                    <w:r>
                      <w:rPr>
                        <w:noProof/>
                      </w:rPr>
                      <w:t xml:space="preserve">D. Holley and J. Steen, </w:t>
                    </w:r>
                    <w:r>
                      <w:rPr>
                        <w:i/>
                        <w:iCs/>
                        <w:noProof/>
                      </w:rPr>
                      <w:t xml:space="preserve">BEng Group Project 2024, Digging a Hole...Very Quickly, </w:t>
                    </w:r>
                    <w:r>
                      <w:rPr>
                        <w:noProof/>
                      </w:rPr>
                      <w:t xml:space="preserve">Swansea: UWTSD, 2024. </w:t>
                    </w:r>
                  </w:p>
                </w:tc>
              </w:tr>
              <w:tr w:rsidR="00082702" w14:paraId="079DC1CF" w14:textId="77777777">
                <w:trPr>
                  <w:divId w:val="182911430"/>
                  <w:tblCellSpacing w:w="15" w:type="dxa"/>
                </w:trPr>
                <w:tc>
                  <w:tcPr>
                    <w:tcW w:w="50" w:type="pct"/>
                    <w:hideMark/>
                  </w:tcPr>
                  <w:p w14:paraId="7A923878" w14:textId="77777777" w:rsidR="00082702" w:rsidRDefault="00082702">
                    <w:pPr>
                      <w:pStyle w:val="Bibliography"/>
                      <w:rPr>
                        <w:noProof/>
                      </w:rPr>
                    </w:pPr>
                    <w:r>
                      <w:rPr>
                        <w:noProof/>
                      </w:rPr>
                      <w:t xml:space="preserve">[4] </w:t>
                    </w:r>
                  </w:p>
                </w:tc>
                <w:tc>
                  <w:tcPr>
                    <w:tcW w:w="0" w:type="auto"/>
                    <w:hideMark/>
                  </w:tcPr>
                  <w:p w14:paraId="568D590A" w14:textId="77777777" w:rsidR="00082702" w:rsidRDefault="00082702">
                    <w:pPr>
                      <w:pStyle w:val="Bibliography"/>
                      <w:rPr>
                        <w:noProof/>
                      </w:rPr>
                    </w:pPr>
                    <w:r>
                      <w:rPr>
                        <w:noProof/>
                      </w:rPr>
                      <w:t xml:space="preserve">S. G. Blevins, N. Coplin, M. Fisher, L. Malcolm and M. Stephen, </w:t>
                    </w:r>
                    <w:r>
                      <w:rPr>
                        <w:i/>
                        <w:iCs/>
                        <w:noProof/>
                      </w:rPr>
                      <w:t xml:space="preserve">Design Process of a New Cratering Charge, </w:t>
                    </w:r>
                    <w:r>
                      <w:rPr>
                        <w:noProof/>
                      </w:rPr>
                      <w:t xml:space="preserve">Swansea: UWTSD, 2024. </w:t>
                    </w:r>
                  </w:p>
                </w:tc>
              </w:tr>
              <w:tr w:rsidR="00082702" w14:paraId="79340046" w14:textId="77777777">
                <w:trPr>
                  <w:divId w:val="182911430"/>
                  <w:tblCellSpacing w:w="15" w:type="dxa"/>
                </w:trPr>
                <w:tc>
                  <w:tcPr>
                    <w:tcW w:w="50" w:type="pct"/>
                    <w:hideMark/>
                  </w:tcPr>
                  <w:p w14:paraId="4A20C843" w14:textId="77777777" w:rsidR="00082702" w:rsidRDefault="00082702">
                    <w:pPr>
                      <w:pStyle w:val="Bibliography"/>
                      <w:rPr>
                        <w:noProof/>
                      </w:rPr>
                    </w:pPr>
                    <w:r>
                      <w:rPr>
                        <w:noProof/>
                      </w:rPr>
                      <w:t xml:space="preserve">[5] </w:t>
                    </w:r>
                  </w:p>
                </w:tc>
                <w:tc>
                  <w:tcPr>
                    <w:tcW w:w="0" w:type="auto"/>
                    <w:hideMark/>
                  </w:tcPr>
                  <w:p w14:paraId="66AF96AB" w14:textId="77777777" w:rsidR="00082702" w:rsidRDefault="00082702">
                    <w:pPr>
                      <w:pStyle w:val="Bibliography"/>
                      <w:rPr>
                        <w:noProof/>
                      </w:rPr>
                    </w:pPr>
                    <w:r>
                      <w:rPr>
                        <w:noProof/>
                      </w:rPr>
                      <w:t>S. McAngus, “Short Report: Modelling of a Rapid Cratering Shape Charge using Dassault Systems Abaqus CAE Software Package.,” UWTSD, Swansea, 2024.</w:t>
                    </w:r>
                  </w:p>
                </w:tc>
              </w:tr>
              <w:tr w:rsidR="00082702" w14:paraId="23C4E9C9" w14:textId="77777777">
                <w:trPr>
                  <w:divId w:val="182911430"/>
                  <w:tblCellSpacing w:w="15" w:type="dxa"/>
                </w:trPr>
                <w:tc>
                  <w:tcPr>
                    <w:tcW w:w="50" w:type="pct"/>
                    <w:hideMark/>
                  </w:tcPr>
                  <w:p w14:paraId="5AFB7BAF" w14:textId="77777777" w:rsidR="00082702" w:rsidRDefault="00082702">
                    <w:pPr>
                      <w:pStyle w:val="Bibliography"/>
                      <w:rPr>
                        <w:noProof/>
                      </w:rPr>
                    </w:pPr>
                    <w:r>
                      <w:rPr>
                        <w:noProof/>
                      </w:rPr>
                      <w:t xml:space="preserve">[6] </w:t>
                    </w:r>
                  </w:p>
                </w:tc>
                <w:tc>
                  <w:tcPr>
                    <w:tcW w:w="0" w:type="auto"/>
                    <w:hideMark/>
                  </w:tcPr>
                  <w:p w14:paraId="7CC4C4F5" w14:textId="77777777" w:rsidR="00082702" w:rsidRDefault="00082702">
                    <w:pPr>
                      <w:pStyle w:val="Bibliography"/>
                      <w:rPr>
                        <w:noProof/>
                      </w:rPr>
                    </w:pPr>
                    <w:r>
                      <w:rPr>
                        <w:noProof/>
                      </w:rPr>
                      <w:t xml:space="preserve">United Nations, “Test Series 3,” in </w:t>
                    </w:r>
                    <w:r>
                      <w:rPr>
                        <w:i/>
                        <w:iCs/>
                        <w:noProof/>
                      </w:rPr>
                      <w:t>Manual of Tests and Criteria</w:t>
                    </w:r>
                    <w:r>
                      <w:rPr>
                        <w:noProof/>
                      </w:rPr>
                      <w:t>, United Nations, 2019, pp. 79-142.</w:t>
                    </w:r>
                  </w:p>
                </w:tc>
              </w:tr>
              <w:tr w:rsidR="00082702" w14:paraId="7ACC47C8" w14:textId="77777777">
                <w:trPr>
                  <w:divId w:val="182911430"/>
                  <w:tblCellSpacing w:w="15" w:type="dxa"/>
                </w:trPr>
                <w:tc>
                  <w:tcPr>
                    <w:tcW w:w="50" w:type="pct"/>
                    <w:hideMark/>
                  </w:tcPr>
                  <w:p w14:paraId="54498462" w14:textId="77777777" w:rsidR="00082702" w:rsidRDefault="00082702">
                    <w:pPr>
                      <w:pStyle w:val="Bibliography"/>
                      <w:rPr>
                        <w:noProof/>
                      </w:rPr>
                    </w:pPr>
                    <w:r>
                      <w:rPr>
                        <w:noProof/>
                      </w:rPr>
                      <w:t xml:space="preserve">[7] </w:t>
                    </w:r>
                  </w:p>
                </w:tc>
                <w:tc>
                  <w:tcPr>
                    <w:tcW w:w="0" w:type="auto"/>
                    <w:hideMark/>
                  </w:tcPr>
                  <w:p w14:paraId="23687E91" w14:textId="77777777" w:rsidR="00082702" w:rsidRDefault="00082702">
                    <w:pPr>
                      <w:pStyle w:val="Bibliography"/>
                      <w:rPr>
                        <w:noProof/>
                      </w:rPr>
                    </w:pPr>
                    <w:r>
                      <w:rPr>
                        <w:noProof/>
                      </w:rPr>
                      <w:t>ThermoFisher Scientific, “What is Chromatography and How Does it Work?,” ThermoFisher Scientific, 17 October 2019. [Online]. Available: https://www.thermofisher.com/blog/ask-a-scientist/what-is-chromatography/#:~:text=Chromatography%20is%20a%20process%20for,substance%20called%20the%20stationary%20phase.. [Accessed May 2024].</w:t>
                    </w:r>
                  </w:p>
                </w:tc>
              </w:tr>
              <w:tr w:rsidR="00082702" w14:paraId="7527CD7C" w14:textId="77777777">
                <w:trPr>
                  <w:divId w:val="182911430"/>
                  <w:tblCellSpacing w:w="15" w:type="dxa"/>
                </w:trPr>
                <w:tc>
                  <w:tcPr>
                    <w:tcW w:w="50" w:type="pct"/>
                    <w:hideMark/>
                  </w:tcPr>
                  <w:p w14:paraId="09EAABF6" w14:textId="77777777" w:rsidR="00082702" w:rsidRDefault="00082702">
                    <w:pPr>
                      <w:pStyle w:val="Bibliography"/>
                      <w:rPr>
                        <w:noProof/>
                      </w:rPr>
                    </w:pPr>
                    <w:r>
                      <w:rPr>
                        <w:noProof/>
                      </w:rPr>
                      <w:t xml:space="preserve">[8] </w:t>
                    </w:r>
                  </w:p>
                </w:tc>
                <w:tc>
                  <w:tcPr>
                    <w:tcW w:w="0" w:type="auto"/>
                    <w:hideMark/>
                  </w:tcPr>
                  <w:p w14:paraId="0AD3A9DA" w14:textId="77777777" w:rsidR="00082702" w:rsidRDefault="00082702">
                    <w:pPr>
                      <w:pStyle w:val="Bibliography"/>
                      <w:rPr>
                        <w:noProof/>
                      </w:rPr>
                    </w:pPr>
                    <w:r>
                      <w:rPr>
                        <w:noProof/>
                      </w:rPr>
                      <w:t>University of Cambridge, “Spectroscopy,” Department of Materials Science and Metallurgy, [Online]. Available: https://www.msm.cam.ac.uk/research/research-disciplines/spectroscopy. [Accessed May 2024].</w:t>
                    </w:r>
                  </w:p>
                </w:tc>
              </w:tr>
              <w:tr w:rsidR="00082702" w14:paraId="37A65865" w14:textId="77777777">
                <w:trPr>
                  <w:divId w:val="182911430"/>
                  <w:tblCellSpacing w:w="15" w:type="dxa"/>
                </w:trPr>
                <w:tc>
                  <w:tcPr>
                    <w:tcW w:w="50" w:type="pct"/>
                    <w:hideMark/>
                  </w:tcPr>
                  <w:p w14:paraId="1302FE38" w14:textId="77777777" w:rsidR="00082702" w:rsidRDefault="00082702">
                    <w:pPr>
                      <w:pStyle w:val="Bibliography"/>
                      <w:rPr>
                        <w:noProof/>
                      </w:rPr>
                    </w:pPr>
                    <w:r>
                      <w:rPr>
                        <w:noProof/>
                      </w:rPr>
                      <w:t xml:space="preserve">[9] </w:t>
                    </w:r>
                  </w:p>
                </w:tc>
                <w:tc>
                  <w:tcPr>
                    <w:tcW w:w="0" w:type="auto"/>
                    <w:hideMark/>
                  </w:tcPr>
                  <w:p w14:paraId="74DF5AAB" w14:textId="77777777" w:rsidR="00082702" w:rsidRDefault="00082702">
                    <w:pPr>
                      <w:pStyle w:val="Bibliography"/>
                      <w:rPr>
                        <w:noProof/>
                      </w:rPr>
                    </w:pPr>
                    <w:r>
                      <w:rPr>
                        <w:noProof/>
                      </w:rPr>
                      <w:t>E. Garg and M. Zubair, “Mass Spectrometer,” 21 January 2023. [Online]. Available: https://www.ncbi.nlm.nih.gov/books/NBK589702/.</w:t>
                    </w:r>
                  </w:p>
                </w:tc>
              </w:tr>
              <w:tr w:rsidR="00082702" w14:paraId="264C0FA6" w14:textId="77777777">
                <w:trPr>
                  <w:divId w:val="182911430"/>
                  <w:tblCellSpacing w:w="15" w:type="dxa"/>
                </w:trPr>
                <w:tc>
                  <w:tcPr>
                    <w:tcW w:w="50" w:type="pct"/>
                    <w:hideMark/>
                  </w:tcPr>
                  <w:p w14:paraId="0399E15A" w14:textId="77777777" w:rsidR="00082702" w:rsidRDefault="00082702">
                    <w:pPr>
                      <w:pStyle w:val="Bibliography"/>
                      <w:rPr>
                        <w:noProof/>
                      </w:rPr>
                    </w:pPr>
                    <w:r>
                      <w:rPr>
                        <w:noProof/>
                      </w:rPr>
                      <w:t xml:space="preserve">[10] </w:t>
                    </w:r>
                  </w:p>
                </w:tc>
                <w:tc>
                  <w:tcPr>
                    <w:tcW w:w="0" w:type="auto"/>
                    <w:hideMark/>
                  </w:tcPr>
                  <w:p w14:paraId="4166F830" w14:textId="77777777" w:rsidR="00082702" w:rsidRDefault="00082702">
                    <w:pPr>
                      <w:pStyle w:val="Bibliography"/>
                      <w:rPr>
                        <w:noProof/>
                      </w:rPr>
                    </w:pPr>
                    <w:r>
                      <w:rPr>
                        <w:noProof/>
                      </w:rPr>
                      <w:t>Pubchem, “2,4,6 Trinitrotoluene (Compound),” National Institutes of Health, 2024. [Online]. Available: https://pubchem.ncbi.nlm.nih.gov/compound/2_4_6-Trinitrotoluene#section=GC-MS. [Accessed May 2024].</w:t>
                    </w:r>
                  </w:p>
                </w:tc>
              </w:tr>
              <w:tr w:rsidR="00082702" w14:paraId="18A44EDD" w14:textId="77777777">
                <w:trPr>
                  <w:divId w:val="182911430"/>
                  <w:tblCellSpacing w:w="15" w:type="dxa"/>
                </w:trPr>
                <w:tc>
                  <w:tcPr>
                    <w:tcW w:w="50" w:type="pct"/>
                    <w:hideMark/>
                  </w:tcPr>
                  <w:p w14:paraId="4F010E59" w14:textId="77777777" w:rsidR="00082702" w:rsidRDefault="00082702">
                    <w:pPr>
                      <w:pStyle w:val="Bibliography"/>
                      <w:rPr>
                        <w:noProof/>
                      </w:rPr>
                    </w:pPr>
                    <w:r>
                      <w:rPr>
                        <w:noProof/>
                      </w:rPr>
                      <w:t xml:space="preserve">[11] </w:t>
                    </w:r>
                  </w:p>
                </w:tc>
                <w:tc>
                  <w:tcPr>
                    <w:tcW w:w="0" w:type="auto"/>
                    <w:hideMark/>
                  </w:tcPr>
                  <w:p w14:paraId="76904B43" w14:textId="77777777" w:rsidR="00082702" w:rsidRDefault="00082702">
                    <w:pPr>
                      <w:pStyle w:val="Bibliography"/>
                      <w:rPr>
                        <w:noProof/>
                      </w:rPr>
                    </w:pPr>
                    <w:r>
                      <w:rPr>
                        <w:noProof/>
                      </w:rPr>
                      <w:t xml:space="preserve">D. Holley, </w:t>
                    </w:r>
                    <w:r>
                      <w:rPr>
                        <w:i/>
                        <w:iCs/>
                        <w:noProof/>
                      </w:rPr>
                      <w:t xml:space="preserve">Taw-Ex22 Material Data, </w:t>
                    </w:r>
                    <w:r>
                      <w:rPr>
                        <w:noProof/>
                      </w:rPr>
                      <w:t xml:space="preserve">Swansea: UWTSD, 2024. </w:t>
                    </w:r>
                  </w:p>
                </w:tc>
              </w:tr>
              <w:tr w:rsidR="00082702" w14:paraId="131F55A5" w14:textId="77777777">
                <w:trPr>
                  <w:divId w:val="182911430"/>
                  <w:tblCellSpacing w:w="15" w:type="dxa"/>
                </w:trPr>
                <w:tc>
                  <w:tcPr>
                    <w:tcW w:w="50" w:type="pct"/>
                    <w:hideMark/>
                  </w:tcPr>
                  <w:p w14:paraId="72724222" w14:textId="77777777" w:rsidR="00082702" w:rsidRDefault="00082702">
                    <w:pPr>
                      <w:pStyle w:val="Bibliography"/>
                      <w:rPr>
                        <w:noProof/>
                      </w:rPr>
                    </w:pPr>
                    <w:r>
                      <w:rPr>
                        <w:noProof/>
                      </w:rPr>
                      <w:lastRenderedPageBreak/>
                      <w:t xml:space="preserve">[12] </w:t>
                    </w:r>
                  </w:p>
                </w:tc>
                <w:tc>
                  <w:tcPr>
                    <w:tcW w:w="0" w:type="auto"/>
                    <w:hideMark/>
                  </w:tcPr>
                  <w:p w14:paraId="246007FE" w14:textId="77777777" w:rsidR="00082702" w:rsidRDefault="00082702">
                    <w:pPr>
                      <w:pStyle w:val="Bibliography"/>
                      <w:rPr>
                        <w:noProof/>
                      </w:rPr>
                    </w:pPr>
                    <w:r>
                      <w:rPr>
                        <w:noProof/>
                      </w:rPr>
                      <w:t xml:space="preserve">L. Malcom, </w:t>
                    </w:r>
                    <w:r>
                      <w:rPr>
                        <w:i/>
                        <w:iCs/>
                        <w:noProof/>
                      </w:rPr>
                      <w:t xml:space="preserve">Monday 15th April, Design Review Meeting, </w:t>
                    </w:r>
                    <w:r>
                      <w:rPr>
                        <w:noProof/>
                      </w:rPr>
                      <w:t xml:space="preserve">2024. </w:t>
                    </w:r>
                  </w:p>
                </w:tc>
              </w:tr>
              <w:tr w:rsidR="00082702" w14:paraId="42FC9801" w14:textId="77777777">
                <w:trPr>
                  <w:divId w:val="182911430"/>
                  <w:tblCellSpacing w:w="15" w:type="dxa"/>
                </w:trPr>
                <w:tc>
                  <w:tcPr>
                    <w:tcW w:w="50" w:type="pct"/>
                    <w:hideMark/>
                  </w:tcPr>
                  <w:p w14:paraId="34256186" w14:textId="77777777" w:rsidR="00082702" w:rsidRDefault="00082702">
                    <w:pPr>
                      <w:pStyle w:val="Bibliography"/>
                      <w:rPr>
                        <w:noProof/>
                      </w:rPr>
                    </w:pPr>
                    <w:r>
                      <w:rPr>
                        <w:noProof/>
                      </w:rPr>
                      <w:t xml:space="preserve">[13] </w:t>
                    </w:r>
                  </w:p>
                </w:tc>
                <w:tc>
                  <w:tcPr>
                    <w:tcW w:w="0" w:type="auto"/>
                    <w:hideMark/>
                  </w:tcPr>
                  <w:p w14:paraId="191B2F91" w14:textId="77777777" w:rsidR="00082702" w:rsidRDefault="00082702">
                    <w:pPr>
                      <w:pStyle w:val="Bibliography"/>
                      <w:rPr>
                        <w:noProof/>
                      </w:rPr>
                    </w:pPr>
                    <w:r>
                      <w:rPr>
                        <w:noProof/>
                      </w:rPr>
                      <w:t xml:space="preserve">G. Collet, </w:t>
                    </w:r>
                    <w:r>
                      <w:rPr>
                        <w:i/>
                        <w:iCs/>
                        <w:noProof/>
                      </w:rPr>
                      <w:t xml:space="preserve">Dstl Feedback GC, </w:t>
                    </w:r>
                    <w:r>
                      <w:rPr>
                        <w:noProof/>
                      </w:rPr>
                      <w:t xml:space="preserve">Swansea: UWTSD, 2024. </w:t>
                    </w:r>
                  </w:p>
                </w:tc>
              </w:tr>
              <w:tr w:rsidR="00082702" w14:paraId="1F12C75C" w14:textId="77777777">
                <w:trPr>
                  <w:divId w:val="182911430"/>
                  <w:tblCellSpacing w:w="15" w:type="dxa"/>
                </w:trPr>
                <w:tc>
                  <w:tcPr>
                    <w:tcW w:w="50" w:type="pct"/>
                    <w:hideMark/>
                  </w:tcPr>
                  <w:p w14:paraId="6F603F65" w14:textId="77777777" w:rsidR="00082702" w:rsidRDefault="00082702">
                    <w:pPr>
                      <w:pStyle w:val="Bibliography"/>
                      <w:rPr>
                        <w:noProof/>
                      </w:rPr>
                    </w:pPr>
                    <w:r>
                      <w:rPr>
                        <w:noProof/>
                      </w:rPr>
                      <w:t xml:space="preserve">[14] </w:t>
                    </w:r>
                  </w:p>
                </w:tc>
                <w:tc>
                  <w:tcPr>
                    <w:tcW w:w="0" w:type="auto"/>
                    <w:hideMark/>
                  </w:tcPr>
                  <w:p w14:paraId="5A6CE825" w14:textId="77777777" w:rsidR="00082702" w:rsidRDefault="00082702">
                    <w:pPr>
                      <w:pStyle w:val="Bibliography"/>
                      <w:rPr>
                        <w:noProof/>
                      </w:rPr>
                    </w:pPr>
                    <w:r>
                      <w:rPr>
                        <w:noProof/>
                      </w:rPr>
                      <w:t>Solutions From HSE, “Explosives and Pyrotechnic Testing,” HSE, 2024. [Online]. Available: https://www.hsl.gov.uk/product-and-process-validation-testing/explosives-and-pyrotechnic-testing. [Accessed May 2024].</w:t>
                    </w:r>
                  </w:p>
                </w:tc>
              </w:tr>
            </w:tbl>
            <w:p w14:paraId="2E76C7D3" w14:textId="77777777" w:rsidR="00082702" w:rsidRDefault="00082702">
              <w:pPr>
                <w:divId w:val="182911430"/>
                <w:rPr>
                  <w:rFonts w:eastAsia="Times New Roman"/>
                  <w:noProof/>
                </w:rPr>
              </w:pPr>
            </w:p>
            <w:p w14:paraId="49DF63A6" w14:textId="56CF181D" w:rsidR="00496710" w:rsidRDefault="00496710">
              <w:r>
                <w:rPr>
                  <w:b/>
                  <w:bCs/>
                  <w:noProof/>
                </w:rPr>
                <w:fldChar w:fldCharType="end"/>
              </w:r>
            </w:p>
          </w:sdtContent>
        </w:sdt>
      </w:sdtContent>
    </w:sdt>
    <w:p w14:paraId="7901D595" w14:textId="77777777" w:rsidR="00496710" w:rsidRPr="00496710" w:rsidRDefault="00496710" w:rsidP="00496710"/>
    <w:p w14:paraId="4D8B8E2F" w14:textId="2BD26B95" w:rsidR="005D4324" w:rsidRPr="005D4324" w:rsidRDefault="005D4324" w:rsidP="005D4324">
      <w:r>
        <w:rPr>
          <w:rFonts w:ascii="Aptos" w:hAnsi="Aptos"/>
          <w:color w:val="000000"/>
          <w:shd w:val="clear" w:color="auto" w:fill="FFFFFF"/>
        </w:rPr>
        <w:br/>
      </w:r>
    </w:p>
    <w:sectPr w:rsidR="005D4324" w:rsidRPr="005D4324" w:rsidSect="00EF587C">
      <w:footerReference w:type="default" r:id="rId18"/>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517DC6" w14:textId="77777777" w:rsidR="00EF587C" w:rsidRPr="00F23A22" w:rsidRDefault="00EF587C" w:rsidP="00C6554A">
      <w:pPr>
        <w:spacing w:before="0" w:after="0" w:line="240" w:lineRule="auto"/>
      </w:pPr>
      <w:r w:rsidRPr="00F23A22">
        <w:separator/>
      </w:r>
    </w:p>
  </w:endnote>
  <w:endnote w:type="continuationSeparator" w:id="0">
    <w:p w14:paraId="599732AF" w14:textId="77777777" w:rsidR="00EF587C" w:rsidRPr="00F23A22" w:rsidRDefault="00EF587C" w:rsidP="00C6554A">
      <w:pPr>
        <w:spacing w:before="0" w:after="0" w:line="240" w:lineRule="auto"/>
      </w:pPr>
      <w:r w:rsidRPr="00F23A2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A2AEB5" w14:textId="77777777" w:rsidR="00000000" w:rsidRPr="00F23A22" w:rsidRDefault="00ED7C44">
    <w:pPr>
      <w:pStyle w:val="Footer"/>
    </w:pPr>
    <w:r w:rsidRPr="00F23A22">
      <w:rPr>
        <w:lang w:bidi="en-GB"/>
      </w:rPr>
      <w:t xml:space="preserve">Page </w:t>
    </w:r>
    <w:r w:rsidRPr="00F23A22">
      <w:rPr>
        <w:lang w:bidi="en-GB"/>
      </w:rPr>
      <w:fldChar w:fldCharType="begin"/>
    </w:r>
    <w:r w:rsidRPr="00F23A22">
      <w:rPr>
        <w:lang w:bidi="en-GB"/>
      </w:rPr>
      <w:instrText xml:space="preserve"> PAGE  \* Arabic  \* MERGEFORMAT </w:instrText>
    </w:r>
    <w:r w:rsidRPr="00F23A22">
      <w:rPr>
        <w:lang w:bidi="en-GB"/>
      </w:rPr>
      <w:fldChar w:fldCharType="separate"/>
    </w:r>
    <w:r w:rsidR="00624D0B" w:rsidRPr="00F23A22">
      <w:rPr>
        <w:lang w:bidi="en-GB"/>
      </w:rPr>
      <w:t>1</w:t>
    </w:r>
    <w:r w:rsidRPr="00F23A22">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E1BDD1" w14:textId="77777777" w:rsidR="00EF587C" w:rsidRPr="00F23A22" w:rsidRDefault="00EF587C" w:rsidP="00C6554A">
      <w:pPr>
        <w:spacing w:before="0" w:after="0" w:line="240" w:lineRule="auto"/>
      </w:pPr>
      <w:r w:rsidRPr="00F23A22">
        <w:separator/>
      </w:r>
    </w:p>
  </w:footnote>
  <w:footnote w:type="continuationSeparator" w:id="0">
    <w:p w14:paraId="69F0CE47" w14:textId="77777777" w:rsidR="00EF587C" w:rsidRPr="00F23A22" w:rsidRDefault="00EF587C" w:rsidP="00C6554A">
      <w:pPr>
        <w:spacing w:before="0" w:after="0" w:line="240" w:lineRule="auto"/>
      </w:pPr>
      <w:r w:rsidRPr="00F23A22">
        <w:continuationSeparator/>
      </w:r>
    </w:p>
  </w:footnote>
  <w:footnote w:id="1">
    <w:p w14:paraId="1A9B984F" w14:textId="5ADB94A2" w:rsidR="00267013" w:rsidRDefault="00267013">
      <w:pPr>
        <w:pStyle w:val="FootnoteText"/>
      </w:pPr>
      <w:r>
        <w:rPr>
          <w:rStyle w:val="FootnoteReference"/>
        </w:rPr>
        <w:footnoteRef/>
      </w:r>
      <w:r>
        <w:t xml:space="preserve"> Research Department </w:t>
      </w:r>
      <w:proofErr w:type="spellStart"/>
      <w:r>
        <w:t>eXplosive</w:t>
      </w:r>
      <w:proofErr w:type="spellEnd"/>
      <w:r>
        <w:t>, Hexogen</w:t>
      </w:r>
    </w:p>
  </w:footnote>
  <w:footnote w:id="2">
    <w:p w14:paraId="79F11F58" w14:textId="004FC953" w:rsidR="00EA1E0D" w:rsidRDefault="00EA1E0D">
      <w:pPr>
        <w:pStyle w:val="FootnoteText"/>
      </w:pPr>
      <w:r>
        <w:rPr>
          <w:rStyle w:val="FootnoteReference"/>
        </w:rPr>
        <w:footnoteRef/>
      </w:r>
      <w:r>
        <w:t xml:space="preserve"> EMTAP Testing is specific to Military explosives, and as such the documentation is not available publicly for referencing purposes, however many of the tests are the same as those discussed in the UN Manual </w:t>
      </w:r>
      <w:sdt>
        <w:sdtPr>
          <w:id w:val="-905148054"/>
          <w:citation/>
        </w:sdtPr>
        <w:sdtContent>
          <w:r>
            <w:fldChar w:fldCharType="begin"/>
          </w:r>
          <w:r>
            <w:instrText xml:space="preserve"> CITATION Sol24 \l 2057 </w:instrText>
          </w:r>
          <w:r>
            <w:fldChar w:fldCharType="separate"/>
          </w:r>
          <w:r w:rsidR="00082702" w:rsidRPr="00082702">
            <w:rPr>
              <w:noProof/>
            </w:rPr>
            <w:t>[14]</w:t>
          </w:r>
          <w:r>
            <w:fldChar w:fldCharType="end"/>
          </w:r>
        </w:sdtContent>
      </w:sdt>
    </w:p>
  </w:footnote>
  <w:footnote w:id="3">
    <w:p w14:paraId="57F38B3F" w14:textId="46B66FCA" w:rsidR="00E11CCF" w:rsidRDefault="00E11CCF">
      <w:pPr>
        <w:pStyle w:val="FootnoteText"/>
      </w:pPr>
      <w:r>
        <w:rPr>
          <w:rStyle w:val="FootnoteReference"/>
        </w:rPr>
        <w:footnoteRef/>
      </w:r>
      <w:r>
        <w:t xml:space="preserve"> This data is not representative of any specific experiment and is for explanatory purposes only</w:t>
      </w:r>
    </w:p>
  </w:footnote>
  <w:footnote w:id="4">
    <w:p w14:paraId="0A1C2719" w14:textId="75148F2B" w:rsidR="00E11CCF" w:rsidRDefault="00E11CCF">
      <w:pPr>
        <w:pStyle w:val="FootnoteText"/>
      </w:pPr>
      <w:r>
        <w:rPr>
          <w:rStyle w:val="FootnoteReference"/>
        </w:rPr>
        <w:footnoteRef/>
      </w:r>
      <w:r>
        <w:t xml:space="preserve"> For this report this is calculated in excel but can be calculated manually.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E163CB"/>
    <w:multiLevelType w:val="hybridMultilevel"/>
    <w:tmpl w:val="810C0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A5F6B26"/>
    <w:multiLevelType w:val="hybridMultilevel"/>
    <w:tmpl w:val="A4F49F3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05C2383"/>
    <w:multiLevelType w:val="hybridMultilevel"/>
    <w:tmpl w:val="163E9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DE1BEF"/>
    <w:multiLevelType w:val="multilevel"/>
    <w:tmpl w:val="AD6A46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2154F31"/>
    <w:multiLevelType w:val="hybridMultilevel"/>
    <w:tmpl w:val="BEC41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B644C7"/>
    <w:multiLevelType w:val="hybridMultilevel"/>
    <w:tmpl w:val="B032E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EA07A5D"/>
    <w:multiLevelType w:val="hybridMultilevel"/>
    <w:tmpl w:val="17764D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2082218"/>
    <w:multiLevelType w:val="hybridMultilevel"/>
    <w:tmpl w:val="3C8A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6141FD"/>
    <w:multiLevelType w:val="hybridMultilevel"/>
    <w:tmpl w:val="7750B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0605FF"/>
    <w:multiLevelType w:val="hybridMultilevel"/>
    <w:tmpl w:val="8B42F8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0382090">
    <w:abstractNumId w:val="9"/>
  </w:num>
  <w:num w:numId="2" w16cid:durableId="598299955">
    <w:abstractNumId w:val="8"/>
  </w:num>
  <w:num w:numId="3" w16cid:durableId="1669138836">
    <w:abstractNumId w:val="8"/>
  </w:num>
  <w:num w:numId="4" w16cid:durableId="48772349">
    <w:abstractNumId w:val="9"/>
  </w:num>
  <w:num w:numId="5" w16cid:durableId="385299255">
    <w:abstractNumId w:val="18"/>
  </w:num>
  <w:num w:numId="6" w16cid:durableId="2096440625">
    <w:abstractNumId w:val="10"/>
  </w:num>
  <w:num w:numId="7" w16cid:durableId="1337922899">
    <w:abstractNumId w:val="12"/>
  </w:num>
  <w:num w:numId="8" w16cid:durableId="336612146">
    <w:abstractNumId w:val="7"/>
  </w:num>
  <w:num w:numId="9" w16cid:durableId="1790660993">
    <w:abstractNumId w:val="6"/>
  </w:num>
  <w:num w:numId="10" w16cid:durableId="1139035939">
    <w:abstractNumId w:val="5"/>
  </w:num>
  <w:num w:numId="11" w16cid:durableId="1492796491">
    <w:abstractNumId w:val="4"/>
  </w:num>
  <w:num w:numId="12" w16cid:durableId="326983001">
    <w:abstractNumId w:val="3"/>
  </w:num>
  <w:num w:numId="13" w16cid:durableId="1833597484">
    <w:abstractNumId w:val="2"/>
  </w:num>
  <w:num w:numId="14" w16cid:durableId="1356728620">
    <w:abstractNumId w:val="1"/>
  </w:num>
  <w:num w:numId="15" w16cid:durableId="335617326">
    <w:abstractNumId w:val="0"/>
  </w:num>
  <w:num w:numId="16" w16cid:durableId="1606886083">
    <w:abstractNumId w:val="15"/>
  </w:num>
  <w:num w:numId="17" w16cid:durableId="620502416">
    <w:abstractNumId w:val="20"/>
  </w:num>
  <w:num w:numId="18" w16cid:durableId="455680291">
    <w:abstractNumId w:val="22"/>
  </w:num>
  <w:num w:numId="19" w16cid:durableId="347680134">
    <w:abstractNumId w:val="13"/>
  </w:num>
  <w:num w:numId="20" w16cid:durableId="1972245342">
    <w:abstractNumId w:val="14"/>
  </w:num>
  <w:num w:numId="21" w16cid:durableId="1464542699">
    <w:abstractNumId w:val="21"/>
  </w:num>
  <w:num w:numId="22" w16cid:durableId="160850753">
    <w:abstractNumId w:val="11"/>
  </w:num>
  <w:num w:numId="23" w16cid:durableId="917902572">
    <w:abstractNumId w:val="19"/>
  </w:num>
  <w:num w:numId="24" w16cid:durableId="1307976083">
    <w:abstractNumId w:val="17"/>
  </w:num>
  <w:num w:numId="25" w16cid:durableId="27610640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2B9"/>
    <w:rsid w:val="00082702"/>
    <w:rsid w:val="00093567"/>
    <w:rsid w:val="000E63A2"/>
    <w:rsid w:val="00104F9D"/>
    <w:rsid w:val="0018682E"/>
    <w:rsid w:val="001B1EE7"/>
    <w:rsid w:val="002554CD"/>
    <w:rsid w:val="00267013"/>
    <w:rsid w:val="00293B83"/>
    <w:rsid w:val="002B4294"/>
    <w:rsid w:val="002D09B5"/>
    <w:rsid w:val="002D4E11"/>
    <w:rsid w:val="00326F3E"/>
    <w:rsid w:val="00333D0D"/>
    <w:rsid w:val="003B2930"/>
    <w:rsid w:val="00416BAE"/>
    <w:rsid w:val="00496710"/>
    <w:rsid w:val="004A4E5F"/>
    <w:rsid w:val="004C049F"/>
    <w:rsid w:val="005000E2"/>
    <w:rsid w:val="00597B49"/>
    <w:rsid w:val="005A3C89"/>
    <w:rsid w:val="005D4324"/>
    <w:rsid w:val="00624D0B"/>
    <w:rsid w:val="0063094B"/>
    <w:rsid w:val="006A3CE7"/>
    <w:rsid w:val="006F02B9"/>
    <w:rsid w:val="00756700"/>
    <w:rsid w:val="008514C3"/>
    <w:rsid w:val="008620DB"/>
    <w:rsid w:val="008649AD"/>
    <w:rsid w:val="00A33E76"/>
    <w:rsid w:val="00A717FF"/>
    <w:rsid w:val="00B86DEA"/>
    <w:rsid w:val="00BD6B4E"/>
    <w:rsid w:val="00C55246"/>
    <w:rsid w:val="00C6554A"/>
    <w:rsid w:val="00C84912"/>
    <w:rsid w:val="00C8610B"/>
    <w:rsid w:val="00CA0CC7"/>
    <w:rsid w:val="00CA6633"/>
    <w:rsid w:val="00CC3F3D"/>
    <w:rsid w:val="00D340A9"/>
    <w:rsid w:val="00E11CCF"/>
    <w:rsid w:val="00EA1E0D"/>
    <w:rsid w:val="00ED463E"/>
    <w:rsid w:val="00ED7C44"/>
    <w:rsid w:val="00EF587C"/>
    <w:rsid w:val="00F23A22"/>
    <w:rsid w:val="00F25729"/>
    <w:rsid w:val="00F76273"/>
    <w:rsid w:val="00F768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167B57"/>
  <w15:chartTrackingRefBased/>
  <w15:docId w15:val="{15D97689-70BE-449D-BC70-C811203F7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EA1E0D"/>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ED463E"/>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ED463E"/>
    <w:pPr>
      <w:spacing w:after="100"/>
    </w:pPr>
  </w:style>
  <w:style w:type="paragraph" w:styleId="ListParagraph">
    <w:name w:val="List Paragraph"/>
    <w:basedOn w:val="Normal"/>
    <w:uiPriority w:val="34"/>
    <w:unhideWhenUsed/>
    <w:qFormat/>
    <w:rsid w:val="00ED463E"/>
    <w:pPr>
      <w:ind w:left="720"/>
      <w:contextualSpacing/>
    </w:pPr>
  </w:style>
  <w:style w:type="character" w:customStyle="1" w:styleId="normaltextrun">
    <w:name w:val="normaltextrun"/>
    <w:basedOn w:val="DefaultParagraphFont"/>
    <w:rsid w:val="005D4324"/>
  </w:style>
  <w:style w:type="character" w:customStyle="1" w:styleId="eop">
    <w:name w:val="eop"/>
    <w:basedOn w:val="DefaultParagraphFont"/>
    <w:rsid w:val="005D4324"/>
  </w:style>
  <w:style w:type="character" w:customStyle="1" w:styleId="wacimagecontainer">
    <w:name w:val="wacimagecontainer"/>
    <w:basedOn w:val="DefaultParagraphFont"/>
    <w:rsid w:val="005D4324"/>
  </w:style>
  <w:style w:type="character" w:styleId="FootnoteReference">
    <w:name w:val="footnote reference"/>
    <w:basedOn w:val="DefaultParagraphFont"/>
    <w:uiPriority w:val="99"/>
    <w:semiHidden/>
    <w:unhideWhenUsed/>
    <w:rsid w:val="00267013"/>
    <w:rPr>
      <w:vertAlign w:val="superscript"/>
    </w:rPr>
  </w:style>
  <w:style w:type="character" w:customStyle="1" w:styleId="Heading4Char">
    <w:name w:val="Heading 4 Char"/>
    <w:basedOn w:val="DefaultParagraphFont"/>
    <w:link w:val="Heading4"/>
    <w:uiPriority w:val="9"/>
    <w:rsid w:val="00EA1E0D"/>
    <w:rPr>
      <w:rFonts w:asciiTheme="majorHAnsi" w:eastAsiaTheme="majorEastAsia" w:hAnsiTheme="majorHAnsi" w:cstheme="majorBidi"/>
      <w:i/>
      <w:iCs/>
      <w:color w:val="007789" w:themeColor="accent1" w:themeShade="BF"/>
      <w:lang w:val="en-GB"/>
    </w:rPr>
  </w:style>
  <w:style w:type="table" w:styleId="TableGrid">
    <w:name w:val="Table Grid"/>
    <w:basedOn w:val="TableNormal"/>
    <w:uiPriority w:val="39"/>
    <w:rsid w:val="00326F3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96710"/>
  </w:style>
  <w:style w:type="paragraph" w:styleId="TableofFigures">
    <w:name w:val="table of figures"/>
    <w:basedOn w:val="Normal"/>
    <w:next w:val="Normal"/>
    <w:uiPriority w:val="99"/>
    <w:unhideWhenUsed/>
    <w:rsid w:val="00082702"/>
    <w:pPr>
      <w:spacing w:after="0"/>
    </w:pPr>
  </w:style>
  <w:style w:type="paragraph" w:styleId="TOC3">
    <w:name w:val="toc 3"/>
    <w:basedOn w:val="Normal"/>
    <w:next w:val="Normal"/>
    <w:autoRedefine/>
    <w:uiPriority w:val="39"/>
    <w:unhideWhenUsed/>
    <w:rsid w:val="0008270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10959">
      <w:bodyDiv w:val="1"/>
      <w:marLeft w:val="0"/>
      <w:marRight w:val="0"/>
      <w:marTop w:val="0"/>
      <w:marBottom w:val="0"/>
      <w:divBdr>
        <w:top w:val="none" w:sz="0" w:space="0" w:color="auto"/>
        <w:left w:val="none" w:sz="0" w:space="0" w:color="auto"/>
        <w:bottom w:val="none" w:sz="0" w:space="0" w:color="auto"/>
        <w:right w:val="none" w:sz="0" w:space="0" w:color="auto"/>
      </w:divBdr>
    </w:div>
    <w:div w:id="14431816">
      <w:bodyDiv w:val="1"/>
      <w:marLeft w:val="0"/>
      <w:marRight w:val="0"/>
      <w:marTop w:val="0"/>
      <w:marBottom w:val="0"/>
      <w:divBdr>
        <w:top w:val="none" w:sz="0" w:space="0" w:color="auto"/>
        <w:left w:val="none" w:sz="0" w:space="0" w:color="auto"/>
        <w:bottom w:val="none" w:sz="0" w:space="0" w:color="auto"/>
        <w:right w:val="none" w:sz="0" w:space="0" w:color="auto"/>
      </w:divBdr>
    </w:div>
    <w:div w:id="18892839">
      <w:bodyDiv w:val="1"/>
      <w:marLeft w:val="0"/>
      <w:marRight w:val="0"/>
      <w:marTop w:val="0"/>
      <w:marBottom w:val="0"/>
      <w:divBdr>
        <w:top w:val="none" w:sz="0" w:space="0" w:color="auto"/>
        <w:left w:val="none" w:sz="0" w:space="0" w:color="auto"/>
        <w:bottom w:val="none" w:sz="0" w:space="0" w:color="auto"/>
        <w:right w:val="none" w:sz="0" w:space="0" w:color="auto"/>
      </w:divBdr>
    </w:div>
    <w:div w:id="23756666">
      <w:bodyDiv w:val="1"/>
      <w:marLeft w:val="0"/>
      <w:marRight w:val="0"/>
      <w:marTop w:val="0"/>
      <w:marBottom w:val="0"/>
      <w:divBdr>
        <w:top w:val="none" w:sz="0" w:space="0" w:color="auto"/>
        <w:left w:val="none" w:sz="0" w:space="0" w:color="auto"/>
        <w:bottom w:val="none" w:sz="0" w:space="0" w:color="auto"/>
        <w:right w:val="none" w:sz="0" w:space="0" w:color="auto"/>
      </w:divBdr>
    </w:div>
    <w:div w:id="57099440">
      <w:bodyDiv w:val="1"/>
      <w:marLeft w:val="0"/>
      <w:marRight w:val="0"/>
      <w:marTop w:val="0"/>
      <w:marBottom w:val="0"/>
      <w:divBdr>
        <w:top w:val="none" w:sz="0" w:space="0" w:color="auto"/>
        <w:left w:val="none" w:sz="0" w:space="0" w:color="auto"/>
        <w:bottom w:val="none" w:sz="0" w:space="0" w:color="auto"/>
        <w:right w:val="none" w:sz="0" w:space="0" w:color="auto"/>
      </w:divBdr>
    </w:div>
    <w:div w:id="62068469">
      <w:bodyDiv w:val="1"/>
      <w:marLeft w:val="0"/>
      <w:marRight w:val="0"/>
      <w:marTop w:val="0"/>
      <w:marBottom w:val="0"/>
      <w:divBdr>
        <w:top w:val="none" w:sz="0" w:space="0" w:color="auto"/>
        <w:left w:val="none" w:sz="0" w:space="0" w:color="auto"/>
        <w:bottom w:val="none" w:sz="0" w:space="0" w:color="auto"/>
        <w:right w:val="none" w:sz="0" w:space="0" w:color="auto"/>
      </w:divBdr>
    </w:div>
    <w:div w:id="68159082">
      <w:bodyDiv w:val="1"/>
      <w:marLeft w:val="0"/>
      <w:marRight w:val="0"/>
      <w:marTop w:val="0"/>
      <w:marBottom w:val="0"/>
      <w:divBdr>
        <w:top w:val="none" w:sz="0" w:space="0" w:color="auto"/>
        <w:left w:val="none" w:sz="0" w:space="0" w:color="auto"/>
        <w:bottom w:val="none" w:sz="0" w:space="0" w:color="auto"/>
        <w:right w:val="none" w:sz="0" w:space="0" w:color="auto"/>
      </w:divBdr>
    </w:div>
    <w:div w:id="75984784">
      <w:bodyDiv w:val="1"/>
      <w:marLeft w:val="0"/>
      <w:marRight w:val="0"/>
      <w:marTop w:val="0"/>
      <w:marBottom w:val="0"/>
      <w:divBdr>
        <w:top w:val="none" w:sz="0" w:space="0" w:color="auto"/>
        <w:left w:val="none" w:sz="0" w:space="0" w:color="auto"/>
        <w:bottom w:val="none" w:sz="0" w:space="0" w:color="auto"/>
        <w:right w:val="none" w:sz="0" w:space="0" w:color="auto"/>
      </w:divBdr>
    </w:div>
    <w:div w:id="85729321">
      <w:bodyDiv w:val="1"/>
      <w:marLeft w:val="0"/>
      <w:marRight w:val="0"/>
      <w:marTop w:val="0"/>
      <w:marBottom w:val="0"/>
      <w:divBdr>
        <w:top w:val="none" w:sz="0" w:space="0" w:color="auto"/>
        <w:left w:val="none" w:sz="0" w:space="0" w:color="auto"/>
        <w:bottom w:val="none" w:sz="0" w:space="0" w:color="auto"/>
        <w:right w:val="none" w:sz="0" w:space="0" w:color="auto"/>
      </w:divBdr>
    </w:div>
    <w:div w:id="96147114">
      <w:bodyDiv w:val="1"/>
      <w:marLeft w:val="0"/>
      <w:marRight w:val="0"/>
      <w:marTop w:val="0"/>
      <w:marBottom w:val="0"/>
      <w:divBdr>
        <w:top w:val="none" w:sz="0" w:space="0" w:color="auto"/>
        <w:left w:val="none" w:sz="0" w:space="0" w:color="auto"/>
        <w:bottom w:val="none" w:sz="0" w:space="0" w:color="auto"/>
        <w:right w:val="none" w:sz="0" w:space="0" w:color="auto"/>
      </w:divBdr>
    </w:div>
    <w:div w:id="116340956">
      <w:bodyDiv w:val="1"/>
      <w:marLeft w:val="0"/>
      <w:marRight w:val="0"/>
      <w:marTop w:val="0"/>
      <w:marBottom w:val="0"/>
      <w:divBdr>
        <w:top w:val="none" w:sz="0" w:space="0" w:color="auto"/>
        <w:left w:val="none" w:sz="0" w:space="0" w:color="auto"/>
        <w:bottom w:val="none" w:sz="0" w:space="0" w:color="auto"/>
        <w:right w:val="none" w:sz="0" w:space="0" w:color="auto"/>
      </w:divBdr>
    </w:div>
    <w:div w:id="121463844">
      <w:bodyDiv w:val="1"/>
      <w:marLeft w:val="0"/>
      <w:marRight w:val="0"/>
      <w:marTop w:val="0"/>
      <w:marBottom w:val="0"/>
      <w:divBdr>
        <w:top w:val="none" w:sz="0" w:space="0" w:color="auto"/>
        <w:left w:val="none" w:sz="0" w:space="0" w:color="auto"/>
        <w:bottom w:val="none" w:sz="0" w:space="0" w:color="auto"/>
        <w:right w:val="none" w:sz="0" w:space="0" w:color="auto"/>
      </w:divBdr>
    </w:div>
    <w:div w:id="151877902">
      <w:bodyDiv w:val="1"/>
      <w:marLeft w:val="0"/>
      <w:marRight w:val="0"/>
      <w:marTop w:val="0"/>
      <w:marBottom w:val="0"/>
      <w:divBdr>
        <w:top w:val="none" w:sz="0" w:space="0" w:color="auto"/>
        <w:left w:val="none" w:sz="0" w:space="0" w:color="auto"/>
        <w:bottom w:val="none" w:sz="0" w:space="0" w:color="auto"/>
        <w:right w:val="none" w:sz="0" w:space="0" w:color="auto"/>
      </w:divBdr>
    </w:div>
    <w:div w:id="158423101">
      <w:bodyDiv w:val="1"/>
      <w:marLeft w:val="0"/>
      <w:marRight w:val="0"/>
      <w:marTop w:val="0"/>
      <w:marBottom w:val="0"/>
      <w:divBdr>
        <w:top w:val="none" w:sz="0" w:space="0" w:color="auto"/>
        <w:left w:val="none" w:sz="0" w:space="0" w:color="auto"/>
        <w:bottom w:val="none" w:sz="0" w:space="0" w:color="auto"/>
        <w:right w:val="none" w:sz="0" w:space="0" w:color="auto"/>
      </w:divBdr>
    </w:div>
    <w:div w:id="161942644">
      <w:bodyDiv w:val="1"/>
      <w:marLeft w:val="0"/>
      <w:marRight w:val="0"/>
      <w:marTop w:val="0"/>
      <w:marBottom w:val="0"/>
      <w:divBdr>
        <w:top w:val="none" w:sz="0" w:space="0" w:color="auto"/>
        <w:left w:val="none" w:sz="0" w:space="0" w:color="auto"/>
        <w:bottom w:val="none" w:sz="0" w:space="0" w:color="auto"/>
        <w:right w:val="none" w:sz="0" w:space="0" w:color="auto"/>
      </w:divBdr>
    </w:div>
    <w:div w:id="167185246">
      <w:bodyDiv w:val="1"/>
      <w:marLeft w:val="0"/>
      <w:marRight w:val="0"/>
      <w:marTop w:val="0"/>
      <w:marBottom w:val="0"/>
      <w:divBdr>
        <w:top w:val="none" w:sz="0" w:space="0" w:color="auto"/>
        <w:left w:val="none" w:sz="0" w:space="0" w:color="auto"/>
        <w:bottom w:val="none" w:sz="0" w:space="0" w:color="auto"/>
        <w:right w:val="none" w:sz="0" w:space="0" w:color="auto"/>
      </w:divBdr>
    </w:div>
    <w:div w:id="169755284">
      <w:bodyDiv w:val="1"/>
      <w:marLeft w:val="0"/>
      <w:marRight w:val="0"/>
      <w:marTop w:val="0"/>
      <w:marBottom w:val="0"/>
      <w:divBdr>
        <w:top w:val="none" w:sz="0" w:space="0" w:color="auto"/>
        <w:left w:val="none" w:sz="0" w:space="0" w:color="auto"/>
        <w:bottom w:val="none" w:sz="0" w:space="0" w:color="auto"/>
        <w:right w:val="none" w:sz="0" w:space="0" w:color="auto"/>
      </w:divBdr>
    </w:div>
    <w:div w:id="182911430">
      <w:bodyDiv w:val="1"/>
      <w:marLeft w:val="0"/>
      <w:marRight w:val="0"/>
      <w:marTop w:val="0"/>
      <w:marBottom w:val="0"/>
      <w:divBdr>
        <w:top w:val="none" w:sz="0" w:space="0" w:color="auto"/>
        <w:left w:val="none" w:sz="0" w:space="0" w:color="auto"/>
        <w:bottom w:val="none" w:sz="0" w:space="0" w:color="auto"/>
        <w:right w:val="none" w:sz="0" w:space="0" w:color="auto"/>
      </w:divBdr>
    </w:div>
    <w:div w:id="198398712">
      <w:bodyDiv w:val="1"/>
      <w:marLeft w:val="0"/>
      <w:marRight w:val="0"/>
      <w:marTop w:val="0"/>
      <w:marBottom w:val="0"/>
      <w:divBdr>
        <w:top w:val="none" w:sz="0" w:space="0" w:color="auto"/>
        <w:left w:val="none" w:sz="0" w:space="0" w:color="auto"/>
        <w:bottom w:val="none" w:sz="0" w:space="0" w:color="auto"/>
        <w:right w:val="none" w:sz="0" w:space="0" w:color="auto"/>
      </w:divBdr>
    </w:div>
    <w:div w:id="205022375">
      <w:bodyDiv w:val="1"/>
      <w:marLeft w:val="0"/>
      <w:marRight w:val="0"/>
      <w:marTop w:val="0"/>
      <w:marBottom w:val="0"/>
      <w:divBdr>
        <w:top w:val="none" w:sz="0" w:space="0" w:color="auto"/>
        <w:left w:val="none" w:sz="0" w:space="0" w:color="auto"/>
        <w:bottom w:val="none" w:sz="0" w:space="0" w:color="auto"/>
        <w:right w:val="none" w:sz="0" w:space="0" w:color="auto"/>
      </w:divBdr>
    </w:div>
    <w:div w:id="212664549">
      <w:bodyDiv w:val="1"/>
      <w:marLeft w:val="0"/>
      <w:marRight w:val="0"/>
      <w:marTop w:val="0"/>
      <w:marBottom w:val="0"/>
      <w:divBdr>
        <w:top w:val="none" w:sz="0" w:space="0" w:color="auto"/>
        <w:left w:val="none" w:sz="0" w:space="0" w:color="auto"/>
        <w:bottom w:val="none" w:sz="0" w:space="0" w:color="auto"/>
        <w:right w:val="none" w:sz="0" w:space="0" w:color="auto"/>
      </w:divBdr>
    </w:div>
    <w:div w:id="220528695">
      <w:bodyDiv w:val="1"/>
      <w:marLeft w:val="0"/>
      <w:marRight w:val="0"/>
      <w:marTop w:val="0"/>
      <w:marBottom w:val="0"/>
      <w:divBdr>
        <w:top w:val="none" w:sz="0" w:space="0" w:color="auto"/>
        <w:left w:val="none" w:sz="0" w:space="0" w:color="auto"/>
        <w:bottom w:val="none" w:sz="0" w:space="0" w:color="auto"/>
        <w:right w:val="none" w:sz="0" w:space="0" w:color="auto"/>
      </w:divBdr>
    </w:div>
    <w:div w:id="300308453">
      <w:bodyDiv w:val="1"/>
      <w:marLeft w:val="0"/>
      <w:marRight w:val="0"/>
      <w:marTop w:val="0"/>
      <w:marBottom w:val="0"/>
      <w:divBdr>
        <w:top w:val="none" w:sz="0" w:space="0" w:color="auto"/>
        <w:left w:val="none" w:sz="0" w:space="0" w:color="auto"/>
        <w:bottom w:val="none" w:sz="0" w:space="0" w:color="auto"/>
        <w:right w:val="none" w:sz="0" w:space="0" w:color="auto"/>
      </w:divBdr>
    </w:div>
    <w:div w:id="304313235">
      <w:bodyDiv w:val="1"/>
      <w:marLeft w:val="0"/>
      <w:marRight w:val="0"/>
      <w:marTop w:val="0"/>
      <w:marBottom w:val="0"/>
      <w:divBdr>
        <w:top w:val="none" w:sz="0" w:space="0" w:color="auto"/>
        <w:left w:val="none" w:sz="0" w:space="0" w:color="auto"/>
        <w:bottom w:val="none" w:sz="0" w:space="0" w:color="auto"/>
        <w:right w:val="none" w:sz="0" w:space="0" w:color="auto"/>
      </w:divBdr>
    </w:div>
    <w:div w:id="304432134">
      <w:bodyDiv w:val="1"/>
      <w:marLeft w:val="0"/>
      <w:marRight w:val="0"/>
      <w:marTop w:val="0"/>
      <w:marBottom w:val="0"/>
      <w:divBdr>
        <w:top w:val="none" w:sz="0" w:space="0" w:color="auto"/>
        <w:left w:val="none" w:sz="0" w:space="0" w:color="auto"/>
        <w:bottom w:val="none" w:sz="0" w:space="0" w:color="auto"/>
        <w:right w:val="none" w:sz="0" w:space="0" w:color="auto"/>
      </w:divBdr>
    </w:div>
    <w:div w:id="309604430">
      <w:bodyDiv w:val="1"/>
      <w:marLeft w:val="0"/>
      <w:marRight w:val="0"/>
      <w:marTop w:val="0"/>
      <w:marBottom w:val="0"/>
      <w:divBdr>
        <w:top w:val="none" w:sz="0" w:space="0" w:color="auto"/>
        <w:left w:val="none" w:sz="0" w:space="0" w:color="auto"/>
        <w:bottom w:val="none" w:sz="0" w:space="0" w:color="auto"/>
        <w:right w:val="none" w:sz="0" w:space="0" w:color="auto"/>
      </w:divBdr>
    </w:div>
    <w:div w:id="329647652">
      <w:bodyDiv w:val="1"/>
      <w:marLeft w:val="0"/>
      <w:marRight w:val="0"/>
      <w:marTop w:val="0"/>
      <w:marBottom w:val="0"/>
      <w:divBdr>
        <w:top w:val="none" w:sz="0" w:space="0" w:color="auto"/>
        <w:left w:val="none" w:sz="0" w:space="0" w:color="auto"/>
        <w:bottom w:val="none" w:sz="0" w:space="0" w:color="auto"/>
        <w:right w:val="none" w:sz="0" w:space="0" w:color="auto"/>
      </w:divBdr>
    </w:div>
    <w:div w:id="344403390">
      <w:bodyDiv w:val="1"/>
      <w:marLeft w:val="0"/>
      <w:marRight w:val="0"/>
      <w:marTop w:val="0"/>
      <w:marBottom w:val="0"/>
      <w:divBdr>
        <w:top w:val="none" w:sz="0" w:space="0" w:color="auto"/>
        <w:left w:val="none" w:sz="0" w:space="0" w:color="auto"/>
        <w:bottom w:val="none" w:sz="0" w:space="0" w:color="auto"/>
        <w:right w:val="none" w:sz="0" w:space="0" w:color="auto"/>
      </w:divBdr>
    </w:div>
    <w:div w:id="344596982">
      <w:bodyDiv w:val="1"/>
      <w:marLeft w:val="0"/>
      <w:marRight w:val="0"/>
      <w:marTop w:val="0"/>
      <w:marBottom w:val="0"/>
      <w:divBdr>
        <w:top w:val="none" w:sz="0" w:space="0" w:color="auto"/>
        <w:left w:val="none" w:sz="0" w:space="0" w:color="auto"/>
        <w:bottom w:val="none" w:sz="0" w:space="0" w:color="auto"/>
        <w:right w:val="none" w:sz="0" w:space="0" w:color="auto"/>
      </w:divBdr>
    </w:div>
    <w:div w:id="358239417">
      <w:bodyDiv w:val="1"/>
      <w:marLeft w:val="0"/>
      <w:marRight w:val="0"/>
      <w:marTop w:val="0"/>
      <w:marBottom w:val="0"/>
      <w:divBdr>
        <w:top w:val="none" w:sz="0" w:space="0" w:color="auto"/>
        <w:left w:val="none" w:sz="0" w:space="0" w:color="auto"/>
        <w:bottom w:val="none" w:sz="0" w:space="0" w:color="auto"/>
        <w:right w:val="none" w:sz="0" w:space="0" w:color="auto"/>
      </w:divBdr>
    </w:div>
    <w:div w:id="358508992">
      <w:bodyDiv w:val="1"/>
      <w:marLeft w:val="0"/>
      <w:marRight w:val="0"/>
      <w:marTop w:val="0"/>
      <w:marBottom w:val="0"/>
      <w:divBdr>
        <w:top w:val="none" w:sz="0" w:space="0" w:color="auto"/>
        <w:left w:val="none" w:sz="0" w:space="0" w:color="auto"/>
        <w:bottom w:val="none" w:sz="0" w:space="0" w:color="auto"/>
        <w:right w:val="none" w:sz="0" w:space="0" w:color="auto"/>
      </w:divBdr>
    </w:div>
    <w:div w:id="373386150">
      <w:bodyDiv w:val="1"/>
      <w:marLeft w:val="0"/>
      <w:marRight w:val="0"/>
      <w:marTop w:val="0"/>
      <w:marBottom w:val="0"/>
      <w:divBdr>
        <w:top w:val="none" w:sz="0" w:space="0" w:color="auto"/>
        <w:left w:val="none" w:sz="0" w:space="0" w:color="auto"/>
        <w:bottom w:val="none" w:sz="0" w:space="0" w:color="auto"/>
        <w:right w:val="none" w:sz="0" w:space="0" w:color="auto"/>
      </w:divBdr>
    </w:div>
    <w:div w:id="396516649">
      <w:bodyDiv w:val="1"/>
      <w:marLeft w:val="0"/>
      <w:marRight w:val="0"/>
      <w:marTop w:val="0"/>
      <w:marBottom w:val="0"/>
      <w:divBdr>
        <w:top w:val="none" w:sz="0" w:space="0" w:color="auto"/>
        <w:left w:val="none" w:sz="0" w:space="0" w:color="auto"/>
        <w:bottom w:val="none" w:sz="0" w:space="0" w:color="auto"/>
        <w:right w:val="none" w:sz="0" w:space="0" w:color="auto"/>
      </w:divBdr>
    </w:div>
    <w:div w:id="408432028">
      <w:bodyDiv w:val="1"/>
      <w:marLeft w:val="0"/>
      <w:marRight w:val="0"/>
      <w:marTop w:val="0"/>
      <w:marBottom w:val="0"/>
      <w:divBdr>
        <w:top w:val="none" w:sz="0" w:space="0" w:color="auto"/>
        <w:left w:val="none" w:sz="0" w:space="0" w:color="auto"/>
        <w:bottom w:val="none" w:sz="0" w:space="0" w:color="auto"/>
        <w:right w:val="none" w:sz="0" w:space="0" w:color="auto"/>
      </w:divBdr>
    </w:div>
    <w:div w:id="454451776">
      <w:bodyDiv w:val="1"/>
      <w:marLeft w:val="0"/>
      <w:marRight w:val="0"/>
      <w:marTop w:val="0"/>
      <w:marBottom w:val="0"/>
      <w:divBdr>
        <w:top w:val="none" w:sz="0" w:space="0" w:color="auto"/>
        <w:left w:val="none" w:sz="0" w:space="0" w:color="auto"/>
        <w:bottom w:val="none" w:sz="0" w:space="0" w:color="auto"/>
        <w:right w:val="none" w:sz="0" w:space="0" w:color="auto"/>
      </w:divBdr>
    </w:div>
    <w:div w:id="466359229">
      <w:bodyDiv w:val="1"/>
      <w:marLeft w:val="0"/>
      <w:marRight w:val="0"/>
      <w:marTop w:val="0"/>
      <w:marBottom w:val="0"/>
      <w:divBdr>
        <w:top w:val="none" w:sz="0" w:space="0" w:color="auto"/>
        <w:left w:val="none" w:sz="0" w:space="0" w:color="auto"/>
        <w:bottom w:val="none" w:sz="0" w:space="0" w:color="auto"/>
        <w:right w:val="none" w:sz="0" w:space="0" w:color="auto"/>
      </w:divBdr>
    </w:div>
    <w:div w:id="469984589">
      <w:bodyDiv w:val="1"/>
      <w:marLeft w:val="0"/>
      <w:marRight w:val="0"/>
      <w:marTop w:val="0"/>
      <w:marBottom w:val="0"/>
      <w:divBdr>
        <w:top w:val="none" w:sz="0" w:space="0" w:color="auto"/>
        <w:left w:val="none" w:sz="0" w:space="0" w:color="auto"/>
        <w:bottom w:val="none" w:sz="0" w:space="0" w:color="auto"/>
        <w:right w:val="none" w:sz="0" w:space="0" w:color="auto"/>
      </w:divBdr>
    </w:div>
    <w:div w:id="483159858">
      <w:bodyDiv w:val="1"/>
      <w:marLeft w:val="0"/>
      <w:marRight w:val="0"/>
      <w:marTop w:val="0"/>
      <w:marBottom w:val="0"/>
      <w:divBdr>
        <w:top w:val="none" w:sz="0" w:space="0" w:color="auto"/>
        <w:left w:val="none" w:sz="0" w:space="0" w:color="auto"/>
        <w:bottom w:val="none" w:sz="0" w:space="0" w:color="auto"/>
        <w:right w:val="none" w:sz="0" w:space="0" w:color="auto"/>
      </w:divBdr>
    </w:div>
    <w:div w:id="494541223">
      <w:bodyDiv w:val="1"/>
      <w:marLeft w:val="0"/>
      <w:marRight w:val="0"/>
      <w:marTop w:val="0"/>
      <w:marBottom w:val="0"/>
      <w:divBdr>
        <w:top w:val="none" w:sz="0" w:space="0" w:color="auto"/>
        <w:left w:val="none" w:sz="0" w:space="0" w:color="auto"/>
        <w:bottom w:val="none" w:sz="0" w:space="0" w:color="auto"/>
        <w:right w:val="none" w:sz="0" w:space="0" w:color="auto"/>
      </w:divBdr>
    </w:div>
    <w:div w:id="517159018">
      <w:bodyDiv w:val="1"/>
      <w:marLeft w:val="0"/>
      <w:marRight w:val="0"/>
      <w:marTop w:val="0"/>
      <w:marBottom w:val="0"/>
      <w:divBdr>
        <w:top w:val="none" w:sz="0" w:space="0" w:color="auto"/>
        <w:left w:val="none" w:sz="0" w:space="0" w:color="auto"/>
        <w:bottom w:val="none" w:sz="0" w:space="0" w:color="auto"/>
        <w:right w:val="none" w:sz="0" w:space="0" w:color="auto"/>
      </w:divBdr>
    </w:div>
    <w:div w:id="518469572">
      <w:bodyDiv w:val="1"/>
      <w:marLeft w:val="0"/>
      <w:marRight w:val="0"/>
      <w:marTop w:val="0"/>
      <w:marBottom w:val="0"/>
      <w:divBdr>
        <w:top w:val="none" w:sz="0" w:space="0" w:color="auto"/>
        <w:left w:val="none" w:sz="0" w:space="0" w:color="auto"/>
        <w:bottom w:val="none" w:sz="0" w:space="0" w:color="auto"/>
        <w:right w:val="none" w:sz="0" w:space="0" w:color="auto"/>
      </w:divBdr>
    </w:div>
    <w:div w:id="519664824">
      <w:bodyDiv w:val="1"/>
      <w:marLeft w:val="0"/>
      <w:marRight w:val="0"/>
      <w:marTop w:val="0"/>
      <w:marBottom w:val="0"/>
      <w:divBdr>
        <w:top w:val="none" w:sz="0" w:space="0" w:color="auto"/>
        <w:left w:val="none" w:sz="0" w:space="0" w:color="auto"/>
        <w:bottom w:val="none" w:sz="0" w:space="0" w:color="auto"/>
        <w:right w:val="none" w:sz="0" w:space="0" w:color="auto"/>
      </w:divBdr>
    </w:div>
    <w:div w:id="519969882">
      <w:bodyDiv w:val="1"/>
      <w:marLeft w:val="0"/>
      <w:marRight w:val="0"/>
      <w:marTop w:val="0"/>
      <w:marBottom w:val="0"/>
      <w:divBdr>
        <w:top w:val="none" w:sz="0" w:space="0" w:color="auto"/>
        <w:left w:val="none" w:sz="0" w:space="0" w:color="auto"/>
        <w:bottom w:val="none" w:sz="0" w:space="0" w:color="auto"/>
        <w:right w:val="none" w:sz="0" w:space="0" w:color="auto"/>
      </w:divBdr>
    </w:div>
    <w:div w:id="530653453">
      <w:bodyDiv w:val="1"/>
      <w:marLeft w:val="0"/>
      <w:marRight w:val="0"/>
      <w:marTop w:val="0"/>
      <w:marBottom w:val="0"/>
      <w:divBdr>
        <w:top w:val="none" w:sz="0" w:space="0" w:color="auto"/>
        <w:left w:val="none" w:sz="0" w:space="0" w:color="auto"/>
        <w:bottom w:val="none" w:sz="0" w:space="0" w:color="auto"/>
        <w:right w:val="none" w:sz="0" w:space="0" w:color="auto"/>
      </w:divBdr>
    </w:div>
    <w:div w:id="538127051">
      <w:bodyDiv w:val="1"/>
      <w:marLeft w:val="0"/>
      <w:marRight w:val="0"/>
      <w:marTop w:val="0"/>
      <w:marBottom w:val="0"/>
      <w:divBdr>
        <w:top w:val="none" w:sz="0" w:space="0" w:color="auto"/>
        <w:left w:val="none" w:sz="0" w:space="0" w:color="auto"/>
        <w:bottom w:val="none" w:sz="0" w:space="0" w:color="auto"/>
        <w:right w:val="none" w:sz="0" w:space="0" w:color="auto"/>
      </w:divBdr>
    </w:div>
    <w:div w:id="543366135">
      <w:bodyDiv w:val="1"/>
      <w:marLeft w:val="0"/>
      <w:marRight w:val="0"/>
      <w:marTop w:val="0"/>
      <w:marBottom w:val="0"/>
      <w:divBdr>
        <w:top w:val="none" w:sz="0" w:space="0" w:color="auto"/>
        <w:left w:val="none" w:sz="0" w:space="0" w:color="auto"/>
        <w:bottom w:val="none" w:sz="0" w:space="0" w:color="auto"/>
        <w:right w:val="none" w:sz="0" w:space="0" w:color="auto"/>
      </w:divBdr>
    </w:div>
    <w:div w:id="561403034">
      <w:bodyDiv w:val="1"/>
      <w:marLeft w:val="0"/>
      <w:marRight w:val="0"/>
      <w:marTop w:val="0"/>
      <w:marBottom w:val="0"/>
      <w:divBdr>
        <w:top w:val="none" w:sz="0" w:space="0" w:color="auto"/>
        <w:left w:val="none" w:sz="0" w:space="0" w:color="auto"/>
        <w:bottom w:val="none" w:sz="0" w:space="0" w:color="auto"/>
        <w:right w:val="none" w:sz="0" w:space="0" w:color="auto"/>
      </w:divBdr>
    </w:div>
    <w:div w:id="583419006">
      <w:bodyDiv w:val="1"/>
      <w:marLeft w:val="0"/>
      <w:marRight w:val="0"/>
      <w:marTop w:val="0"/>
      <w:marBottom w:val="0"/>
      <w:divBdr>
        <w:top w:val="none" w:sz="0" w:space="0" w:color="auto"/>
        <w:left w:val="none" w:sz="0" w:space="0" w:color="auto"/>
        <w:bottom w:val="none" w:sz="0" w:space="0" w:color="auto"/>
        <w:right w:val="none" w:sz="0" w:space="0" w:color="auto"/>
      </w:divBdr>
    </w:div>
    <w:div w:id="594558420">
      <w:bodyDiv w:val="1"/>
      <w:marLeft w:val="0"/>
      <w:marRight w:val="0"/>
      <w:marTop w:val="0"/>
      <w:marBottom w:val="0"/>
      <w:divBdr>
        <w:top w:val="none" w:sz="0" w:space="0" w:color="auto"/>
        <w:left w:val="none" w:sz="0" w:space="0" w:color="auto"/>
        <w:bottom w:val="none" w:sz="0" w:space="0" w:color="auto"/>
        <w:right w:val="none" w:sz="0" w:space="0" w:color="auto"/>
      </w:divBdr>
    </w:div>
    <w:div w:id="608583109">
      <w:bodyDiv w:val="1"/>
      <w:marLeft w:val="0"/>
      <w:marRight w:val="0"/>
      <w:marTop w:val="0"/>
      <w:marBottom w:val="0"/>
      <w:divBdr>
        <w:top w:val="none" w:sz="0" w:space="0" w:color="auto"/>
        <w:left w:val="none" w:sz="0" w:space="0" w:color="auto"/>
        <w:bottom w:val="none" w:sz="0" w:space="0" w:color="auto"/>
        <w:right w:val="none" w:sz="0" w:space="0" w:color="auto"/>
      </w:divBdr>
    </w:div>
    <w:div w:id="624122150">
      <w:bodyDiv w:val="1"/>
      <w:marLeft w:val="0"/>
      <w:marRight w:val="0"/>
      <w:marTop w:val="0"/>
      <w:marBottom w:val="0"/>
      <w:divBdr>
        <w:top w:val="none" w:sz="0" w:space="0" w:color="auto"/>
        <w:left w:val="none" w:sz="0" w:space="0" w:color="auto"/>
        <w:bottom w:val="none" w:sz="0" w:space="0" w:color="auto"/>
        <w:right w:val="none" w:sz="0" w:space="0" w:color="auto"/>
      </w:divBdr>
    </w:div>
    <w:div w:id="627276332">
      <w:bodyDiv w:val="1"/>
      <w:marLeft w:val="0"/>
      <w:marRight w:val="0"/>
      <w:marTop w:val="0"/>
      <w:marBottom w:val="0"/>
      <w:divBdr>
        <w:top w:val="none" w:sz="0" w:space="0" w:color="auto"/>
        <w:left w:val="none" w:sz="0" w:space="0" w:color="auto"/>
        <w:bottom w:val="none" w:sz="0" w:space="0" w:color="auto"/>
        <w:right w:val="none" w:sz="0" w:space="0" w:color="auto"/>
      </w:divBdr>
    </w:div>
    <w:div w:id="632520190">
      <w:bodyDiv w:val="1"/>
      <w:marLeft w:val="0"/>
      <w:marRight w:val="0"/>
      <w:marTop w:val="0"/>
      <w:marBottom w:val="0"/>
      <w:divBdr>
        <w:top w:val="none" w:sz="0" w:space="0" w:color="auto"/>
        <w:left w:val="none" w:sz="0" w:space="0" w:color="auto"/>
        <w:bottom w:val="none" w:sz="0" w:space="0" w:color="auto"/>
        <w:right w:val="none" w:sz="0" w:space="0" w:color="auto"/>
      </w:divBdr>
    </w:div>
    <w:div w:id="654378498">
      <w:bodyDiv w:val="1"/>
      <w:marLeft w:val="0"/>
      <w:marRight w:val="0"/>
      <w:marTop w:val="0"/>
      <w:marBottom w:val="0"/>
      <w:divBdr>
        <w:top w:val="none" w:sz="0" w:space="0" w:color="auto"/>
        <w:left w:val="none" w:sz="0" w:space="0" w:color="auto"/>
        <w:bottom w:val="none" w:sz="0" w:space="0" w:color="auto"/>
        <w:right w:val="none" w:sz="0" w:space="0" w:color="auto"/>
      </w:divBdr>
    </w:div>
    <w:div w:id="683432957">
      <w:bodyDiv w:val="1"/>
      <w:marLeft w:val="0"/>
      <w:marRight w:val="0"/>
      <w:marTop w:val="0"/>
      <w:marBottom w:val="0"/>
      <w:divBdr>
        <w:top w:val="none" w:sz="0" w:space="0" w:color="auto"/>
        <w:left w:val="none" w:sz="0" w:space="0" w:color="auto"/>
        <w:bottom w:val="none" w:sz="0" w:space="0" w:color="auto"/>
        <w:right w:val="none" w:sz="0" w:space="0" w:color="auto"/>
      </w:divBdr>
    </w:div>
    <w:div w:id="690230056">
      <w:bodyDiv w:val="1"/>
      <w:marLeft w:val="0"/>
      <w:marRight w:val="0"/>
      <w:marTop w:val="0"/>
      <w:marBottom w:val="0"/>
      <w:divBdr>
        <w:top w:val="none" w:sz="0" w:space="0" w:color="auto"/>
        <w:left w:val="none" w:sz="0" w:space="0" w:color="auto"/>
        <w:bottom w:val="none" w:sz="0" w:space="0" w:color="auto"/>
        <w:right w:val="none" w:sz="0" w:space="0" w:color="auto"/>
      </w:divBdr>
    </w:div>
    <w:div w:id="722632247">
      <w:bodyDiv w:val="1"/>
      <w:marLeft w:val="0"/>
      <w:marRight w:val="0"/>
      <w:marTop w:val="0"/>
      <w:marBottom w:val="0"/>
      <w:divBdr>
        <w:top w:val="none" w:sz="0" w:space="0" w:color="auto"/>
        <w:left w:val="none" w:sz="0" w:space="0" w:color="auto"/>
        <w:bottom w:val="none" w:sz="0" w:space="0" w:color="auto"/>
        <w:right w:val="none" w:sz="0" w:space="0" w:color="auto"/>
      </w:divBdr>
    </w:div>
    <w:div w:id="725177010">
      <w:bodyDiv w:val="1"/>
      <w:marLeft w:val="0"/>
      <w:marRight w:val="0"/>
      <w:marTop w:val="0"/>
      <w:marBottom w:val="0"/>
      <w:divBdr>
        <w:top w:val="none" w:sz="0" w:space="0" w:color="auto"/>
        <w:left w:val="none" w:sz="0" w:space="0" w:color="auto"/>
        <w:bottom w:val="none" w:sz="0" w:space="0" w:color="auto"/>
        <w:right w:val="none" w:sz="0" w:space="0" w:color="auto"/>
      </w:divBdr>
    </w:div>
    <w:div w:id="732242194">
      <w:bodyDiv w:val="1"/>
      <w:marLeft w:val="0"/>
      <w:marRight w:val="0"/>
      <w:marTop w:val="0"/>
      <w:marBottom w:val="0"/>
      <w:divBdr>
        <w:top w:val="none" w:sz="0" w:space="0" w:color="auto"/>
        <w:left w:val="none" w:sz="0" w:space="0" w:color="auto"/>
        <w:bottom w:val="none" w:sz="0" w:space="0" w:color="auto"/>
        <w:right w:val="none" w:sz="0" w:space="0" w:color="auto"/>
      </w:divBdr>
    </w:div>
    <w:div w:id="739640830">
      <w:bodyDiv w:val="1"/>
      <w:marLeft w:val="0"/>
      <w:marRight w:val="0"/>
      <w:marTop w:val="0"/>
      <w:marBottom w:val="0"/>
      <w:divBdr>
        <w:top w:val="none" w:sz="0" w:space="0" w:color="auto"/>
        <w:left w:val="none" w:sz="0" w:space="0" w:color="auto"/>
        <w:bottom w:val="none" w:sz="0" w:space="0" w:color="auto"/>
        <w:right w:val="none" w:sz="0" w:space="0" w:color="auto"/>
      </w:divBdr>
    </w:div>
    <w:div w:id="748159452">
      <w:bodyDiv w:val="1"/>
      <w:marLeft w:val="0"/>
      <w:marRight w:val="0"/>
      <w:marTop w:val="0"/>
      <w:marBottom w:val="0"/>
      <w:divBdr>
        <w:top w:val="none" w:sz="0" w:space="0" w:color="auto"/>
        <w:left w:val="none" w:sz="0" w:space="0" w:color="auto"/>
        <w:bottom w:val="none" w:sz="0" w:space="0" w:color="auto"/>
        <w:right w:val="none" w:sz="0" w:space="0" w:color="auto"/>
      </w:divBdr>
    </w:div>
    <w:div w:id="753165530">
      <w:bodyDiv w:val="1"/>
      <w:marLeft w:val="0"/>
      <w:marRight w:val="0"/>
      <w:marTop w:val="0"/>
      <w:marBottom w:val="0"/>
      <w:divBdr>
        <w:top w:val="none" w:sz="0" w:space="0" w:color="auto"/>
        <w:left w:val="none" w:sz="0" w:space="0" w:color="auto"/>
        <w:bottom w:val="none" w:sz="0" w:space="0" w:color="auto"/>
        <w:right w:val="none" w:sz="0" w:space="0" w:color="auto"/>
      </w:divBdr>
    </w:div>
    <w:div w:id="756903609">
      <w:bodyDiv w:val="1"/>
      <w:marLeft w:val="0"/>
      <w:marRight w:val="0"/>
      <w:marTop w:val="0"/>
      <w:marBottom w:val="0"/>
      <w:divBdr>
        <w:top w:val="none" w:sz="0" w:space="0" w:color="auto"/>
        <w:left w:val="none" w:sz="0" w:space="0" w:color="auto"/>
        <w:bottom w:val="none" w:sz="0" w:space="0" w:color="auto"/>
        <w:right w:val="none" w:sz="0" w:space="0" w:color="auto"/>
      </w:divBdr>
    </w:div>
    <w:div w:id="796339274">
      <w:bodyDiv w:val="1"/>
      <w:marLeft w:val="0"/>
      <w:marRight w:val="0"/>
      <w:marTop w:val="0"/>
      <w:marBottom w:val="0"/>
      <w:divBdr>
        <w:top w:val="none" w:sz="0" w:space="0" w:color="auto"/>
        <w:left w:val="none" w:sz="0" w:space="0" w:color="auto"/>
        <w:bottom w:val="none" w:sz="0" w:space="0" w:color="auto"/>
        <w:right w:val="none" w:sz="0" w:space="0" w:color="auto"/>
      </w:divBdr>
    </w:div>
    <w:div w:id="802121590">
      <w:bodyDiv w:val="1"/>
      <w:marLeft w:val="0"/>
      <w:marRight w:val="0"/>
      <w:marTop w:val="0"/>
      <w:marBottom w:val="0"/>
      <w:divBdr>
        <w:top w:val="none" w:sz="0" w:space="0" w:color="auto"/>
        <w:left w:val="none" w:sz="0" w:space="0" w:color="auto"/>
        <w:bottom w:val="none" w:sz="0" w:space="0" w:color="auto"/>
        <w:right w:val="none" w:sz="0" w:space="0" w:color="auto"/>
      </w:divBdr>
    </w:div>
    <w:div w:id="821389634">
      <w:bodyDiv w:val="1"/>
      <w:marLeft w:val="0"/>
      <w:marRight w:val="0"/>
      <w:marTop w:val="0"/>
      <w:marBottom w:val="0"/>
      <w:divBdr>
        <w:top w:val="none" w:sz="0" w:space="0" w:color="auto"/>
        <w:left w:val="none" w:sz="0" w:space="0" w:color="auto"/>
        <w:bottom w:val="none" w:sz="0" w:space="0" w:color="auto"/>
        <w:right w:val="none" w:sz="0" w:space="0" w:color="auto"/>
      </w:divBdr>
    </w:div>
    <w:div w:id="831336092">
      <w:bodyDiv w:val="1"/>
      <w:marLeft w:val="0"/>
      <w:marRight w:val="0"/>
      <w:marTop w:val="0"/>
      <w:marBottom w:val="0"/>
      <w:divBdr>
        <w:top w:val="none" w:sz="0" w:space="0" w:color="auto"/>
        <w:left w:val="none" w:sz="0" w:space="0" w:color="auto"/>
        <w:bottom w:val="none" w:sz="0" w:space="0" w:color="auto"/>
        <w:right w:val="none" w:sz="0" w:space="0" w:color="auto"/>
      </w:divBdr>
    </w:div>
    <w:div w:id="840201853">
      <w:bodyDiv w:val="1"/>
      <w:marLeft w:val="0"/>
      <w:marRight w:val="0"/>
      <w:marTop w:val="0"/>
      <w:marBottom w:val="0"/>
      <w:divBdr>
        <w:top w:val="none" w:sz="0" w:space="0" w:color="auto"/>
        <w:left w:val="none" w:sz="0" w:space="0" w:color="auto"/>
        <w:bottom w:val="none" w:sz="0" w:space="0" w:color="auto"/>
        <w:right w:val="none" w:sz="0" w:space="0" w:color="auto"/>
      </w:divBdr>
    </w:div>
    <w:div w:id="897478726">
      <w:bodyDiv w:val="1"/>
      <w:marLeft w:val="0"/>
      <w:marRight w:val="0"/>
      <w:marTop w:val="0"/>
      <w:marBottom w:val="0"/>
      <w:divBdr>
        <w:top w:val="none" w:sz="0" w:space="0" w:color="auto"/>
        <w:left w:val="none" w:sz="0" w:space="0" w:color="auto"/>
        <w:bottom w:val="none" w:sz="0" w:space="0" w:color="auto"/>
        <w:right w:val="none" w:sz="0" w:space="0" w:color="auto"/>
      </w:divBdr>
    </w:div>
    <w:div w:id="906840804">
      <w:bodyDiv w:val="1"/>
      <w:marLeft w:val="0"/>
      <w:marRight w:val="0"/>
      <w:marTop w:val="0"/>
      <w:marBottom w:val="0"/>
      <w:divBdr>
        <w:top w:val="none" w:sz="0" w:space="0" w:color="auto"/>
        <w:left w:val="none" w:sz="0" w:space="0" w:color="auto"/>
        <w:bottom w:val="none" w:sz="0" w:space="0" w:color="auto"/>
        <w:right w:val="none" w:sz="0" w:space="0" w:color="auto"/>
      </w:divBdr>
    </w:div>
    <w:div w:id="929048839">
      <w:bodyDiv w:val="1"/>
      <w:marLeft w:val="0"/>
      <w:marRight w:val="0"/>
      <w:marTop w:val="0"/>
      <w:marBottom w:val="0"/>
      <w:divBdr>
        <w:top w:val="none" w:sz="0" w:space="0" w:color="auto"/>
        <w:left w:val="none" w:sz="0" w:space="0" w:color="auto"/>
        <w:bottom w:val="none" w:sz="0" w:space="0" w:color="auto"/>
        <w:right w:val="none" w:sz="0" w:space="0" w:color="auto"/>
      </w:divBdr>
    </w:div>
    <w:div w:id="1013074139">
      <w:bodyDiv w:val="1"/>
      <w:marLeft w:val="0"/>
      <w:marRight w:val="0"/>
      <w:marTop w:val="0"/>
      <w:marBottom w:val="0"/>
      <w:divBdr>
        <w:top w:val="none" w:sz="0" w:space="0" w:color="auto"/>
        <w:left w:val="none" w:sz="0" w:space="0" w:color="auto"/>
        <w:bottom w:val="none" w:sz="0" w:space="0" w:color="auto"/>
        <w:right w:val="none" w:sz="0" w:space="0" w:color="auto"/>
      </w:divBdr>
    </w:div>
    <w:div w:id="1020351440">
      <w:bodyDiv w:val="1"/>
      <w:marLeft w:val="0"/>
      <w:marRight w:val="0"/>
      <w:marTop w:val="0"/>
      <w:marBottom w:val="0"/>
      <w:divBdr>
        <w:top w:val="none" w:sz="0" w:space="0" w:color="auto"/>
        <w:left w:val="none" w:sz="0" w:space="0" w:color="auto"/>
        <w:bottom w:val="none" w:sz="0" w:space="0" w:color="auto"/>
        <w:right w:val="none" w:sz="0" w:space="0" w:color="auto"/>
      </w:divBdr>
    </w:div>
    <w:div w:id="1048265914">
      <w:bodyDiv w:val="1"/>
      <w:marLeft w:val="0"/>
      <w:marRight w:val="0"/>
      <w:marTop w:val="0"/>
      <w:marBottom w:val="0"/>
      <w:divBdr>
        <w:top w:val="none" w:sz="0" w:space="0" w:color="auto"/>
        <w:left w:val="none" w:sz="0" w:space="0" w:color="auto"/>
        <w:bottom w:val="none" w:sz="0" w:space="0" w:color="auto"/>
        <w:right w:val="none" w:sz="0" w:space="0" w:color="auto"/>
      </w:divBdr>
    </w:div>
    <w:div w:id="1082944184">
      <w:bodyDiv w:val="1"/>
      <w:marLeft w:val="0"/>
      <w:marRight w:val="0"/>
      <w:marTop w:val="0"/>
      <w:marBottom w:val="0"/>
      <w:divBdr>
        <w:top w:val="none" w:sz="0" w:space="0" w:color="auto"/>
        <w:left w:val="none" w:sz="0" w:space="0" w:color="auto"/>
        <w:bottom w:val="none" w:sz="0" w:space="0" w:color="auto"/>
        <w:right w:val="none" w:sz="0" w:space="0" w:color="auto"/>
      </w:divBdr>
    </w:div>
    <w:div w:id="1086805776">
      <w:bodyDiv w:val="1"/>
      <w:marLeft w:val="0"/>
      <w:marRight w:val="0"/>
      <w:marTop w:val="0"/>
      <w:marBottom w:val="0"/>
      <w:divBdr>
        <w:top w:val="none" w:sz="0" w:space="0" w:color="auto"/>
        <w:left w:val="none" w:sz="0" w:space="0" w:color="auto"/>
        <w:bottom w:val="none" w:sz="0" w:space="0" w:color="auto"/>
        <w:right w:val="none" w:sz="0" w:space="0" w:color="auto"/>
      </w:divBdr>
    </w:div>
    <w:div w:id="1099372865">
      <w:bodyDiv w:val="1"/>
      <w:marLeft w:val="0"/>
      <w:marRight w:val="0"/>
      <w:marTop w:val="0"/>
      <w:marBottom w:val="0"/>
      <w:divBdr>
        <w:top w:val="none" w:sz="0" w:space="0" w:color="auto"/>
        <w:left w:val="none" w:sz="0" w:space="0" w:color="auto"/>
        <w:bottom w:val="none" w:sz="0" w:space="0" w:color="auto"/>
        <w:right w:val="none" w:sz="0" w:space="0" w:color="auto"/>
      </w:divBdr>
    </w:div>
    <w:div w:id="1127161288">
      <w:bodyDiv w:val="1"/>
      <w:marLeft w:val="0"/>
      <w:marRight w:val="0"/>
      <w:marTop w:val="0"/>
      <w:marBottom w:val="0"/>
      <w:divBdr>
        <w:top w:val="none" w:sz="0" w:space="0" w:color="auto"/>
        <w:left w:val="none" w:sz="0" w:space="0" w:color="auto"/>
        <w:bottom w:val="none" w:sz="0" w:space="0" w:color="auto"/>
        <w:right w:val="none" w:sz="0" w:space="0" w:color="auto"/>
      </w:divBdr>
    </w:div>
    <w:div w:id="1133134571">
      <w:bodyDiv w:val="1"/>
      <w:marLeft w:val="0"/>
      <w:marRight w:val="0"/>
      <w:marTop w:val="0"/>
      <w:marBottom w:val="0"/>
      <w:divBdr>
        <w:top w:val="none" w:sz="0" w:space="0" w:color="auto"/>
        <w:left w:val="none" w:sz="0" w:space="0" w:color="auto"/>
        <w:bottom w:val="none" w:sz="0" w:space="0" w:color="auto"/>
        <w:right w:val="none" w:sz="0" w:space="0" w:color="auto"/>
      </w:divBdr>
    </w:div>
    <w:div w:id="1212427099">
      <w:bodyDiv w:val="1"/>
      <w:marLeft w:val="0"/>
      <w:marRight w:val="0"/>
      <w:marTop w:val="0"/>
      <w:marBottom w:val="0"/>
      <w:divBdr>
        <w:top w:val="none" w:sz="0" w:space="0" w:color="auto"/>
        <w:left w:val="none" w:sz="0" w:space="0" w:color="auto"/>
        <w:bottom w:val="none" w:sz="0" w:space="0" w:color="auto"/>
        <w:right w:val="none" w:sz="0" w:space="0" w:color="auto"/>
      </w:divBdr>
    </w:div>
    <w:div w:id="1264997564">
      <w:bodyDiv w:val="1"/>
      <w:marLeft w:val="0"/>
      <w:marRight w:val="0"/>
      <w:marTop w:val="0"/>
      <w:marBottom w:val="0"/>
      <w:divBdr>
        <w:top w:val="none" w:sz="0" w:space="0" w:color="auto"/>
        <w:left w:val="none" w:sz="0" w:space="0" w:color="auto"/>
        <w:bottom w:val="none" w:sz="0" w:space="0" w:color="auto"/>
        <w:right w:val="none" w:sz="0" w:space="0" w:color="auto"/>
      </w:divBdr>
    </w:div>
    <w:div w:id="1310212764">
      <w:bodyDiv w:val="1"/>
      <w:marLeft w:val="0"/>
      <w:marRight w:val="0"/>
      <w:marTop w:val="0"/>
      <w:marBottom w:val="0"/>
      <w:divBdr>
        <w:top w:val="none" w:sz="0" w:space="0" w:color="auto"/>
        <w:left w:val="none" w:sz="0" w:space="0" w:color="auto"/>
        <w:bottom w:val="none" w:sz="0" w:space="0" w:color="auto"/>
        <w:right w:val="none" w:sz="0" w:space="0" w:color="auto"/>
      </w:divBdr>
    </w:div>
    <w:div w:id="1313145396">
      <w:bodyDiv w:val="1"/>
      <w:marLeft w:val="0"/>
      <w:marRight w:val="0"/>
      <w:marTop w:val="0"/>
      <w:marBottom w:val="0"/>
      <w:divBdr>
        <w:top w:val="none" w:sz="0" w:space="0" w:color="auto"/>
        <w:left w:val="none" w:sz="0" w:space="0" w:color="auto"/>
        <w:bottom w:val="none" w:sz="0" w:space="0" w:color="auto"/>
        <w:right w:val="none" w:sz="0" w:space="0" w:color="auto"/>
      </w:divBdr>
    </w:div>
    <w:div w:id="1317106723">
      <w:bodyDiv w:val="1"/>
      <w:marLeft w:val="0"/>
      <w:marRight w:val="0"/>
      <w:marTop w:val="0"/>
      <w:marBottom w:val="0"/>
      <w:divBdr>
        <w:top w:val="none" w:sz="0" w:space="0" w:color="auto"/>
        <w:left w:val="none" w:sz="0" w:space="0" w:color="auto"/>
        <w:bottom w:val="none" w:sz="0" w:space="0" w:color="auto"/>
        <w:right w:val="none" w:sz="0" w:space="0" w:color="auto"/>
      </w:divBdr>
    </w:div>
    <w:div w:id="1319768959">
      <w:bodyDiv w:val="1"/>
      <w:marLeft w:val="0"/>
      <w:marRight w:val="0"/>
      <w:marTop w:val="0"/>
      <w:marBottom w:val="0"/>
      <w:divBdr>
        <w:top w:val="none" w:sz="0" w:space="0" w:color="auto"/>
        <w:left w:val="none" w:sz="0" w:space="0" w:color="auto"/>
        <w:bottom w:val="none" w:sz="0" w:space="0" w:color="auto"/>
        <w:right w:val="none" w:sz="0" w:space="0" w:color="auto"/>
      </w:divBdr>
    </w:div>
    <w:div w:id="1319961662">
      <w:bodyDiv w:val="1"/>
      <w:marLeft w:val="0"/>
      <w:marRight w:val="0"/>
      <w:marTop w:val="0"/>
      <w:marBottom w:val="0"/>
      <w:divBdr>
        <w:top w:val="none" w:sz="0" w:space="0" w:color="auto"/>
        <w:left w:val="none" w:sz="0" w:space="0" w:color="auto"/>
        <w:bottom w:val="none" w:sz="0" w:space="0" w:color="auto"/>
        <w:right w:val="none" w:sz="0" w:space="0" w:color="auto"/>
      </w:divBdr>
    </w:div>
    <w:div w:id="1327783443">
      <w:bodyDiv w:val="1"/>
      <w:marLeft w:val="0"/>
      <w:marRight w:val="0"/>
      <w:marTop w:val="0"/>
      <w:marBottom w:val="0"/>
      <w:divBdr>
        <w:top w:val="none" w:sz="0" w:space="0" w:color="auto"/>
        <w:left w:val="none" w:sz="0" w:space="0" w:color="auto"/>
        <w:bottom w:val="none" w:sz="0" w:space="0" w:color="auto"/>
        <w:right w:val="none" w:sz="0" w:space="0" w:color="auto"/>
      </w:divBdr>
    </w:div>
    <w:div w:id="1343161857">
      <w:bodyDiv w:val="1"/>
      <w:marLeft w:val="0"/>
      <w:marRight w:val="0"/>
      <w:marTop w:val="0"/>
      <w:marBottom w:val="0"/>
      <w:divBdr>
        <w:top w:val="none" w:sz="0" w:space="0" w:color="auto"/>
        <w:left w:val="none" w:sz="0" w:space="0" w:color="auto"/>
        <w:bottom w:val="none" w:sz="0" w:space="0" w:color="auto"/>
        <w:right w:val="none" w:sz="0" w:space="0" w:color="auto"/>
      </w:divBdr>
    </w:div>
    <w:div w:id="1357998553">
      <w:bodyDiv w:val="1"/>
      <w:marLeft w:val="0"/>
      <w:marRight w:val="0"/>
      <w:marTop w:val="0"/>
      <w:marBottom w:val="0"/>
      <w:divBdr>
        <w:top w:val="none" w:sz="0" w:space="0" w:color="auto"/>
        <w:left w:val="none" w:sz="0" w:space="0" w:color="auto"/>
        <w:bottom w:val="none" w:sz="0" w:space="0" w:color="auto"/>
        <w:right w:val="none" w:sz="0" w:space="0" w:color="auto"/>
      </w:divBdr>
    </w:div>
    <w:div w:id="1370914062">
      <w:bodyDiv w:val="1"/>
      <w:marLeft w:val="0"/>
      <w:marRight w:val="0"/>
      <w:marTop w:val="0"/>
      <w:marBottom w:val="0"/>
      <w:divBdr>
        <w:top w:val="none" w:sz="0" w:space="0" w:color="auto"/>
        <w:left w:val="none" w:sz="0" w:space="0" w:color="auto"/>
        <w:bottom w:val="none" w:sz="0" w:space="0" w:color="auto"/>
        <w:right w:val="none" w:sz="0" w:space="0" w:color="auto"/>
      </w:divBdr>
    </w:div>
    <w:div w:id="1393194354">
      <w:bodyDiv w:val="1"/>
      <w:marLeft w:val="0"/>
      <w:marRight w:val="0"/>
      <w:marTop w:val="0"/>
      <w:marBottom w:val="0"/>
      <w:divBdr>
        <w:top w:val="none" w:sz="0" w:space="0" w:color="auto"/>
        <w:left w:val="none" w:sz="0" w:space="0" w:color="auto"/>
        <w:bottom w:val="none" w:sz="0" w:space="0" w:color="auto"/>
        <w:right w:val="none" w:sz="0" w:space="0" w:color="auto"/>
      </w:divBdr>
    </w:div>
    <w:div w:id="1429539963">
      <w:bodyDiv w:val="1"/>
      <w:marLeft w:val="0"/>
      <w:marRight w:val="0"/>
      <w:marTop w:val="0"/>
      <w:marBottom w:val="0"/>
      <w:divBdr>
        <w:top w:val="none" w:sz="0" w:space="0" w:color="auto"/>
        <w:left w:val="none" w:sz="0" w:space="0" w:color="auto"/>
        <w:bottom w:val="none" w:sz="0" w:space="0" w:color="auto"/>
        <w:right w:val="none" w:sz="0" w:space="0" w:color="auto"/>
      </w:divBdr>
    </w:div>
    <w:div w:id="1460222473">
      <w:bodyDiv w:val="1"/>
      <w:marLeft w:val="0"/>
      <w:marRight w:val="0"/>
      <w:marTop w:val="0"/>
      <w:marBottom w:val="0"/>
      <w:divBdr>
        <w:top w:val="none" w:sz="0" w:space="0" w:color="auto"/>
        <w:left w:val="none" w:sz="0" w:space="0" w:color="auto"/>
        <w:bottom w:val="none" w:sz="0" w:space="0" w:color="auto"/>
        <w:right w:val="none" w:sz="0" w:space="0" w:color="auto"/>
      </w:divBdr>
    </w:div>
    <w:div w:id="1478886395">
      <w:bodyDiv w:val="1"/>
      <w:marLeft w:val="0"/>
      <w:marRight w:val="0"/>
      <w:marTop w:val="0"/>
      <w:marBottom w:val="0"/>
      <w:divBdr>
        <w:top w:val="none" w:sz="0" w:space="0" w:color="auto"/>
        <w:left w:val="none" w:sz="0" w:space="0" w:color="auto"/>
        <w:bottom w:val="none" w:sz="0" w:space="0" w:color="auto"/>
        <w:right w:val="none" w:sz="0" w:space="0" w:color="auto"/>
      </w:divBdr>
    </w:div>
    <w:div w:id="1494030769">
      <w:bodyDiv w:val="1"/>
      <w:marLeft w:val="0"/>
      <w:marRight w:val="0"/>
      <w:marTop w:val="0"/>
      <w:marBottom w:val="0"/>
      <w:divBdr>
        <w:top w:val="none" w:sz="0" w:space="0" w:color="auto"/>
        <w:left w:val="none" w:sz="0" w:space="0" w:color="auto"/>
        <w:bottom w:val="none" w:sz="0" w:space="0" w:color="auto"/>
        <w:right w:val="none" w:sz="0" w:space="0" w:color="auto"/>
      </w:divBdr>
    </w:div>
    <w:div w:id="1511528015">
      <w:bodyDiv w:val="1"/>
      <w:marLeft w:val="0"/>
      <w:marRight w:val="0"/>
      <w:marTop w:val="0"/>
      <w:marBottom w:val="0"/>
      <w:divBdr>
        <w:top w:val="none" w:sz="0" w:space="0" w:color="auto"/>
        <w:left w:val="none" w:sz="0" w:space="0" w:color="auto"/>
        <w:bottom w:val="none" w:sz="0" w:space="0" w:color="auto"/>
        <w:right w:val="none" w:sz="0" w:space="0" w:color="auto"/>
      </w:divBdr>
    </w:div>
    <w:div w:id="1521818519">
      <w:bodyDiv w:val="1"/>
      <w:marLeft w:val="0"/>
      <w:marRight w:val="0"/>
      <w:marTop w:val="0"/>
      <w:marBottom w:val="0"/>
      <w:divBdr>
        <w:top w:val="none" w:sz="0" w:space="0" w:color="auto"/>
        <w:left w:val="none" w:sz="0" w:space="0" w:color="auto"/>
        <w:bottom w:val="none" w:sz="0" w:space="0" w:color="auto"/>
        <w:right w:val="none" w:sz="0" w:space="0" w:color="auto"/>
      </w:divBdr>
    </w:div>
    <w:div w:id="1542017036">
      <w:bodyDiv w:val="1"/>
      <w:marLeft w:val="0"/>
      <w:marRight w:val="0"/>
      <w:marTop w:val="0"/>
      <w:marBottom w:val="0"/>
      <w:divBdr>
        <w:top w:val="none" w:sz="0" w:space="0" w:color="auto"/>
        <w:left w:val="none" w:sz="0" w:space="0" w:color="auto"/>
        <w:bottom w:val="none" w:sz="0" w:space="0" w:color="auto"/>
        <w:right w:val="none" w:sz="0" w:space="0" w:color="auto"/>
      </w:divBdr>
    </w:div>
    <w:div w:id="1546721656">
      <w:bodyDiv w:val="1"/>
      <w:marLeft w:val="0"/>
      <w:marRight w:val="0"/>
      <w:marTop w:val="0"/>
      <w:marBottom w:val="0"/>
      <w:divBdr>
        <w:top w:val="none" w:sz="0" w:space="0" w:color="auto"/>
        <w:left w:val="none" w:sz="0" w:space="0" w:color="auto"/>
        <w:bottom w:val="none" w:sz="0" w:space="0" w:color="auto"/>
        <w:right w:val="none" w:sz="0" w:space="0" w:color="auto"/>
      </w:divBdr>
    </w:div>
    <w:div w:id="1567758675">
      <w:bodyDiv w:val="1"/>
      <w:marLeft w:val="0"/>
      <w:marRight w:val="0"/>
      <w:marTop w:val="0"/>
      <w:marBottom w:val="0"/>
      <w:divBdr>
        <w:top w:val="none" w:sz="0" w:space="0" w:color="auto"/>
        <w:left w:val="none" w:sz="0" w:space="0" w:color="auto"/>
        <w:bottom w:val="none" w:sz="0" w:space="0" w:color="auto"/>
        <w:right w:val="none" w:sz="0" w:space="0" w:color="auto"/>
      </w:divBdr>
    </w:div>
    <w:div w:id="1568102044">
      <w:bodyDiv w:val="1"/>
      <w:marLeft w:val="0"/>
      <w:marRight w:val="0"/>
      <w:marTop w:val="0"/>
      <w:marBottom w:val="0"/>
      <w:divBdr>
        <w:top w:val="none" w:sz="0" w:space="0" w:color="auto"/>
        <w:left w:val="none" w:sz="0" w:space="0" w:color="auto"/>
        <w:bottom w:val="none" w:sz="0" w:space="0" w:color="auto"/>
        <w:right w:val="none" w:sz="0" w:space="0" w:color="auto"/>
      </w:divBdr>
    </w:div>
    <w:div w:id="1616521958">
      <w:bodyDiv w:val="1"/>
      <w:marLeft w:val="0"/>
      <w:marRight w:val="0"/>
      <w:marTop w:val="0"/>
      <w:marBottom w:val="0"/>
      <w:divBdr>
        <w:top w:val="none" w:sz="0" w:space="0" w:color="auto"/>
        <w:left w:val="none" w:sz="0" w:space="0" w:color="auto"/>
        <w:bottom w:val="none" w:sz="0" w:space="0" w:color="auto"/>
        <w:right w:val="none" w:sz="0" w:space="0" w:color="auto"/>
      </w:divBdr>
    </w:div>
    <w:div w:id="1641498819">
      <w:bodyDiv w:val="1"/>
      <w:marLeft w:val="0"/>
      <w:marRight w:val="0"/>
      <w:marTop w:val="0"/>
      <w:marBottom w:val="0"/>
      <w:divBdr>
        <w:top w:val="none" w:sz="0" w:space="0" w:color="auto"/>
        <w:left w:val="none" w:sz="0" w:space="0" w:color="auto"/>
        <w:bottom w:val="none" w:sz="0" w:space="0" w:color="auto"/>
        <w:right w:val="none" w:sz="0" w:space="0" w:color="auto"/>
      </w:divBdr>
    </w:div>
    <w:div w:id="1650089711">
      <w:bodyDiv w:val="1"/>
      <w:marLeft w:val="0"/>
      <w:marRight w:val="0"/>
      <w:marTop w:val="0"/>
      <w:marBottom w:val="0"/>
      <w:divBdr>
        <w:top w:val="none" w:sz="0" w:space="0" w:color="auto"/>
        <w:left w:val="none" w:sz="0" w:space="0" w:color="auto"/>
        <w:bottom w:val="none" w:sz="0" w:space="0" w:color="auto"/>
        <w:right w:val="none" w:sz="0" w:space="0" w:color="auto"/>
      </w:divBdr>
    </w:div>
    <w:div w:id="1652711121">
      <w:bodyDiv w:val="1"/>
      <w:marLeft w:val="0"/>
      <w:marRight w:val="0"/>
      <w:marTop w:val="0"/>
      <w:marBottom w:val="0"/>
      <w:divBdr>
        <w:top w:val="none" w:sz="0" w:space="0" w:color="auto"/>
        <w:left w:val="none" w:sz="0" w:space="0" w:color="auto"/>
        <w:bottom w:val="none" w:sz="0" w:space="0" w:color="auto"/>
        <w:right w:val="none" w:sz="0" w:space="0" w:color="auto"/>
      </w:divBdr>
    </w:div>
    <w:div w:id="1670863054">
      <w:bodyDiv w:val="1"/>
      <w:marLeft w:val="0"/>
      <w:marRight w:val="0"/>
      <w:marTop w:val="0"/>
      <w:marBottom w:val="0"/>
      <w:divBdr>
        <w:top w:val="none" w:sz="0" w:space="0" w:color="auto"/>
        <w:left w:val="none" w:sz="0" w:space="0" w:color="auto"/>
        <w:bottom w:val="none" w:sz="0" w:space="0" w:color="auto"/>
        <w:right w:val="none" w:sz="0" w:space="0" w:color="auto"/>
      </w:divBdr>
    </w:div>
    <w:div w:id="1680737633">
      <w:bodyDiv w:val="1"/>
      <w:marLeft w:val="0"/>
      <w:marRight w:val="0"/>
      <w:marTop w:val="0"/>
      <w:marBottom w:val="0"/>
      <w:divBdr>
        <w:top w:val="none" w:sz="0" w:space="0" w:color="auto"/>
        <w:left w:val="none" w:sz="0" w:space="0" w:color="auto"/>
        <w:bottom w:val="none" w:sz="0" w:space="0" w:color="auto"/>
        <w:right w:val="none" w:sz="0" w:space="0" w:color="auto"/>
      </w:divBdr>
    </w:div>
    <w:div w:id="1691448172">
      <w:bodyDiv w:val="1"/>
      <w:marLeft w:val="0"/>
      <w:marRight w:val="0"/>
      <w:marTop w:val="0"/>
      <w:marBottom w:val="0"/>
      <w:divBdr>
        <w:top w:val="none" w:sz="0" w:space="0" w:color="auto"/>
        <w:left w:val="none" w:sz="0" w:space="0" w:color="auto"/>
        <w:bottom w:val="none" w:sz="0" w:space="0" w:color="auto"/>
        <w:right w:val="none" w:sz="0" w:space="0" w:color="auto"/>
      </w:divBdr>
    </w:div>
    <w:div w:id="1761638261">
      <w:bodyDiv w:val="1"/>
      <w:marLeft w:val="0"/>
      <w:marRight w:val="0"/>
      <w:marTop w:val="0"/>
      <w:marBottom w:val="0"/>
      <w:divBdr>
        <w:top w:val="none" w:sz="0" w:space="0" w:color="auto"/>
        <w:left w:val="none" w:sz="0" w:space="0" w:color="auto"/>
        <w:bottom w:val="none" w:sz="0" w:space="0" w:color="auto"/>
        <w:right w:val="none" w:sz="0" w:space="0" w:color="auto"/>
      </w:divBdr>
    </w:div>
    <w:div w:id="1766608254">
      <w:bodyDiv w:val="1"/>
      <w:marLeft w:val="0"/>
      <w:marRight w:val="0"/>
      <w:marTop w:val="0"/>
      <w:marBottom w:val="0"/>
      <w:divBdr>
        <w:top w:val="none" w:sz="0" w:space="0" w:color="auto"/>
        <w:left w:val="none" w:sz="0" w:space="0" w:color="auto"/>
        <w:bottom w:val="none" w:sz="0" w:space="0" w:color="auto"/>
        <w:right w:val="none" w:sz="0" w:space="0" w:color="auto"/>
      </w:divBdr>
    </w:div>
    <w:div w:id="1794786038">
      <w:bodyDiv w:val="1"/>
      <w:marLeft w:val="0"/>
      <w:marRight w:val="0"/>
      <w:marTop w:val="0"/>
      <w:marBottom w:val="0"/>
      <w:divBdr>
        <w:top w:val="none" w:sz="0" w:space="0" w:color="auto"/>
        <w:left w:val="none" w:sz="0" w:space="0" w:color="auto"/>
        <w:bottom w:val="none" w:sz="0" w:space="0" w:color="auto"/>
        <w:right w:val="none" w:sz="0" w:space="0" w:color="auto"/>
      </w:divBdr>
    </w:div>
    <w:div w:id="1802260912">
      <w:bodyDiv w:val="1"/>
      <w:marLeft w:val="0"/>
      <w:marRight w:val="0"/>
      <w:marTop w:val="0"/>
      <w:marBottom w:val="0"/>
      <w:divBdr>
        <w:top w:val="none" w:sz="0" w:space="0" w:color="auto"/>
        <w:left w:val="none" w:sz="0" w:space="0" w:color="auto"/>
        <w:bottom w:val="none" w:sz="0" w:space="0" w:color="auto"/>
        <w:right w:val="none" w:sz="0" w:space="0" w:color="auto"/>
      </w:divBdr>
    </w:div>
    <w:div w:id="1866167476">
      <w:bodyDiv w:val="1"/>
      <w:marLeft w:val="0"/>
      <w:marRight w:val="0"/>
      <w:marTop w:val="0"/>
      <w:marBottom w:val="0"/>
      <w:divBdr>
        <w:top w:val="none" w:sz="0" w:space="0" w:color="auto"/>
        <w:left w:val="none" w:sz="0" w:space="0" w:color="auto"/>
        <w:bottom w:val="none" w:sz="0" w:space="0" w:color="auto"/>
        <w:right w:val="none" w:sz="0" w:space="0" w:color="auto"/>
      </w:divBdr>
    </w:div>
    <w:div w:id="1877426206">
      <w:bodyDiv w:val="1"/>
      <w:marLeft w:val="0"/>
      <w:marRight w:val="0"/>
      <w:marTop w:val="0"/>
      <w:marBottom w:val="0"/>
      <w:divBdr>
        <w:top w:val="none" w:sz="0" w:space="0" w:color="auto"/>
        <w:left w:val="none" w:sz="0" w:space="0" w:color="auto"/>
        <w:bottom w:val="none" w:sz="0" w:space="0" w:color="auto"/>
        <w:right w:val="none" w:sz="0" w:space="0" w:color="auto"/>
      </w:divBdr>
    </w:div>
    <w:div w:id="1911306902">
      <w:bodyDiv w:val="1"/>
      <w:marLeft w:val="0"/>
      <w:marRight w:val="0"/>
      <w:marTop w:val="0"/>
      <w:marBottom w:val="0"/>
      <w:divBdr>
        <w:top w:val="none" w:sz="0" w:space="0" w:color="auto"/>
        <w:left w:val="none" w:sz="0" w:space="0" w:color="auto"/>
        <w:bottom w:val="none" w:sz="0" w:space="0" w:color="auto"/>
        <w:right w:val="none" w:sz="0" w:space="0" w:color="auto"/>
      </w:divBdr>
    </w:div>
    <w:div w:id="1914241185">
      <w:bodyDiv w:val="1"/>
      <w:marLeft w:val="0"/>
      <w:marRight w:val="0"/>
      <w:marTop w:val="0"/>
      <w:marBottom w:val="0"/>
      <w:divBdr>
        <w:top w:val="none" w:sz="0" w:space="0" w:color="auto"/>
        <w:left w:val="none" w:sz="0" w:space="0" w:color="auto"/>
        <w:bottom w:val="none" w:sz="0" w:space="0" w:color="auto"/>
        <w:right w:val="none" w:sz="0" w:space="0" w:color="auto"/>
      </w:divBdr>
    </w:div>
    <w:div w:id="1940287463">
      <w:bodyDiv w:val="1"/>
      <w:marLeft w:val="0"/>
      <w:marRight w:val="0"/>
      <w:marTop w:val="0"/>
      <w:marBottom w:val="0"/>
      <w:divBdr>
        <w:top w:val="none" w:sz="0" w:space="0" w:color="auto"/>
        <w:left w:val="none" w:sz="0" w:space="0" w:color="auto"/>
        <w:bottom w:val="none" w:sz="0" w:space="0" w:color="auto"/>
        <w:right w:val="none" w:sz="0" w:space="0" w:color="auto"/>
      </w:divBdr>
    </w:div>
    <w:div w:id="1942763310">
      <w:bodyDiv w:val="1"/>
      <w:marLeft w:val="0"/>
      <w:marRight w:val="0"/>
      <w:marTop w:val="0"/>
      <w:marBottom w:val="0"/>
      <w:divBdr>
        <w:top w:val="none" w:sz="0" w:space="0" w:color="auto"/>
        <w:left w:val="none" w:sz="0" w:space="0" w:color="auto"/>
        <w:bottom w:val="none" w:sz="0" w:space="0" w:color="auto"/>
        <w:right w:val="none" w:sz="0" w:space="0" w:color="auto"/>
      </w:divBdr>
    </w:div>
    <w:div w:id="1944339849">
      <w:bodyDiv w:val="1"/>
      <w:marLeft w:val="0"/>
      <w:marRight w:val="0"/>
      <w:marTop w:val="0"/>
      <w:marBottom w:val="0"/>
      <w:divBdr>
        <w:top w:val="none" w:sz="0" w:space="0" w:color="auto"/>
        <w:left w:val="none" w:sz="0" w:space="0" w:color="auto"/>
        <w:bottom w:val="none" w:sz="0" w:space="0" w:color="auto"/>
        <w:right w:val="none" w:sz="0" w:space="0" w:color="auto"/>
      </w:divBdr>
    </w:div>
    <w:div w:id="1960838064">
      <w:bodyDiv w:val="1"/>
      <w:marLeft w:val="0"/>
      <w:marRight w:val="0"/>
      <w:marTop w:val="0"/>
      <w:marBottom w:val="0"/>
      <w:divBdr>
        <w:top w:val="none" w:sz="0" w:space="0" w:color="auto"/>
        <w:left w:val="none" w:sz="0" w:space="0" w:color="auto"/>
        <w:bottom w:val="none" w:sz="0" w:space="0" w:color="auto"/>
        <w:right w:val="none" w:sz="0" w:space="0" w:color="auto"/>
      </w:divBdr>
    </w:div>
    <w:div w:id="1974945575">
      <w:bodyDiv w:val="1"/>
      <w:marLeft w:val="0"/>
      <w:marRight w:val="0"/>
      <w:marTop w:val="0"/>
      <w:marBottom w:val="0"/>
      <w:divBdr>
        <w:top w:val="none" w:sz="0" w:space="0" w:color="auto"/>
        <w:left w:val="none" w:sz="0" w:space="0" w:color="auto"/>
        <w:bottom w:val="none" w:sz="0" w:space="0" w:color="auto"/>
        <w:right w:val="none" w:sz="0" w:space="0" w:color="auto"/>
      </w:divBdr>
    </w:div>
    <w:div w:id="1991322704">
      <w:bodyDiv w:val="1"/>
      <w:marLeft w:val="0"/>
      <w:marRight w:val="0"/>
      <w:marTop w:val="0"/>
      <w:marBottom w:val="0"/>
      <w:divBdr>
        <w:top w:val="none" w:sz="0" w:space="0" w:color="auto"/>
        <w:left w:val="none" w:sz="0" w:space="0" w:color="auto"/>
        <w:bottom w:val="none" w:sz="0" w:space="0" w:color="auto"/>
        <w:right w:val="none" w:sz="0" w:space="0" w:color="auto"/>
      </w:divBdr>
    </w:div>
    <w:div w:id="1991707061">
      <w:bodyDiv w:val="1"/>
      <w:marLeft w:val="0"/>
      <w:marRight w:val="0"/>
      <w:marTop w:val="0"/>
      <w:marBottom w:val="0"/>
      <w:divBdr>
        <w:top w:val="none" w:sz="0" w:space="0" w:color="auto"/>
        <w:left w:val="none" w:sz="0" w:space="0" w:color="auto"/>
        <w:bottom w:val="none" w:sz="0" w:space="0" w:color="auto"/>
        <w:right w:val="none" w:sz="0" w:space="0" w:color="auto"/>
      </w:divBdr>
    </w:div>
    <w:div w:id="2001736136">
      <w:bodyDiv w:val="1"/>
      <w:marLeft w:val="0"/>
      <w:marRight w:val="0"/>
      <w:marTop w:val="0"/>
      <w:marBottom w:val="0"/>
      <w:divBdr>
        <w:top w:val="none" w:sz="0" w:space="0" w:color="auto"/>
        <w:left w:val="none" w:sz="0" w:space="0" w:color="auto"/>
        <w:bottom w:val="none" w:sz="0" w:space="0" w:color="auto"/>
        <w:right w:val="none" w:sz="0" w:space="0" w:color="auto"/>
      </w:divBdr>
    </w:div>
    <w:div w:id="2015373355">
      <w:bodyDiv w:val="1"/>
      <w:marLeft w:val="0"/>
      <w:marRight w:val="0"/>
      <w:marTop w:val="0"/>
      <w:marBottom w:val="0"/>
      <w:divBdr>
        <w:top w:val="none" w:sz="0" w:space="0" w:color="auto"/>
        <w:left w:val="none" w:sz="0" w:space="0" w:color="auto"/>
        <w:bottom w:val="none" w:sz="0" w:space="0" w:color="auto"/>
        <w:right w:val="none" w:sz="0" w:space="0" w:color="auto"/>
      </w:divBdr>
    </w:div>
    <w:div w:id="2027635913">
      <w:bodyDiv w:val="1"/>
      <w:marLeft w:val="0"/>
      <w:marRight w:val="0"/>
      <w:marTop w:val="0"/>
      <w:marBottom w:val="0"/>
      <w:divBdr>
        <w:top w:val="none" w:sz="0" w:space="0" w:color="auto"/>
        <w:left w:val="none" w:sz="0" w:space="0" w:color="auto"/>
        <w:bottom w:val="none" w:sz="0" w:space="0" w:color="auto"/>
        <w:right w:val="none" w:sz="0" w:space="0" w:color="auto"/>
      </w:divBdr>
    </w:div>
    <w:div w:id="2052267640">
      <w:bodyDiv w:val="1"/>
      <w:marLeft w:val="0"/>
      <w:marRight w:val="0"/>
      <w:marTop w:val="0"/>
      <w:marBottom w:val="0"/>
      <w:divBdr>
        <w:top w:val="none" w:sz="0" w:space="0" w:color="auto"/>
        <w:left w:val="none" w:sz="0" w:space="0" w:color="auto"/>
        <w:bottom w:val="none" w:sz="0" w:space="0" w:color="auto"/>
        <w:right w:val="none" w:sz="0" w:space="0" w:color="auto"/>
      </w:divBdr>
    </w:div>
    <w:div w:id="2064867572">
      <w:bodyDiv w:val="1"/>
      <w:marLeft w:val="0"/>
      <w:marRight w:val="0"/>
      <w:marTop w:val="0"/>
      <w:marBottom w:val="0"/>
      <w:divBdr>
        <w:top w:val="none" w:sz="0" w:space="0" w:color="auto"/>
        <w:left w:val="none" w:sz="0" w:space="0" w:color="auto"/>
        <w:bottom w:val="none" w:sz="0" w:space="0" w:color="auto"/>
        <w:right w:val="none" w:sz="0" w:space="0" w:color="auto"/>
      </w:divBdr>
    </w:div>
    <w:div w:id="2122645528">
      <w:bodyDiv w:val="1"/>
      <w:marLeft w:val="0"/>
      <w:marRight w:val="0"/>
      <w:marTop w:val="0"/>
      <w:marBottom w:val="0"/>
      <w:divBdr>
        <w:top w:val="none" w:sz="0" w:space="0" w:color="auto"/>
        <w:left w:val="none" w:sz="0" w:space="0" w:color="auto"/>
        <w:bottom w:val="none" w:sz="0" w:space="0" w:color="auto"/>
        <w:right w:val="none" w:sz="0" w:space="0" w:color="auto"/>
      </w:divBdr>
    </w:div>
    <w:div w:id="2124882386">
      <w:bodyDiv w:val="1"/>
      <w:marLeft w:val="0"/>
      <w:marRight w:val="0"/>
      <w:marTop w:val="0"/>
      <w:marBottom w:val="0"/>
      <w:divBdr>
        <w:top w:val="none" w:sz="0" w:space="0" w:color="auto"/>
        <w:left w:val="none" w:sz="0" w:space="0" w:color="auto"/>
        <w:bottom w:val="none" w:sz="0" w:space="0" w:color="auto"/>
        <w:right w:val="none" w:sz="0" w:space="0" w:color="auto"/>
      </w:divBdr>
    </w:div>
    <w:div w:id="2133135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las\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Def21</b:Tag>
    <b:SourceType>InternetSite</b:SourceType>
    <b:Guid>{F85A94D7-FF53-452B-AB27-5DC5EB454679}</b:Guid>
    <b:Title>Shaped Charges — Rapid Crater Kits</b:Title>
    <b:Year>2021</b:Year>
    <b:Author>
      <b:Author>
        <b:Corporate>Defence&amp;Security Systems International </b:Corporate>
      </b:Author>
    </b:Author>
    <b:ProductionCompany>Defence&amp;Security Systems International </b:ProductionCompany>
    <b:Month>July</b:Month>
    <b:Day>2</b:Day>
    <b:YearAccessed>2024</b:YearAccessed>
    <b:MonthAccessed>May</b:MonthAccessed>
    <b:URL>https://www.defence-and-security.com/news/newsshaped-charges-rapid-crater-kits-8866488</b:URL>
    <b:RefOrder>2</b:RefOrder>
  </b:Source>
  <b:Source>
    <b:Tag>Hol24</b:Tag>
    <b:SourceType>Misc</b:SourceType>
    <b:Guid>{7898128E-5ED7-4AF2-B0A0-8748AB8B8EC7}</b:Guid>
    <b:Title>BEng Group Project 2024, Digging a Hole...Very Quickly</b:Title>
    <b:Year>2024</b:Year>
    <b:City>Swansea</b:City>
    <b:Publisher>UWTSD</b:Publisher>
    <b:Author>
      <b:Author>
        <b:NameList>
          <b:Person>
            <b:Last>Holley</b:Last>
            <b:First>Dave</b:First>
          </b:Person>
          <b:Person>
            <b:Last>Steen</b:Last>
            <b:First>Jenni</b:First>
          </b:Person>
        </b:NameList>
      </b:Author>
    </b:Author>
    <b:RefOrder>3</b:RefOrder>
  </b:Source>
  <b:Source>
    <b:Tag>McA24</b:Tag>
    <b:SourceType>Misc</b:SourceType>
    <b:Guid>{B67B5AE9-71B9-4A06-93A9-5617E81FA114}</b:Guid>
    <b:Author>
      <b:Author>
        <b:NameList>
          <b:Person>
            <b:Last>McAngus</b:Last>
            <b:First>Stephen</b:First>
          </b:Person>
        </b:NameList>
      </b:Author>
    </b:Author>
    <b:Year>2024</b:Year>
    <b:City>Swansea</b:City>
    <b:Publisher>UWTSD</b:Publisher>
    <b:RefOrder>1</b:RefOrder>
  </b:Source>
  <b:Source>
    <b:Tag>Ble24</b:Tag>
    <b:SourceType>Misc</b:SourceType>
    <b:Guid>{1D909181-16B7-4D0C-A357-9FAF551E3FDA}</b:Guid>
    <b:Author>
      <b:Author>
        <b:NameList>
          <b:Person>
            <b:Last>Blevins</b:Last>
            <b:First>Silas</b:First>
            <b:Middle>GJ</b:Middle>
          </b:Person>
          <b:Person>
            <b:Last>Coplin</b:Last>
            <b:First>Natalie</b:First>
          </b:Person>
          <b:Person>
            <b:Last>Fisher</b:Last>
            <b:First>Max</b:First>
          </b:Person>
          <b:Person>
            <b:Last>Malcolm</b:Last>
            <b:First>Luke</b:First>
          </b:Person>
          <b:Person>
            <b:Last>Stephen</b:Last>
            <b:First>McAngus</b:First>
          </b:Person>
        </b:NameList>
      </b:Author>
    </b:Author>
    <b:Title>Design Process of a New Cratering Charge</b:Title>
    <b:Year>2024</b:Year>
    <b:City>Swansea</b:City>
    <b:Publisher>UWTSD</b:Publisher>
    <b:RefOrder>4</b:RefOrder>
  </b:Source>
  <b:Source>
    <b:Tag>McA241</b:Tag>
    <b:SourceType>Report</b:SourceType>
    <b:Guid>{0908DE31-9043-4C93-BEA1-CB0E21C4B2B4}</b:Guid>
    <b:Title>Short Report: Modelling of a Rapid Cratering Shape Charge using Dassault Systems Abaqus CAE Software Package.  </b:Title>
    <b:Year>2024</b:Year>
    <b:City>Swansea</b:City>
    <b:Publisher>UWTSD</b:Publisher>
    <b:Author>
      <b:Author>
        <b:NameList>
          <b:Person>
            <b:Last>McAngus</b:Last>
            <b:First>Stephen</b:First>
          </b:Person>
        </b:NameList>
      </b:Author>
    </b:Author>
    <b:RefOrder>5</b:RefOrder>
  </b:Source>
  <b:Source>
    <b:Tag>Sol24</b:Tag>
    <b:SourceType>InternetSite</b:SourceType>
    <b:Guid>{E1BF0D16-995F-4705-93EA-5F5B7EF266BF}</b:Guid>
    <b:Title>Explosives and Pyrotechnic Testing</b:Title>
    <b:Year>2024</b:Year>
    <b:Author>
      <b:Author>
        <b:Corporate>Solutions From HSE</b:Corporate>
      </b:Author>
    </b:Author>
    <b:ProductionCompany>HSE</b:ProductionCompany>
    <b:YearAccessed>2024</b:YearAccessed>
    <b:MonthAccessed>May</b:MonthAccessed>
    <b:URL>https://www.hsl.gov.uk/product-and-process-validation-testing/explosives-and-pyrotechnic-testing</b:URL>
    <b:RefOrder>14</b:RefOrder>
  </b:Source>
  <b:Source>
    <b:Tag>Uni19</b:Tag>
    <b:SourceType>BookSection</b:SourceType>
    <b:Guid>{CCD2094F-E886-495F-A119-8C40D5962067}</b:Guid>
    <b:Author>
      <b:Author>
        <b:Corporate>United Nations</b:Corporate>
      </b:Author>
    </b:Author>
    <b:Title>Test Series 3</b:Title>
    <b:Year>2019</b:Year>
    <b:Publisher>United Nations</b:Publisher>
    <b:BookTitle>Manual of Tests and Criteria</b:BookTitle>
    <b:Pages>79-142</b:Pages>
    <b:RefOrder>6</b:RefOrder>
  </b:Source>
  <b:Source>
    <b:Tag>The19</b:Tag>
    <b:SourceType>InternetSite</b:SourceType>
    <b:Guid>{00240DFB-07E4-443F-B1B7-88EF54B1F9B0}</b:Guid>
    <b:Title>What is Chromatography and How Does it Work?</b:Title>
    <b:Year>2019</b:Year>
    <b:Author>
      <b:Author>
        <b:Corporate>ThermoFisher Scientific</b:Corporate>
      </b:Author>
    </b:Author>
    <b:ProductionCompany>ThermoFisher Scientific</b:ProductionCompany>
    <b:Month>October</b:Month>
    <b:Day>17</b:Day>
    <b:YearAccessed>2024</b:YearAccessed>
    <b:MonthAccessed>May</b:MonthAccessed>
    <b:URL>https://www.thermofisher.com/blog/ask-a-scientist/what-is-chromatography/#:~:text=Chromatography%20is%20a%20process%20for,substance%20called%20the%20stationary%20phase.</b:URL>
    <b:RefOrder>7</b:RefOrder>
  </b:Source>
  <b:Source>
    <b:Tag>Uni24</b:Tag>
    <b:SourceType>InternetSite</b:SourceType>
    <b:Guid>{598E908D-4DE7-4EFB-A243-47766767013D}</b:Guid>
    <b:Author>
      <b:Author>
        <b:Corporate>University of Cambridge</b:Corporate>
      </b:Author>
    </b:Author>
    <b:Title>Spectroscopy</b:Title>
    <b:ProductionCompany>Department of Materials Science and Metallurgy</b:ProductionCompany>
    <b:YearAccessed>2024</b:YearAccessed>
    <b:MonthAccessed>May</b:MonthAccessed>
    <b:URL>https://www.msm.cam.ac.uk/research/research-disciplines/spectroscopy</b:URL>
    <b:RefOrder>8</b:RefOrder>
  </b:Source>
  <b:Source>
    <b:Tag>Gar23</b:Tag>
    <b:SourceType>DocumentFromInternetSite</b:SourceType>
    <b:Guid>{E4A7DC93-258A-4127-AAD1-E9D33816496F}</b:Guid>
    <b:Title>Mass Spectrometer</b:Title>
    <b:Year>2023</b:Year>
    <b:Month>January</b:Month>
    <b:Day>21</b:Day>
    <b:MonthAccessed>May</b:MonthAccessed>
    <b:DayAccessed>2024</b:DayAccessed>
    <b:URL>https://www.ncbi.nlm.nih.gov/books/NBK589702/</b:URL>
    <b:Author>
      <b:Author>
        <b:NameList>
          <b:Person>
            <b:Last>Garg</b:Last>
            <b:First>Eshita</b:First>
          </b:Person>
          <b:Person>
            <b:Last>Zubair</b:Last>
            <b:First>Muhammad</b:First>
          </b:Person>
        </b:NameList>
      </b:Author>
    </b:Author>
    <b:RefOrder>9</b:RefOrder>
  </b:Source>
  <b:Source>
    <b:Tag>Pub24</b:Tag>
    <b:SourceType>InternetSite</b:SourceType>
    <b:Guid>{90CAD07E-AA44-4290-9657-8C3CD996FACA}</b:Guid>
    <b:Title>2,4,6 Trinitrotoluene (Compound)</b:Title>
    <b:Year>2024</b:Year>
    <b:YearAccessed>2024</b:YearAccessed>
    <b:MonthAccessed>May</b:MonthAccessed>
    <b:URL>https://pubchem.ncbi.nlm.nih.gov/compound/2_4_6-Trinitrotoluene#section=GC-MS</b:URL>
    <b:Author>
      <b:Author>
        <b:Corporate>Pubchem</b:Corporate>
      </b:Author>
    </b:Author>
    <b:ProductionCompany>National Institutes of Health</b:ProductionCompany>
    <b:RefOrder>10</b:RefOrder>
  </b:Source>
  <b:Source>
    <b:Tag>Hol241</b:Tag>
    <b:SourceType>Misc</b:SourceType>
    <b:Guid>{AB2005C8-45F5-4338-943D-62B3206B897A}</b:Guid>
    <b:Title>Taw-Ex22 Material Data</b:Title>
    <b:Year>2024</b:Year>
    <b:Author>
      <b:Author>
        <b:NameList>
          <b:Person>
            <b:Last>Holley</b:Last>
            <b:First>Dave</b:First>
          </b:Person>
        </b:NameList>
      </b:Author>
    </b:Author>
    <b:City>Swansea</b:City>
    <b:Publisher>UWTSD</b:Publisher>
    <b:RefOrder>11</b:RefOrder>
  </b:Source>
  <b:Source>
    <b:Tag>Mal24</b:Tag>
    <b:SourceType>Misc</b:SourceType>
    <b:Guid>{E084E9AA-DA8F-4756-AC6A-D1E3591BAEE1}</b:Guid>
    <b:Author>
      <b:Author>
        <b:NameList>
          <b:Person>
            <b:Last>Malcom</b:Last>
            <b:First>Luke</b:First>
          </b:Person>
        </b:NameList>
      </b:Author>
    </b:Author>
    <b:Title>Monday 15th April, Design Review Meeting</b:Title>
    <b:Year>2024</b:Year>
    <b:RefOrder>12</b:RefOrder>
  </b:Source>
  <b:Source>
    <b:Tag>Col24</b:Tag>
    <b:SourceType>Misc</b:SourceType>
    <b:Guid>{27F309FC-6967-455B-B3FD-DC0FF233C78A}</b:Guid>
    <b:Author>
      <b:Author>
        <b:NameList>
          <b:Person>
            <b:Last>Collet</b:Last>
            <b:First>Gareth</b:First>
          </b:Person>
        </b:NameList>
      </b:Author>
    </b:Author>
    <b:Title>Dstl Feedback GC</b:Title>
    <b:Year>2024</b:Year>
    <b:City>Swansea</b:City>
    <b:Publisher>UWTSD</b:Publisher>
    <b:RefOrder>13</b:RefOrder>
  </b:Source>
</b:Sources>
</file>

<file path=customXml/itemProps1.xml><?xml version="1.0" encoding="utf-8"?>
<ds:datastoreItem xmlns:ds="http://schemas.openxmlformats.org/officeDocument/2006/customXml" ds:itemID="{52BF2978-0393-4431-A1D6-A4E5301A0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441</TotalTime>
  <Pages>23</Pages>
  <Words>5705</Words>
  <Characters>32522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Silas Blevins</dc:creator>
  <cp:keywords/>
  <dc:description/>
  <cp:lastModifiedBy>Silas Blevins (2114158)</cp:lastModifiedBy>
  <cp:revision>2</cp:revision>
  <dcterms:created xsi:type="dcterms:W3CDTF">2024-05-05T12:11:00Z</dcterms:created>
  <dcterms:modified xsi:type="dcterms:W3CDTF">2024-05-05T19:32:00Z</dcterms:modified>
</cp:coreProperties>
</file>