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6F7E36" w:rsidRPr="00F059E1" w:rsidP="006F7E36" w14:paraId="6C352DC6" w14:textId="0ADC7EFC">
      <w:pPr>
        <w:pStyle w:val="NormalWeb"/>
        <w:pBdr>
          <w:bottom w:val="single" w:sz="12" w:space="1" w:color="auto"/>
        </w:pBdr>
        <w:rPr>
          <w:rFonts w:asciiTheme="minorHAnsi" w:hAnsiTheme="minorHAnsi" w:cstheme="minorHAnsi"/>
          <w:sz w:val="22"/>
          <w:szCs w:val="22"/>
          <w:lang w:val="en-US"/>
        </w:rPr>
      </w:pPr>
      <w:r w:rsidRPr="00F059E1">
        <w:rPr>
          <w:rFonts w:asciiTheme="minorHAnsi" w:hAnsiTheme="minorHAnsi" w:cstheme="minorHAnsi"/>
          <w:sz w:val="22"/>
          <w:szCs w:val="22"/>
          <w:lang w:val="en-US"/>
        </w:rPr>
        <w:t xml:space="preserve">Negligence is defined in Blyth V Birmingham Waterworks Co (1856) as not doing something a reasonable man would do or doing something a reasonable man would not do. A standard of care relates specifically to </w:t>
      </w:r>
      <w:r w:rsidRPr="00F059E1" w:rsidR="001F656A">
        <w:rPr>
          <w:rFonts w:asciiTheme="minorHAnsi" w:hAnsiTheme="minorHAnsi" w:cstheme="minorHAnsi"/>
          <w:sz w:val="22"/>
          <w:szCs w:val="22"/>
          <w:lang w:val="en-US"/>
        </w:rPr>
        <w:t>the element of breach in duty set within a duty of care.</w:t>
      </w:r>
      <w:r w:rsidRPr="00F059E1">
        <w:rPr>
          <w:rFonts w:asciiTheme="minorHAnsi" w:hAnsiTheme="minorHAnsi" w:cstheme="minorHAnsi"/>
          <w:sz w:val="22"/>
          <w:szCs w:val="22"/>
        </w:rPr>
        <w:t xml:space="preserve"> </w:t>
      </w:r>
      <w:r w:rsidRPr="00F059E1">
        <w:rPr>
          <w:rFonts w:asciiTheme="minorHAnsi" w:hAnsiTheme="minorHAnsi" w:cstheme="minorHAnsi"/>
          <w:sz w:val="22"/>
          <w:szCs w:val="22"/>
          <w:lang w:val="en-US"/>
        </w:rPr>
        <w:t>To have a successful negligence case it must be proven the defendant had a duty of care to the claimant, that the duty of care was breached and that the breach of the duty of care was the cause of the damage to the claimant. This essay will discuss the fairness and flexibility in the standard of care in negligence between the claimant and the defendant.</w:t>
      </w:r>
    </w:p>
    <w:p w:rsidR="001F656A" w:rsidRPr="00F059E1" w:rsidP="006F7E36" w14:paraId="4D097727" w14:textId="25A4BDEB">
      <w:pPr>
        <w:pStyle w:val="NormalWeb"/>
        <w:pBdr>
          <w:bottom w:val="single" w:sz="12" w:space="1" w:color="auto"/>
        </w:pBdr>
        <w:rPr>
          <w:rFonts w:asciiTheme="minorHAnsi" w:hAnsiTheme="minorHAnsi" w:cstheme="minorHAnsi"/>
          <w:sz w:val="22"/>
          <w:szCs w:val="22"/>
          <w:lang w:val="en-US"/>
        </w:rPr>
      </w:pPr>
      <w:r w:rsidRPr="00F059E1">
        <w:rPr>
          <w:rFonts w:asciiTheme="minorHAnsi" w:hAnsiTheme="minorHAnsi" w:cstheme="minorHAnsi"/>
          <w:sz w:val="22"/>
          <w:szCs w:val="22"/>
          <w:lang w:val="en-US"/>
        </w:rPr>
        <w:t>When establishing if the standard of care was breached the courts will be looking to see if the harm caused to the claimant was reasonably foreseeable (</w:t>
      </w:r>
      <w:r w:rsidRPr="00F059E1">
        <w:rPr>
          <w:rFonts w:asciiTheme="minorHAnsi" w:hAnsiTheme="minorHAnsi" w:cstheme="minorHAnsi"/>
          <w:sz w:val="22"/>
          <w:szCs w:val="22"/>
          <w:lang w:val="en-US"/>
        </w:rPr>
        <w:t>Margereson</w:t>
      </w:r>
      <w:r w:rsidRPr="00F059E1">
        <w:rPr>
          <w:rFonts w:asciiTheme="minorHAnsi" w:hAnsiTheme="minorHAnsi" w:cstheme="minorHAnsi"/>
          <w:sz w:val="22"/>
          <w:szCs w:val="22"/>
          <w:lang w:val="en-US"/>
        </w:rPr>
        <w:t xml:space="preserve"> v JW Roberts LTD, 1996). </w:t>
      </w:r>
      <w:r w:rsidRPr="00F059E1">
        <w:rPr>
          <w:rFonts w:asciiTheme="minorHAnsi" w:hAnsiTheme="minorHAnsi" w:cstheme="minorHAnsi"/>
          <w:sz w:val="22"/>
          <w:szCs w:val="22"/>
          <w:lang w:val="en-US"/>
        </w:rPr>
        <w:t xml:space="preserve">This promotes the fairness of the standard of care </w:t>
      </w:r>
      <w:r w:rsidRPr="00F059E1" w:rsidR="003058E7">
        <w:rPr>
          <w:rFonts w:asciiTheme="minorHAnsi" w:hAnsiTheme="minorHAnsi" w:cstheme="minorHAnsi"/>
          <w:sz w:val="22"/>
          <w:szCs w:val="22"/>
          <w:lang w:val="en-US"/>
        </w:rPr>
        <w:t xml:space="preserve">for the defendant </w:t>
      </w:r>
      <w:r w:rsidRPr="00F059E1">
        <w:rPr>
          <w:rFonts w:asciiTheme="minorHAnsi" w:hAnsiTheme="minorHAnsi" w:cstheme="minorHAnsi"/>
          <w:sz w:val="22"/>
          <w:szCs w:val="22"/>
          <w:lang w:val="en-US"/>
        </w:rPr>
        <w:t>as it does not hold the</w:t>
      </w:r>
      <w:r w:rsidRPr="00F059E1" w:rsidR="003058E7">
        <w:rPr>
          <w:rFonts w:asciiTheme="minorHAnsi" w:hAnsiTheme="minorHAnsi" w:cstheme="minorHAnsi"/>
          <w:sz w:val="22"/>
          <w:szCs w:val="22"/>
          <w:lang w:val="en-US"/>
        </w:rPr>
        <w:t xml:space="preserve">m </w:t>
      </w:r>
      <w:r w:rsidRPr="00F059E1">
        <w:rPr>
          <w:rFonts w:asciiTheme="minorHAnsi" w:hAnsiTheme="minorHAnsi" w:cstheme="minorHAnsi"/>
          <w:sz w:val="22"/>
          <w:szCs w:val="22"/>
          <w:lang w:val="en-US"/>
        </w:rPr>
        <w:t xml:space="preserve">to an unrealistic level of responsibility (Glasgow Corp v Muir, 1943). </w:t>
      </w:r>
      <w:r w:rsidRPr="00F059E1" w:rsidR="007F6293">
        <w:rPr>
          <w:rFonts w:asciiTheme="minorHAnsi" w:hAnsiTheme="minorHAnsi" w:cstheme="minorHAnsi"/>
          <w:sz w:val="22"/>
          <w:szCs w:val="22"/>
          <w:lang w:val="en-US"/>
        </w:rPr>
        <w:t>If the harm is not seen to be foreseeable the claim will be unsuccessful (The Guardian, 2021).</w:t>
      </w:r>
    </w:p>
    <w:p w:rsidR="00564799" w:rsidRPr="00F059E1" w:rsidP="006F7E36" w14:paraId="08FF6A10" w14:textId="1F058F24">
      <w:pPr>
        <w:pStyle w:val="NormalWeb"/>
        <w:pBdr>
          <w:bottom w:val="single" w:sz="12" w:space="1" w:color="auto"/>
        </w:pBdr>
        <w:rPr>
          <w:rFonts w:asciiTheme="minorHAnsi" w:hAnsiTheme="minorHAnsi" w:cstheme="minorHAnsi"/>
          <w:sz w:val="22"/>
          <w:szCs w:val="22"/>
          <w:lang w:val="en-US"/>
        </w:rPr>
      </w:pPr>
      <w:r w:rsidRPr="00F059E1">
        <w:rPr>
          <w:rFonts w:asciiTheme="minorHAnsi" w:hAnsiTheme="minorHAnsi" w:cstheme="minorHAnsi"/>
          <w:sz w:val="22"/>
          <w:szCs w:val="22"/>
          <w:lang w:val="en-US"/>
        </w:rPr>
        <w:t xml:space="preserve">The standard of care is judged objectively and is a question of law. The courts will assess if the actions of the defendant were that of a reasonable person, of the same skill at the time of the incident (Glasgow Corp v Muir, 1943). </w:t>
      </w:r>
      <w:r w:rsidRPr="00F059E1" w:rsidR="00A24128">
        <w:rPr>
          <w:rFonts w:asciiTheme="minorHAnsi" w:hAnsiTheme="minorHAnsi" w:cstheme="minorHAnsi"/>
          <w:sz w:val="22"/>
          <w:szCs w:val="22"/>
          <w:lang w:val="en-US"/>
        </w:rPr>
        <w:t xml:space="preserve">It </w:t>
      </w:r>
      <w:r w:rsidRPr="00F059E1" w:rsidR="00DF004F">
        <w:rPr>
          <w:rFonts w:asciiTheme="minorHAnsi" w:hAnsiTheme="minorHAnsi" w:cstheme="minorHAnsi"/>
          <w:color w:val="000000"/>
          <w:sz w:val="22"/>
          <w:szCs w:val="22"/>
        </w:rPr>
        <w:t xml:space="preserve">is important to note that the law does not expect the skilled person to act perfectly but merely as a ‘reasonable competent person’ would </w:t>
      </w:r>
      <w:r w:rsidRPr="00F059E1" w:rsidR="00DF004F">
        <w:rPr>
          <w:rFonts w:asciiTheme="minorHAnsi" w:hAnsiTheme="minorHAnsi" w:cstheme="minorHAnsi"/>
          <w:sz w:val="22"/>
          <w:szCs w:val="22"/>
        </w:rPr>
        <w:t>(</w:t>
      </w:r>
      <w:r w:rsidRPr="00F059E1" w:rsidR="00DF004F">
        <w:rPr>
          <w:rFonts w:asciiTheme="minorHAnsi" w:hAnsiTheme="minorHAnsi" w:cstheme="minorHAnsi"/>
          <w:color w:val="212529"/>
          <w:sz w:val="22"/>
          <w:szCs w:val="22"/>
        </w:rPr>
        <w:t>Hall v Brooklands Auto-Racing Club 1933).</w:t>
      </w:r>
      <w:r w:rsidRPr="00F059E1" w:rsidR="00DF004F">
        <w:rPr>
          <w:rFonts w:asciiTheme="minorHAnsi" w:hAnsiTheme="minorHAnsi" w:cstheme="minorHAnsi"/>
          <w:sz w:val="22"/>
          <w:szCs w:val="22"/>
          <w:lang w:val="en-US"/>
        </w:rPr>
        <w:t xml:space="preserve"> </w:t>
      </w:r>
      <w:r w:rsidRPr="00F059E1">
        <w:rPr>
          <w:rFonts w:asciiTheme="minorHAnsi" w:hAnsiTheme="minorHAnsi" w:cstheme="minorHAnsi"/>
          <w:sz w:val="22"/>
          <w:szCs w:val="22"/>
          <w:lang w:val="en-US"/>
        </w:rPr>
        <w:t xml:space="preserve">As the test is objective it sees that the defendant is judged as a competent person who is engaging in the </w:t>
      </w:r>
      <w:r w:rsidRPr="00F059E1" w:rsidR="003058E7">
        <w:rPr>
          <w:rFonts w:asciiTheme="minorHAnsi" w:hAnsiTheme="minorHAnsi" w:cstheme="minorHAnsi"/>
          <w:sz w:val="22"/>
          <w:szCs w:val="22"/>
          <w:lang w:val="en-US"/>
        </w:rPr>
        <w:t>activity</w:t>
      </w:r>
      <w:r w:rsidRPr="00F059E1">
        <w:rPr>
          <w:rFonts w:asciiTheme="minorHAnsi" w:hAnsiTheme="minorHAnsi" w:cstheme="minorHAnsi"/>
          <w:sz w:val="22"/>
          <w:szCs w:val="22"/>
          <w:lang w:val="en-US"/>
        </w:rPr>
        <w:t>, it considers a lack of experience does not exempt the individual from the same standard of care required by a qualified person participating in the activity. This can be seen with learner drivers. A learner driver will be held to the same standard of care as a qualified driver (Nettleship v Weston, 1971). There is criticism here of this objective standard that it is an unattainable standard for learner drivers and therefore does not present as a fair balance (Cooke, 2007). A junior doctor is held to the same standard of care as a qualified doctor. If there is a lack of knowledge on the part of the doctor it is seen as part of the standard of care that they should seek a more experienced doctor's advice (</w:t>
      </w:r>
      <w:r w:rsidRPr="00F059E1">
        <w:rPr>
          <w:rFonts w:asciiTheme="minorHAnsi" w:hAnsiTheme="minorHAnsi" w:cstheme="minorHAnsi"/>
          <w:sz w:val="22"/>
          <w:szCs w:val="22"/>
          <w:lang w:val="en-US"/>
        </w:rPr>
        <w:t>Wilsher</w:t>
      </w:r>
      <w:r w:rsidRPr="00F059E1">
        <w:rPr>
          <w:rFonts w:asciiTheme="minorHAnsi" w:hAnsiTheme="minorHAnsi" w:cstheme="minorHAnsi"/>
          <w:sz w:val="22"/>
          <w:szCs w:val="22"/>
          <w:lang w:val="en-US"/>
        </w:rPr>
        <w:t xml:space="preserve"> v Essex Area Health Authority, 1987). This also applies to </w:t>
      </w:r>
      <w:r w:rsidRPr="00F059E1" w:rsidR="00D56979">
        <w:rPr>
          <w:rFonts w:asciiTheme="minorHAnsi" w:hAnsiTheme="minorHAnsi" w:cstheme="minorHAnsi"/>
          <w:sz w:val="22"/>
          <w:szCs w:val="22"/>
          <w:lang w:val="en-US"/>
        </w:rPr>
        <w:t>those en</w:t>
      </w:r>
      <w:r w:rsidRPr="00F059E1" w:rsidR="009E1888">
        <w:rPr>
          <w:rFonts w:asciiTheme="minorHAnsi" w:hAnsiTheme="minorHAnsi" w:cstheme="minorHAnsi"/>
          <w:sz w:val="22"/>
          <w:szCs w:val="22"/>
          <w:lang w:val="en-US"/>
        </w:rPr>
        <w:t>gaging in activities they are enthusiasts in. An example of this would be a DIY enthusiast. The standard of care here remains objective and is measured not on the skill of the person but more on if the task completed is a reasonable one for someone who represents themselves as a competent handyman (James v Butler, 2005).</w:t>
      </w:r>
      <w:r w:rsidRPr="00F059E1">
        <w:rPr>
          <w:rFonts w:asciiTheme="minorHAnsi" w:hAnsiTheme="minorHAnsi" w:cstheme="minorHAnsi"/>
          <w:sz w:val="22"/>
          <w:szCs w:val="22"/>
          <w:lang w:val="en-US"/>
        </w:rPr>
        <w:t xml:space="preserve"> This approach represents fairness in the standard of care and allows society to be confident in the consistent approach. It also promotes flexibility in the fact that </w:t>
      </w:r>
      <w:r w:rsidRPr="00F059E1" w:rsidR="003058E7">
        <w:rPr>
          <w:rFonts w:asciiTheme="minorHAnsi" w:hAnsiTheme="minorHAnsi" w:cstheme="minorHAnsi"/>
          <w:sz w:val="22"/>
          <w:szCs w:val="22"/>
          <w:lang w:val="en-US"/>
        </w:rPr>
        <w:t>assisting</w:t>
      </w:r>
      <w:r w:rsidRPr="00F059E1">
        <w:rPr>
          <w:rFonts w:asciiTheme="minorHAnsi" w:hAnsiTheme="minorHAnsi" w:cstheme="minorHAnsi"/>
          <w:sz w:val="22"/>
          <w:szCs w:val="22"/>
          <w:lang w:val="en-US"/>
        </w:rPr>
        <w:t xml:space="preserve"> a friend with a task won’t leave you completely liable if </w:t>
      </w:r>
      <w:r w:rsidRPr="00F059E1" w:rsidR="003058E7">
        <w:rPr>
          <w:rFonts w:asciiTheme="minorHAnsi" w:hAnsiTheme="minorHAnsi" w:cstheme="minorHAnsi"/>
          <w:sz w:val="22"/>
          <w:szCs w:val="22"/>
          <w:lang w:val="en-US"/>
        </w:rPr>
        <w:t>it i</w:t>
      </w:r>
      <w:r w:rsidRPr="00F059E1">
        <w:rPr>
          <w:rFonts w:asciiTheme="minorHAnsi" w:hAnsiTheme="minorHAnsi" w:cstheme="minorHAnsi"/>
          <w:sz w:val="22"/>
          <w:szCs w:val="22"/>
          <w:lang w:val="en-US"/>
        </w:rPr>
        <w:t>s seen that you acted in a way reasonable for someone with limited knowledge of the task.</w:t>
      </w:r>
    </w:p>
    <w:p w:rsidR="002763D6" w:rsidRPr="00F059E1" w:rsidP="006F7E36" w14:paraId="40892253" w14:textId="5C1BA112">
      <w:pPr>
        <w:pStyle w:val="NormalWeb"/>
        <w:pBdr>
          <w:bottom w:val="single" w:sz="12" w:space="1" w:color="auto"/>
        </w:pBdr>
        <w:rPr>
          <w:rFonts w:asciiTheme="minorHAnsi" w:hAnsiTheme="minorHAnsi" w:cstheme="minorHAnsi"/>
          <w:sz w:val="22"/>
          <w:szCs w:val="22"/>
          <w:lang w:val="en-US"/>
        </w:rPr>
      </w:pPr>
      <w:r w:rsidRPr="00F059E1">
        <w:rPr>
          <w:rFonts w:asciiTheme="minorHAnsi" w:hAnsiTheme="minorHAnsi" w:cstheme="minorHAnsi"/>
          <w:color w:val="000000"/>
          <w:sz w:val="22"/>
          <w:szCs w:val="22"/>
        </w:rPr>
        <w:t>Although the standard of care is an objective standard there are two instances where subjective factors may alter the approach. Firstly, w</w:t>
      </w:r>
      <w:r w:rsidRPr="00F059E1" w:rsidR="00EF2D8F">
        <w:rPr>
          <w:rFonts w:asciiTheme="minorHAnsi" w:hAnsiTheme="minorHAnsi" w:cstheme="minorHAnsi"/>
          <w:color w:val="000000"/>
          <w:sz w:val="22"/>
          <w:szCs w:val="22"/>
        </w:rPr>
        <w:t xml:space="preserve">hen deciding on the appropriate standard of care that should be afforded to a claimant when the defendant is a child a </w:t>
      </w:r>
      <w:r w:rsidRPr="00F059E1" w:rsidR="00EF2D8F">
        <w:rPr>
          <w:rFonts w:asciiTheme="minorHAnsi" w:hAnsiTheme="minorHAnsi" w:cstheme="minorHAnsi"/>
          <w:color w:val="000000" w:themeColor="text1"/>
          <w:sz w:val="22"/>
          <w:szCs w:val="22"/>
          <w:shd w:val="clear" w:color="auto" w:fill="FFFFFF"/>
        </w:rPr>
        <w:t>variation in the standard is given</w:t>
      </w:r>
      <w:r w:rsidRPr="00F059E1">
        <w:rPr>
          <w:rFonts w:asciiTheme="minorHAnsi" w:hAnsiTheme="minorHAnsi" w:cstheme="minorHAnsi"/>
          <w:color w:val="000000" w:themeColor="text1"/>
          <w:sz w:val="22"/>
          <w:szCs w:val="22"/>
          <w:shd w:val="clear" w:color="auto" w:fill="FFFFFF"/>
        </w:rPr>
        <w:t xml:space="preserve"> to</w:t>
      </w:r>
      <w:r w:rsidRPr="00F059E1" w:rsidR="00EF2D8F">
        <w:rPr>
          <w:rFonts w:asciiTheme="minorHAnsi" w:hAnsiTheme="minorHAnsi" w:cstheme="minorHAnsi"/>
          <w:color w:val="000000" w:themeColor="text1"/>
          <w:sz w:val="22"/>
          <w:szCs w:val="22"/>
          <w:shd w:val="clear" w:color="auto" w:fill="FFFFFF"/>
        </w:rPr>
        <w:t xml:space="preserve"> say that the child must’ve acted in a way that a reasonable child of the same age would have at the time (Mullin v Richards 1998).  </w:t>
      </w:r>
      <w:r w:rsidRPr="00F059E1" w:rsidR="00EF2D8F">
        <w:rPr>
          <w:rFonts w:asciiTheme="minorHAnsi" w:hAnsiTheme="minorHAnsi" w:cstheme="minorHAnsi"/>
          <w:sz w:val="22"/>
          <w:szCs w:val="22"/>
          <w:lang w:val="en-US"/>
        </w:rPr>
        <w:t xml:space="preserve">This test is still objective and allows fair flexibility for the defendant to not be held to the same standard of a reasonable adult who would foresee harm through life experience.  </w:t>
      </w:r>
      <w:r w:rsidRPr="00F059E1">
        <w:rPr>
          <w:rFonts w:asciiTheme="minorHAnsi" w:hAnsiTheme="minorHAnsi" w:cstheme="minorHAnsi"/>
          <w:sz w:val="22"/>
          <w:szCs w:val="22"/>
          <w:lang w:val="en-US"/>
        </w:rPr>
        <w:t xml:space="preserve">Secondly, </w:t>
      </w:r>
      <w:r w:rsidRPr="00F059E1" w:rsidR="00CD7605">
        <w:rPr>
          <w:rFonts w:asciiTheme="minorHAnsi" w:hAnsiTheme="minorHAnsi" w:cstheme="minorHAnsi"/>
          <w:sz w:val="22"/>
          <w:szCs w:val="22"/>
          <w:lang w:val="en-US"/>
        </w:rPr>
        <w:t xml:space="preserve">where the person acts in an emergency the standard is set to a reasonable </w:t>
      </w:r>
      <w:r w:rsidRPr="00F059E1" w:rsidR="005405B5">
        <w:rPr>
          <w:rFonts w:asciiTheme="minorHAnsi" w:hAnsiTheme="minorHAnsi" w:cstheme="minorHAnsi"/>
          <w:sz w:val="22"/>
          <w:szCs w:val="22"/>
          <w:lang w:val="en-US"/>
        </w:rPr>
        <w:t>‘</w:t>
      </w:r>
      <w:r w:rsidRPr="00F059E1" w:rsidR="00CD7605">
        <w:rPr>
          <w:rFonts w:asciiTheme="minorHAnsi" w:hAnsiTheme="minorHAnsi" w:cstheme="minorHAnsi"/>
          <w:sz w:val="22"/>
          <w:szCs w:val="22"/>
          <w:lang w:val="en-US"/>
        </w:rPr>
        <w:t>man</w:t>
      </w:r>
      <w:r w:rsidRPr="00F059E1" w:rsidR="005405B5">
        <w:rPr>
          <w:rFonts w:asciiTheme="minorHAnsi" w:hAnsiTheme="minorHAnsi" w:cstheme="minorHAnsi"/>
          <w:sz w:val="22"/>
          <w:szCs w:val="22"/>
          <w:lang w:val="en-US"/>
        </w:rPr>
        <w:t>’</w:t>
      </w:r>
      <w:r w:rsidRPr="00F059E1" w:rsidR="00CD7605">
        <w:rPr>
          <w:rFonts w:asciiTheme="minorHAnsi" w:hAnsiTheme="minorHAnsi" w:cstheme="minorHAnsi"/>
          <w:sz w:val="22"/>
          <w:szCs w:val="22"/>
          <w:lang w:val="en-US"/>
        </w:rPr>
        <w:t xml:space="preserve"> placed in the defendants' position at the time (Jones v Boyce, 1816). This can also be applied in </w:t>
      </w:r>
      <w:r w:rsidRPr="00F059E1" w:rsidR="00CD7605">
        <w:rPr>
          <w:rFonts w:asciiTheme="minorHAnsi" w:hAnsiTheme="minorHAnsi" w:cstheme="minorHAnsi"/>
          <w:color w:val="000000" w:themeColor="text1"/>
          <w:sz w:val="22"/>
          <w:szCs w:val="22"/>
        </w:rPr>
        <w:t>Roe v Minister of Health</w:t>
      </w:r>
      <w:r w:rsidRPr="00F059E1" w:rsidR="00CD7605">
        <w:rPr>
          <w:rFonts w:asciiTheme="minorHAnsi" w:hAnsiTheme="minorHAnsi" w:cstheme="minorHAnsi"/>
          <w:color w:val="000000" w:themeColor="text1"/>
          <w:sz w:val="22"/>
          <w:szCs w:val="22"/>
          <w:shd w:val="clear" w:color="auto" w:fill="FFFFFF"/>
        </w:rPr>
        <w:t> (1954).</w:t>
      </w:r>
      <w:r w:rsidRPr="00F059E1" w:rsidR="00653293">
        <w:rPr>
          <w:rFonts w:asciiTheme="minorHAnsi" w:hAnsiTheme="minorHAnsi" w:cstheme="minorHAnsi"/>
          <w:color w:val="000000" w:themeColor="text1"/>
          <w:sz w:val="22"/>
          <w:szCs w:val="22"/>
          <w:shd w:val="clear" w:color="auto" w:fill="FFFFFF"/>
        </w:rPr>
        <w:t xml:space="preserve"> This requirement of the defendant's standard of care to be judged against that of a reasonable person at the time of the incidents offers fairness to the defendant that they are held to an appropriate level of foreseeable harm</w:t>
      </w:r>
      <w:r w:rsidRPr="00F059E1" w:rsidR="005946EB">
        <w:rPr>
          <w:rFonts w:asciiTheme="minorHAnsi" w:hAnsiTheme="minorHAnsi" w:cstheme="minorHAnsi"/>
          <w:color w:val="000000" w:themeColor="text1"/>
          <w:sz w:val="22"/>
          <w:szCs w:val="22"/>
          <w:shd w:val="clear" w:color="auto" w:fill="FFFFFF"/>
        </w:rPr>
        <w:t xml:space="preserve"> </w:t>
      </w:r>
      <w:r w:rsidRPr="00F059E1" w:rsidR="005405B5">
        <w:rPr>
          <w:rFonts w:asciiTheme="minorHAnsi" w:hAnsiTheme="minorHAnsi" w:cstheme="minorHAnsi"/>
          <w:color w:val="000000" w:themeColor="text1"/>
          <w:sz w:val="22"/>
          <w:szCs w:val="22"/>
          <w:shd w:val="clear" w:color="auto" w:fill="FFFFFF"/>
        </w:rPr>
        <w:t>and pressure</w:t>
      </w:r>
      <w:r w:rsidRPr="00F059E1" w:rsidR="005946EB">
        <w:rPr>
          <w:rFonts w:asciiTheme="minorHAnsi" w:hAnsiTheme="minorHAnsi" w:cstheme="minorHAnsi"/>
          <w:color w:val="000000" w:themeColor="text1"/>
          <w:sz w:val="22"/>
          <w:szCs w:val="22"/>
          <w:shd w:val="clear" w:color="auto" w:fill="FFFFFF"/>
        </w:rPr>
        <w:t>(Cooke, 2007).</w:t>
      </w:r>
    </w:p>
    <w:p w:rsidR="00EF2D8F" w:rsidRPr="00F059E1" w:rsidP="00EF2D8F" w14:paraId="27515236" w14:textId="524AD2A4">
      <w:pPr>
        <w:pBdr>
          <w:bottom w:val="single" w:sz="12" w:space="1" w:color="auto"/>
        </w:pBdr>
        <w:rPr>
          <w:rFonts w:asciiTheme="minorHAnsi" w:hAnsiTheme="minorHAnsi" w:cstheme="minorHAnsi"/>
          <w:color w:val="000000"/>
          <w:sz w:val="22"/>
          <w:szCs w:val="22"/>
        </w:rPr>
      </w:pPr>
      <w:r w:rsidRPr="00F059E1">
        <w:rPr>
          <w:rFonts w:asciiTheme="minorHAnsi" w:hAnsiTheme="minorHAnsi" w:cstheme="minorHAnsi"/>
          <w:color w:val="000000"/>
          <w:sz w:val="22"/>
          <w:szCs w:val="22"/>
        </w:rPr>
        <w:t>Although the general rule that the standard of care is judged objectively there are some exceptions</w:t>
      </w:r>
      <w:r w:rsidRPr="00F059E1">
        <w:rPr>
          <w:rFonts w:asciiTheme="minorHAnsi" w:hAnsiTheme="minorHAnsi" w:cstheme="minorHAnsi"/>
          <w:color w:val="000000"/>
          <w:sz w:val="22"/>
          <w:szCs w:val="22"/>
        </w:rPr>
        <w:t xml:space="preserve"> where the </w:t>
      </w:r>
      <w:r w:rsidRPr="00F059E1" w:rsidR="002763D6">
        <w:rPr>
          <w:rFonts w:asciiTheme="minorHAnsi" w:hAnsiTheme="minorHAnsi" w:cstheme="minorHAnsi"/>
          <w:color w:val="000000"/>
          <w:sz w:val="22"/>
          <w:szCs w:val="22"/>
        </w:rPr>
        <w:t>defendants’</w:t>
      </w:r>
      <w:r w:rsidRPr="00F059E1">
        <w:rPr>
          <w:rFonts w:asciiTheme="minorHAnsi" w:hAnsiTheme="minorHAnsi" w:cstheme="minorHAnsi"/>
          <w:color w:val="000000"/>
          <w:sz w:val="22"/>
          <w:szCs w:val="22"/>
        </w:rPr>
        <w:t xml:space="preserve"> characteristics will be taken into consideration</w:t>
      </w:r>
      <w:r w:rsidRPr="00F059E1">
        <w:rPr>
          <w:rFonts w:asciiTheme="minorHAnsi" w:hAnsiTheme="minorHAnsi" w:cstheme="minorHAnsi"/>
          <w:color w:val="000000"/>
          <w:sz w:val="22"/>
          <w:szCs w:val="22"/>
        </w:rPr>
        <w:t xml:space="preserve">. These promote the flexibility of the standard of care for the defendants. </w:t>
      </w:r>
    </w:p>
    <w:p w:rsidR="00CD7605" w:rsidRPr="00F059E1" w:rsidP="00EF2D8F" w14:paraId="1B7FB2D9" w14:textId="0CFCFD6F">
      <w:pPr>
        <w:pBdr>
          <w:bottom w:val="single" w:sz="12" w:space="1" w:color="auto"/>
        </w:pBdr>
        <w:rPr>
          <w:rFonts w:asciiTheme="minorHAnsi" w:hAnsiTheme="minorHAnsi" w:cstheme="minorHAnsi"/>
          <w:color w:val="000000"/>
          <w:sz w:val="22"/>
          <w:szCs w:val="22"/>
        </w:rPr>
      </w:pPr>
    </w:p>
    <w:p w:rsidR="00CD7605" w:rsidRPr="00F059E1" w:rsidP="00CD7605" w14:paraId="0EF94C53" w14:textId="0E1466FF">
      <w:pPr>
        <w:pBdr>
          <w:bottom w:val="single" w:sz="12" w:space="1" w:color="auto"/>
        </w:pBdr>
        <w:rPr>
          <w:rFonts w:asciiTheme="minorHAnsi" w:hAnsiTheme="minorHAnsi" w:cstheme="minorHAnsi"/>
          <w:color w:val="000000" w:themeColor="text1"/>
          <w:sz w:val="22"/>
          <w:szCs w:val="22"/>
          <w:shd w:val="clear" w:color="auto" w:fill="FFFFFF"/>
        </w:rPr>
      </w:pPr>
      <w:r w:rsidRPr="00F059E1">
        <w:rPr>
          <w:rFonts w:asciiTheme="minorHAnsi" w:hAnsiTheme="minorHAnsi" w:cstheme="minorHAnsi"/>
          <w:sz w:val="22"/>
          <w:szCs w:val="22"/>
        </w:rPr>
        <w:t>The courts do not consider defendants to have breached a standard of care if the damage is a result of an action caused by a condition the defendant was not aware they had. This can be seen in Mansfield v Weetabix (1998) which provides precedents in negligence tort that protects the rights of a defendant</w:t>
      </w:r>
      <w:r w:rsidRPr="00F059E1">
        <w:rPr>
          <w:rFonts w:asciiTheme="minorHAnsi" w:hAnsiTheme="minorHAnsi" w:cstheme="minorHAnsi"/>
          <w:sz w:val="22"/>
          <w:szCs w:val="22"/>
        </w:rPr>
        <w:t xml:space="preserve"> and offers flexibility. However</w:t>
      </w:r>
      <w:r w:rsidRPr="00F059E1" w:rsidR="00653293">
        <w:rPr>
          <w:rFonts w:asciiTheme="minorHAnsi" w:hAnsiTheme="minorHAnsi" w:cstheme="minorHAnsi"/>
          <w:sz w:val="22"/>
          <w:szCs w:val="22"/>
        </w:rPr>
        <w:t>,</w:t>
      </w:r>
      <w:r w:rsidRPr="00F059E1">
        <w:rPr>
          <w:rFonts w:asciiTheme="minorHAnsi" w:hAnsiTheme="minorHAnsi" w:cstheme="minorHAnsi"/>
          <w:sz w:val="22"/>
          <w:szCs w:val="22"/>
        </w:rPr>
        <w:t xml:space="preserve"> this standard does not promote fairness to the claimant </w:t>
      </w:r>
      <w:r w:rsidRPr="00F059E1">
        <w:rPr>
          <w:rFonts w:asciiTheme="minorHAnsi" w:hAnsiTheme="minorHAnsi" w:cstheme="minorHAnsi"/>
          <w:sz w:val="22"/>
          <w:szCs w:val="22"/>
        </w:rPr>
        <w:t xml:space="preserve">as they are left suffering the burden of correcting any losses themselves. </w:t>
      </w:r>
      <w:r w:rsidRPr="00F059E1">
        <w:rPr>
          <w:rFonts w:asciiTheme="minorHAnsi" w:hAnsiTheme="minorHAnsi" w:cstheme="minorHAnsi"/>
          <w:color w:val="000000" w:themeColor="text1"/>
          <w:kern w:val="36"/>
          <w:sz w:val="22"/>
          <w:szCs w:val="22"/>
          <w:bdr w:val="none" w:sz="0" w:space="0" w:color="auto" w:frame="1"/>
        </w:rPr>
        <w:t xml:space="preserve">Roberts v Ramsbottom (1980) offers protection of the claimant’s interest by setting that a defendant will not be seen to be taking reasonable care when damage is caused due to a condition, they knew they had and that could affect their ability in that area. </w:t>
      </w:r>
      <w:r w:rsidRPr="00F059E1" w:rsidR="005405B5">
        <w:rPr>
          <w:rFonts w:asciiTheme="minorHAnsi" w:hAnsiTheme="minorHAnsi" w:cstheme="minorHAnsi"/>
          <w:color w:val="000000" w:themeColor="text1"/>
          <w:kern w:val="36"/>
          <w:sz w:val="22"/>
          <w:szCs w:val="22"/>
          <w:bdr w:val="none" w:sz="0" w:space="0" w:color="auto" w:frame="1"/>
        </w:rPr>
        <w:t>Meaning that, although the defendant may not have been able to prevent the issue that caused the damage due to their ailment, if they knew it was a possibility they would be seen to have fallen below the standard of care expected</w:t>
      </w:r>
      <w:r w:rsidRPr="00F059E1">
        <w:rPr>
          <w:rFonts w:asciiTheme="minorHAnsi" w:hAnsiTheme="minorHAnsi" w:cstheme="minorHAnsi"/>
          <w:color w:val="000000" w:themeColor="text1"/>
          <w:kern w:val="36"/>
          <w:sz w:val="22"/>
          <w:szCs w:val="22"/>
          <w:bdr w:val="none" w:sz="0" w:space="0" w:color="auto" w:frame="1"/>
        </w:rPr>
        <w:t xml:space="preserve">. </w:t>
      </w:r>
      <w:r w:rsidRPr="00F059E1">
        <w:rPr>
          <w:rFonts w:asciiTheme="minorHAnsi" w:hAnsiTheme="minorHAnsi" w:cstheme="minorHAnsi"/>
          <w:color w:val="000000" w:themeColor="text1"/>
          <w:kern w:val="36"/>
          <w:sz w:val="22"/>
          <w:szCs w:val="22"/>
          <w:bdr w:val="none" w:sz="0" w:space="0" w:color="auto" w:frame="1"/>
        </w:rPr>
        <w:t xml:space="preserve">The flexibility of these two situations offers a balance in the standard of care for the damage being caused by the defendant’s condition. </w:t>
      </w:r>
      <w:r w:rsidRPr="00F059E1" w:rsidR="00653293">
        <w:rPr>
          <w:rFonts w:asciiTheme="minorHAnsi" w:hAnsiTheme="minorHAnsi" w:cstheme="minorHAnsi"/>
          <w:color w:val="000000" w:themeColor="text1"/>
          <w:kern w:val="36"/>
          <w:sz w:val="22"/>
          <w:szCs w:val="22"/>
          <w:bdr w:val="none" w:sz="0" w:space="0" w:color="auto" w:frame="1"/>
        </w:rPr>
        <w:t>Although the standard of care appears to alter its objective stance to consider the characteristic of an illness the defendant is unaware of</w:t>
      </w:r>
      <w:r w:rsidRPr="00F059E1" w:rsidR="00701DBD">
        <w:rPr>
          <w:rFonts w:asciiTheme="minorHAnsi" w:hAnsiTheme="minorHAnsi" w:cstheme="minorHAnsi"/>
          <w:color w:val="000000" w:themeColor="text1"/>
          <w:kern w:val="36"/>
          <w:sz w:val="22"/>
          <w:szCs w:val="22"/>
          <w:bdr w:val="none" w:sz="0" w:space="0" w:color="auto" w:frame="1"/>
        </w:rPr>
        <w:t>,</w:t>
      </w:r>
      <w:r w:rsidRPr="00F059E1" w:rsidR="00653293">
        <w:rPr>
          <w:rFonts w:asciiTheme="minorHAnsi" w:hAnsiTheme="minorHAnsi" w:cstheme="minorHAnsi"/>
          <w:color w:val="000000" w:themeColor="text1"/>
          <w:kern w:val="36"/>
          <w:sz w:val="22"/>
          <w:szCs w:val="22"/>
          <w:bdr w:val="none" w:sz="0" w:space="0" w:color="auto" w:frame="1"/>
        </w:rPr>
        <w:t xml:space="preserve"> it is promoted in </w:t>
      </w:r>
      <w:r w:rsidRPr="00F059E1" w:rsidR="00653293">
        <w:rPr>
          <w:rFonts w:asciiTheme="minorHAnsi" w:hAnsiTheme="minorHAnsi" w:cstheme="minorHAnsi"/>
          <w:color w:val="000000" w:themeColor="text1"/>
          <w:sz w:val="22"/>
          <w:szCs w:val="22"/>
          <w:shd w:val="clear" w:color="auto" w:fill="FFFFFF"/>
        </w:rPr>
        <w:t>Dunnage v Randall and Another (2015)</w:t>
      </w:r>
      <w:r w:rsidRPr="00F059E1" w:rsidR="00653293">
        <w:rPr>
          <w:rFonts w:asciiTheme="minorHAnsi" w:hAnsiTheme="minorHAnsi" w:cstheme="minorHAnsi"/>
          <w:color w:val="000000" w:themeColor="text1"/>
          <w:sz w:val="22"/>
          <w:szCs w:val="22"/>
          <w:shd w:val="clear" w:color="auto" w:fill="FFFFFF"/>
        </w:rPr>
        <w:t xml:space="preserve"> that the standard is objective. This is due to the laws ability </w:t>
      </w:r>
      <w:r w:rsidRPr="00F059E1" w:rsidR="00701DBD">
        <w:rPr>
          <w:rFonts w:asciiTheme="minorHAnsi" w:hAnsiTheme="minorHAnsi" w:cstheme="minorHAnsi"/>
          <w:color w:val="000000" w:themeColor="text1"/>
          <w:sz w:val="22"/>
          <w:szCs w:val="22"/>
          <w:shd w:val="clear" w:color="auto" w:fill="FFFFFF"/>
        </w:rPr>
        <w:t xml:space="preserve">to </w:t>
      </w:r>
      <w:r w:rsidRPr="00F059E1" w:rsidR="00653293">
        <w:rPr>
          <w:rFonts w:asciiTheme="minorHAnsi" w:hAnsiTheme="minorHAnsi" w:cstheme="minorHAnsi"/>
          <w:color w:val="000000" w:themeColor="text1"/>
          <w:sz w:val="22"/>
          <w:szCs w:val="22"/>
          <w:shd w:val="clear" w:color="auto" w:fill="FFFFFF"/>
        </w:rPr>
        <w:t>conclude that an individual who is suffering from a mental illness</w:t>
      </w:r>
      <w:r w:rsidRPr="00F059E1" w:rsidR="00701DBD">
        <w:rPr>
          <w:rFonts w:asciiTheme="minorHAnsi" w:hAnsiTheme="minorHAnsi" w:cstheme="minorHAnsi"/>
          <w:color w:val="000000" w:themeColor="text1"/>
          <w:sz w:val="22"/>
          <w:szCs w:val="22"/>
          <w:shd w:val="clear" w:color="auto" w:fill="FFFFFF"/>
        </w:rPr>
        <w:t xml:space="preserve"> and</w:t>
      </w:r>
      <w:r w:rsidRPr="00F059E1" w:rsidR="00653293">
        <w:rPr>
          <w:rFonts w:asciiTheme="minorHAnsi" w:hAnsiTheme="minorHAnsi" w:cstheme="minorHAnsi"/>
          <w:color w:val="000000" w:themeColor="text1"/>
          <w:sz w:val="22"/>
          <w:szCs w:val="22"/>
          <w:shd w:val="clear" w:color="auto" w:fill="FFFFFF"/>
        </w:rPr>
        <w:t xml:space="preserve"> who acts out due to it</w:t>
      </w:r>
      <w:r w:rsidRPr="00F059E1" w:rsidR="00701DBD">
        <w:rPr>
          <w:rFonts w:asciiTheme="minorHAnsi" w:hAnsiTheme="minorHAnsi" w:cstheme="minorHAnsi"/>
          <w:color w:val="000000" w:themeColor="text1"/>
          <w:sz w:val="22"/>
          <w:szCs w:val="22"/>
          <w:shd w:val="clear" w:color="auto" w:fill="FFFFFF"/>
        </w:rPr>
        <w:t>:</w:t>
      </w:r>
      <w:r w:rsidRPr="00F059E1" w:rsidR="00653293">
        <w:rPr>
          <w:rFonts w:asciiTheme="minorHAnsi" w:hAnsiTheme="minorHAnsi" w:cstheme="minorHAnsi"/>
          <w:color w:val="000000" w:themeColor="text1"/>
          <w:sz w:val="22"/>
          <w:szCs w:val="22"/>
          <w:shd w:val="clear" w:color="auto" w:fill="FFFFFF"/>
        </w:rPr>
        <w:t xml:space="preserve"> will still be seen to be </w:t>
      </w:r>
      <w:r w:rsidRPr="00F059E1" w:rsidR="00701DBD">
        <w:rPr>
          <w:rFonts w:asciiTheme="minorHAnsi" w:hAnsiTheme="minorHAnsi" w:cstheme="minorHAnsi"/>
          <w:color w:val="000000" w:themeColor="text1"/>
          <w:sz w:val="22"/>
          <w:szCs w:val="22"/>
          <w:shd w:val="clear" w:color="auto" w:fill="FFFFFF"/>
        </w:rPr>
        <w:t>liable of negligence for any harm caused; unless the illness impacts them in a way they</w:t>
      </w:r>
      <w:r w:rsidRPr="00F059E1" w:rsidR="003F5536">
        <w:rPr>
          <w:rFonts w:asciiTheme="minorHAnsi" w:hAnsiTheme="minorHAnsi" w:cstheme="minorHAnsi"/>
          <w:color w:val="000000" w:themeColor="text1"/>
          <w:sz w:val="22"/>
          <w:szCs w:val="22"/>
          <w:shd w:val="clear" w:color="auto" w:fill="FFFFFF"/>
        </w:rPr>
        <w:t xml:space="preserve"> would</w:t>
      </w:r>
      <w:r w:rsidRPr="00F059E1" w:rsidR="00701DBD">
        <w:rPr>
          <w:rFonts w:asciiTheme="minorHAnsi" w:hAnsiTheme="minorHAnsi" w:cstheme="minorHAnsi"/>
          <w:color w:val="000000" w:themeColor="text1"/>
          <w:sz w:val="22"/>
          <w:szCs w:val="22"/>
          <w:shd w:val="clear" w:color="auto" w:fill="FFFFFF"/>
        </w:rPr>
        <w:t xml:space="preserve"> lose autonomy of their decisions. </w:t>
      </w:r>
    </w:p>
    <w:p w:rsidR="00701DBD" w:rsidRPr="00F059E1" w:rsidP="00CD7605" w14:paraId="3A4D0163" w14:textId="373B03AA">
      <w:pPr>
        <w:pBdr>
          <w:bottom w:val="single" w:sz="12" w:space="1" w:color="auto"/>
        </w:pBdr>
        <w:rPr>
          <w:rFonts w:asciiTheme="minorHAnsi" w:hAnsiTheme="minorHAnsi" w:cstheme="minorHAnsi"/>
          <w:color w:val="000000" w:themeColor="text1"/>
          <w:sz w:val="22"/>
          <w:szCs w:val="22"/>
          <w:shd w:val="clear" w:color="auto" w:fill="FFFFFF"/>
        </w:rPr>
      </w:pPr>
    </w:p>
    <w:p w:rsidR="00701DBD" w:rsidRPr="00F059E1" w:rsidP="00CD7605" w14:paraId="6E085C48" w14:textId="57E73A22">
      <w:pPr>
        <w:pBdr>
          <w:bottom w:val="single" w:sz="12" w:space="1" w:color="auto"/>
        </w:pBdr>
        <w:rPr>
          <w:rFonts w:asciiTheme="minorHAnsi" w:hAnsiTheme="minorHAnsi" w:cstheme="minorHAnsi"/>
          <w:color w:val="000000" w:themeColor="text1"/>
          <w:kern w:val="36"/>
          <w:sz w:val="22"/>
          <w:szCs w:val="22"/>
          <w:bdr w:val="none" w:sz="0" w:space="0" w:color="auto" w:frame="1"/>
        </w:rPr>
      </w:pPr>
      <w:r w:rsidRPr="00F059E1">
        <w:rPr>
          <w:rFonts w:asciiTheme="minorHAnsi" w:hAnsiTheme="minorHAnsi" w:cstheme="minorHAnsi"/>
          <w:color w:val="000000" w:themeColor="text1"/>
          <w:kern w:val="36"/>
          <w:sz w:val="22"/>
          <w:szCs w:val="22"/>
          <w:bdr w:val="none" w:sz="0" w:space="0" w:color="auto" w:frame="1"/>
        </w:rPr>
        <w:t>Further alterations to the standard of care expected come when considering the potential harm an act could have. A higher standard is expected when the ‘gravity of the injury is great’ although the risk of it is small (Jones, 2019).</w:t>
      </w:r>
      <w:r w:rsidRPr="00F059E1" w:rsidR="00C801BD">
        <w:rPr>
          <w:rFonts w:asciiTheme="minorHAnsi" w:hAnsiTheme="minorHAnsi" w:cstheme="minorHAnsi"/>
          <w:color w:val="000000" w:themeColor="text1"/>
          <w:kern w:val="36"/>
          <w:sz w:val="22"/>
          <w:szCs w:val="22"/>
          <w:bdr w:val="none" w:sz="0" w:space="0" w:color="auto" w:frame="1"/>
        </w:rPr>
        <w:t xml:space="preserve"> This can be seen in Paris v Stepney Borough Council (1951)</w:t>
      </w:r>
      <w:r w:rsidRPr="00F059E1" w:rsidR="003F5536">
        <w:rPr>
          <w:rFonts w:asciiTheme="minorHAnsi" w:hAnsiTheme="minorHAnsi" w:cstheme="minorHAnsi"/>
          <w:color w:val="000000" w:themeColor="text1"/>
          <w:kern w:val="36"/>
          <w:sz w:val="22"/>
          <w:szCs w:val="22"/>
          <w:bdr w:val="none" w:sz="0" w:space="0" w:color="auto" w:frame="1"/>
        </w:rPr>
        <w:t xml:space="preserve"> </w:t>
      </w:r>
      <w:r w:rsidRPr="00F059E1" w:rsidR="00C801BD">
        <w:rPr>
          <w:rFonts w:asciiTheme="minorHAnsi" w:hAnsiTheme="minorHAnsi" w:cstheme="minorHAnsi"/>
          <w:color w:val="000000" w:themeColor="text1"/>
          <w:kern w:val="36"/>
          <w:sz w:val="22"/>
          <w:szCs w:val="22"/>
          <w:bdr w:val="none" w:sz="0" w:space="0" w:color="auto" w:frame="1"/>
        </w:rPr>
        <w:t>and it promotes the fairness and flexibility in the standard that those who are at greater risk should be afforded the additional precautions.</w:t>
      </w:r>
      <w:r w:rsidRPr="00F059E1" w:rsidR="00B2626C">
        <w:rPr>
          <w:rFonts w:asciiTheme="minorHAnsi" w:hAnsiTheme="minorHAnsi" w:cstheme="minorHAnsi"/>
          <w:color w:val="000000" w:themeColor="text1"/>
          <w:kern w:val="36"/>
          <w:sz w:val="22"/>
          <w:szCs w:val="22"/>
          <w:bdr w:val="none" w:sz="0" w:space="0" w:color="auto" w:frame="1"/>
        </w:rPr>
        <w:t xml:space="preserve"> </w:t>
      </w:r>
    </w:p>
    <w:p w:rsidR="00CD7605" w:rsidRPr="00F059E1" w:rsidP="00CD7605" w14:paraId="6EBE6C7A" w14:textId="1A546B59">
      <w:pPr>
        <w:pBdr>
          <w:bottom w:val="single" w:sz="12" w:space="1" w:color="auto"/>
        </w:pBdr>
        <w:rPr>
          <w:rFonts w:asciiTheme="minorHAnsi" w:hAnsiTheme="minorHAnsi" w:cstheme="minorHAnsi"/>
          <w:color w:val="000000" w:themeColor="text1"/>
          <w:kern w:val="36"/>
          <w:sz w:val="22"/>
          <w:szCs w:val="22"/>
          <w:bdr w:val="none" w:sz="0" w:space="0" w:color="auto" w:frame="1"/>
        </w:rPr>
      </w:pPr>
    </w:p>
    <w:p w:rsidR="00B457A3" w:rsidRPr="00F059E1" w:rsidP="00B457A3" w14:paraId="547E837D" w14:textId="30F395FC">
      <w:pPr>
        <w:pBdr>
          <w:bottom w:val="single" w:sz="12" w:space="1" w:color="auto"/>
        </w:pBdr>
        <w:rPr>
          <w:rFonts w:asciiTheme="minorHAnsi" w:hAnsiTheme="minorHAnsi" w:cstheme="minorHAnsi"/>
          <w:color w:val="212529"/>
          <w:sz w:val="22"/>
          <w:szCs w:val="22"/>
        </w:rPr>
      </w:pPr>
      <w:r w:rsidRPr="00F059E1">
        <w:rPr>
          <w:rFonts w:asciiTheme="minorHAnsi" w:hAnsiTheme="minorHAnsi" w:cstheme="minorHAnsi"/>
          <w:color w:val="000000" w:themeColor="text1"/>
          <w:sz w:val="22"/>
          <w:szCs w:val="22"/>
          <w:shd w:val="clear" w:color="auto" w:fill="FFFFFF"/>
        </w:rPr>
        <w:t xml:space="preserve">A further exception to </w:t>
      </w:r>
      <w:r w:rsidRPr="00F059E1" w:rsidR="003F5536">
        <w:rPr>
          <w:rFonts w:asciiTheme="minorHAnsi" w:hAnsiTheme="minorHAnsi" w:cstheme="minorHAnsi"/>
          <w:color w:val="000000" w:themeColor="text1"/>
          <w:sz w:val="22"/>
          <w:szCs w:val="22"/>
          <w:shd w:val="clear" w:color="auto" w:fill="FFFFFF"/>
        </w:rPr>
        <w:t>afford a</w:t>
      </w:r>
      <w:r w:rsidRPr="00F059E1">
        <w:rPr>
          <w:rFonts w:asciiTheme="minorHAnsi" w:hAnsiTheme="minorHAnsi" w:cstheme="minorHAnsi"/>
          <w:color w:val="000000" w:themeColor="text1"/>
          <w:sz w:val="22"/>
          <w:szCs w:val="22"/>
          <w:shd w:val="clear" w:color="auto" w:fill="FFFFFF"/>
        </w:rPr>
        <w:t xml:space="preserve"> higher standard of care </w:t>
      </w:r>
      <w:r w:rsidRPr="00F059E1" w:rsidR="003F5536">
        <w:rPr>
          <w:rFonts w:asciiTheme="minorHAnsi" w:hAnsiTheme="minorHAnsi" w:cstheme="minorHAnsi"/>
          <w:color w:val="000000" w:themeColor="text1"/>
          <w:sz w:val="22"/>
          <w:szCs w:val="22"/>
          <w:shd w:val="clear" w:color="auto" w:fill="FFFFFF"/>
        </w:rPr>
        <w:t xml:space="preserve">being </w:t>
      </w:r>
      <w:r w:rsidRPr="00F059E1">
        <w:rPr>
          <w:rFonts w:asciiTheme="minorHAnsi" w:hAnsiTheme="minorHAnsi" w:cstheme="minorHAnsi"/>
          <w:color w:val="000000" w:themeColor="text1"/>
          <w:sz w:val="22"/>
          <w:szCs w:val="22"/>
          <w:shd w:val="clear" w:color="auto" w:fill="FFFFFF"/>
        </w:rPr>
        <w:t xml:space="preserve">accepted comes from that expected of skilled defendants.  The first </w:t>
      </w:r>
      <w:r w:rsidRPr="00F059E1">
        <w:rPr>
          <w:rFonts w:asciiTheme="minorHAnsi" w:hAnsiTheme="minorHAnsi" w:cstheme="minorHAnsi"/>
          <w:color w:val="212529"/>
          <w:sz w:val="22"/>
          <w:szCs w:val="22"/>
        </w:rPr>
        <w:t>example of this can be seen in the Bolam Test</w:t>
      </w:r>
      <w:r w:rsidRPr="00F059E1" w:rsidR="004C17F6">
        <w:rPr>
          <w:rFonts w:asciiTheme="minorHAnsi" w:hAnsiTheme="minorHAnsi" w:cstheme="minorHAnsi"/>
          <w:color w:val="212529"/>
          <w:sz w:val="22"/>
          <w:szCs w:val="22"/>
        </w:rPr>
        <w:t xml:space="preserve"> </w:t>
      </w:r>
      <w:r w:rsidRPr="00F059E1">
        <w:rPr>
          <w:rFonts w:asciiTheme="minorHAnsi" w:hAnsiTheme="minorHAnsi" w:cstheme="minorHAnsi"/>
          <w:color w:val="212529"/>
          <w:sz w:val="22"/>
          <w:szCs w:val="22"/>
        </w:rPr>
        <w:t xml:space="preserve">which was further developed in Bolitho v City and Hackney Health Authority (1997) which requires a </w:t>
      </w:r>
      <w:r w:rsidRPr="00F059E1" w:rsidR="0051656C">
        <w:rPr>
          <w:rFonts w:asciiTheme="minorHAnsi" w:hAnsiTheme="minorHAnsi" w:cstheme="minorHAnsi"/>
          <w:color w:val="212529"/>
          <w:sz w:val="22"/>
          <w:szCs w:val="22"/>
        </w:rPr>
        <w:t>doctor’s</w:t>
      </w:r>
      <w:r w:rsidRPr="00F059E1">
        <w:rPr>
          <w:rFonts w:asciiTheme="minorHAnsi" w:hAnsiTheme="minorHAnsi" w:cstheme="minorHAnsi"/>
          <w:color w:val="212529"/>
          <w:sz w:val="22"/>
          <w:szCs w:val="22"/>
        </w:rPr>
        <w:t xml:space="preserve"> actions to be deemed logical with a defensible basis in the circumstance by a board of similarly skilled professionals (Bolam Friern hospital management committee 1957). This can be seen to bring a fair balance to the interests of the defendants as even when the results are tragic the actions of the professional can still be deemed not negligent if the board agrees with the moves taken (Whitehouse V Jordan 1981). </w:t>
      </w:r>
      <w:r w:rsidRPr="00F059E1" w:rsidR="004C17F6">
        <w:rPr>
          <w:rFonts w:asciiTheme="minorHAnsi" w:hAnsiTheme="minorHAnsi" w:cstheme="minorHAnsi"/>
          <w:color w:val="212529"/>
          <w:sz w:val="22"/>
          <w:szCs w:val="22"/>
        </w:rPr>
        <w:t xml:space="preserve">In </w:t>
      </w:r>
      <w:r w:rsidRPr="00F059E1" w:rsidR="0051656C">
        <w:rPr>
          <w:rFonts w:asciiTheme="minorHAnsi" w:hAnsiTheme="minorHAnsi" w:cstheme="minorHAnsi"/>
          <w:color w:val="212529"/>
          <w:sz w:val="22"/>
          <w:szCs w:val="22"/>
        </w:rPr>
        <w:t>addition,</w:t>
      </w:r>
      <w:r w:rsidRPr="00F059E1" w:rsidR="004C17F6">
        <w:rPr>
          <w:rFonts w:asciiTheme="minorHAnsi" w:hAnsiTheme="minorHAnsi" w:cstheme="minorHAnsi"/>
          <w:color w:val="212529"/>
          <w:sz w:val="22"/>
          <w:szCs w:val="22"/>
        </w:rPr>
        <w:t xml:space="preserve"> this</w:t>
      </w:r>
      <w:r w:rsidRPr="00F059E1">
        <w:rPr>
          <w:rFonts w:asciiTheme="minorHAnsi" w:hAnsiTheme="minorHAnsi" w:cstheme="minorHAnsi"/>
          <w:color w:val="212529"/>
          <w:sz w:val="22"/>
          <w:szCs w:val="22"/>
        </w:rPr>
        <w:t xml:space="preserve"> need for a board to find a professional’s actions justifiable provides the claimant with the security of avoiding ‘doctor knows best’ treatment and reassurance that the standard of care is less likely to be negligent (Chester v Afshar 2004).</w:t>
      </w:r>
      <w:r w:rsidRPr="00F059E1" w:rsidR="004C17F6">
        <w:rPr>
          <w:rFonts w:asciiTheme="minorHAnsi" w:hAnsiTheme="minorHAnsi" w:cstheme="minorHAnsi"/>
          <w:color w:val="212529"/>
          <w:sz w:val="22"/>
          <w:szCs w:val="22"/>
        </w:rPr>
        <w:t xml:space="preserve"> However</w:t>
      </w:r>
      <w:r w:rsidRPr="00F059E1" w:rsidR="0051656C">
        <w:rPr>
          <w:rFonts w:asciiTheme="minorHAnsi" w:hAnsiTheme="minorHAnsi" w:cstheme="minorHAnsi"/>
          <w:color w:val="212529"/>
          <w:sz w:val="22"/>
          <w:szCs w:val="22"/>
        </w:rPr>
        <w:t>,</w:t>
      </w:r>
      <w:r w:rsidRPr="00F059E1" w:rsidR="004C17F6">
        <w:rPr>
          <w:rFonts w:asciiTheme="minorHAnsi" w:hAnsiTheme="minorHAnsi" w:cstheme="minorHAnsi"/>
          <w:color w:val="212529"/>
          <w:sz w:val="22"/>
          <w:szCs w:val="22"/>
        </w:rPr>
        <w:t xml:space="preserve"> </w:t>
      </w:r>
      <w:r w:rsidRPr="00F059E1" w:rsidR="0051656C">
        <w:rPr>
          <w:rFonts w:asciiTheme="minorHAnsi" w:hAnsiTheme="minorHAnsi" w:cstheme="minorHAnsi"/>
          <w:color w:val="212529"/>
          <w:sz w:val="22"/>
          <w:szCs w:val="22"/>
        </w:rPr>
        <w:t>the Bolam</w:t>
      </w:r>
      <w:r w:rsidRPr="00F059E1" w:rsidR="004C17F6">
        <w:rPr>
          <w:rFonts w:asciiTheme="minorHAnsi" w:hAnsiTheme="minorHAnsi" w:cstheme="minorHAnsi"/>
          <w:color w:val="212529"/>
          <w:sz w:val="22"/>
          <w:szCs w:val="22"/>
        </w:rPr>
        <w:t xml:space="preserve"> test </w:t>
      </w:r>
      <w:r w:rsidRPr="00F059E1" w:rsidR="0051656C">
        <w:rPr>
          <w:rFonts w:asciiTheme="minorHAnsi" w:hAnsiTheme="minorHAnsi" w:cstheme="minorHAnsi"/>
          <w:color w:val="212529"/>
          <w:sz w:val="22"/>
          <w:szCs w:val="22"/>
        </w:rPr>
        <w:t>has</w:t>
      </w:r>
      <w:r w:rsidRPr="00F059E1" w:rsidR="004C17F6">
        <w:rPr>
          <w:rFonts w:asciiTheme="minorHAnsi" w:hAnsiTheme="minorHAnsi" w:cstheme="minorHAnsi"/>
          <w:color w:val="212529"/>
          <w:sz w:val="22"/>
          <w:szCs w:val="22"/>
        </w:rPr>
        <w:t xml:space="preserve"> come under criticism for </w:t>
      </w:r>
      <w:r w:rsidRPr="00F059E1" w:rsidR="0051656C">
        <w:rPr>
          <w:rFonts w:asciiTheme="minorHAnsi" w:hAnsiTheme="minorHAnsi" w:cstheme="minorHAnsi"/>
          <w:color w:val="212529"/>
          <w:sz w:val="22"/>
          <w:szCs w:val="22"/>
        </w:rPr>
        <w:t>allowing medical professionals to ‘abdicate’ from their negligent decisions (</w:t>
      </w:r>
      <w:r w:rsidRPr="00F059E1" w:rsidR="0051656C">
        <w:rPr>
          <w:rFonts w:asciiTheme="minorHAnsi" w:hAnsiTheme="minorHAnsi" w:cstheme="minorHAnsi"/>
          <w:color w:val="212529"/>
          <w:sz w:val="22"/>
          <w:szCs w:val="22"/>
        </w:rPr>
        <w:t>Braizer</w:t>
      </w:r>
      <w:r w:rsidRPr="00F059E1" w:rsidR="0051656C">
        <w:rPr>
          <w:rFonts w:asciiTheme="minorHAnsi" w:hAnsiTheme="minorHAnsi" w:cstheme="minorHAnsi"/>
          <w:color w:val="212529"/>
          <w:sz w:val="22"/>
          <w:szCs w:val="22"/>
        </w:rPr>
        <w:t xml:space="preserve"> and </w:t>
      </w:r>
      <w:r w:rsidRPr="00F059E1" w:rsidR="0051656C">
        <w:rPr>
          <w:rFonts w:asciiTheme="minorHAnsi" w:hAnsiTheme="minorHAnsi" w:cstheme="minorHAnsi"/>
          <w:color w:val="212529"/>
          <w:sz w:val="22"/>
          <w:szCs w:val="22"/>
        </w:rPr>
        <w:t>Miola</w:t>
      </w:r>
      <w:r w:rsidRPr="00F059E1" w:rsidR="0051656C">
        <w:rPr>
          <w:rFonts w:asciiTheme="minorHAnsi" w:hAnsiTheme="minorHAnsi" w:cstheme="minorHAnsi"/>
          <w:color w:val="212529"/>
          <w:sz w:val="22"/>
          <w:szCs w:val="22"/>
        </w:rPr>
        <w:t xml:space="preserve">, 2000). This criticism is overcome however with the development made in </w:t>
      </w:r>
      <w:r w:rsidRPr="00F059E1" w:rsidR="0051656C">
        <w:rPr>
          <w:rFonts w:asciiTheme="minorHAnsi" w:hAnsiTheme="minorHAnsi" w:cstheme="minorHAnsi"/>
          <w:color w:val="212529"/>
          <w:sz w:val="22"/>
          <w:szCs w:val="22"/>
        </w:rPr>
        <w:t>Bolithio</w:t>
      </w:r>
      <w:r w:rsidRPr="00F059E1" w:rsidR="0051656C">
        <w:rPr>
          <w:rFonts w:asciiTheme="minorHAnsi" w:hAnsiTheme="minorHAnsi" w:cstheme="minorHAnsi"/>
          <w:color w:val="212529"/>
          <w:sz w:val="22"/>
          <w:szCs w:val="22"/>
        </w:rPr>
        <w:t xml:space="preserve"> which can be seen to bring a fair balance in the standard between the claimant and defendant</w:t>
      </w:r>
      <w:r w:rsidRPr="00F059E1">
        <w:rPr>
          <w:rFonts w:asciiTheme="minorHAnsi" w:hAnsiTheme="minorHAnsi" w:cstheme="minorHAnsi"/>
          <w:color w:val="212529"/>
          <w:sz w:val="22"/>
          <w:szCs w:val="22"/>
        </w:rPr>
        <w:t xml:space="preserve"> by holding the skilled defendant to a higher expected standard</w:t>
      </w:r>
      <w:r w:rsidRPr="00F059E1" w:rsidR="0051656C">
        <w:rPr>
          <w:rFonts w:asciiTheme="minorHAnsi" w:hAnsiTheme="minorHAnsi" w:cstheme="minorHAnsi"/>
          <w:color w:val="212529"/>
          <w:sz w:val="22"/>
          <w:szCs w:val="22"/>
        </w:rPr>
        <w:t xml:space="preserve">. </w:t>
      </w:r>
      <w:r w:rsidRPr="00F059E1" w:rsidR="00A30F1B">
        <w:rPr>
          <w:rFonts w:asciiTheme="minorHAnsi" w:hAnsiTheme="minorHAnsi" w:cstheme="minorHAnsi"/>
          <w:color w:val="212529"/>
          <w:sz w:val="22"/>
          <w:szCs w:val="22"/>
        </w:rPr>
        <w:t xml:space="preserve">Further criticism comes from Witting (2001) who argues that the current standard of care expected of medical professionals is unfair as there is a proportion of negligence cases that should be attributed to a systematic failure rather than that of the individual medical practitioner. </w:t>
      </w:r>
      <w:r w:rsidRPr="00F059E1" w:rsidR="0017491C">
        <w:rPr>
          <w:rFonts w:asciiTheme="minorHAnsi" w:hAnsiTheme="minorHAnsi" w:cstheme="minorHAnsi"/>
          <w:color w:val="212529"/>
          <w:sz w:val="22"/>
          <w:szCs w:val="22"/>
        </w:rPr>
        <w:t xml:space="preserve"> </w:t>
      </w:r>
    </w:p>
    <w:p w:rsidR="00B457A3" w:rsidRPr="00F059E1" w:rsidP="00B457A3" w14:paraId="23B042C8" w14:textId="77777777">
      <w:pPr>
        <w:pBdr>
          <w:bottom w:val="single" w:sz="12" w:space="1" w:color="auto"/>
        </w:pBdr>
        <w:rPr>
          <w:rFonts w:asciiTheme="minorHAnsi" w:hAnsiTheme="minorHAnsi" w:cstheme="minorHAnsi"/>
          <w:color w:val="212529"/>
          <w:sz w:val="22"/>
          <w:szCs w:val="22"/>
        </w:rPr>
      </w:pPr>
    </w:p>
    <w:p w:rsidR="00651986" w:rsidRPr="00F059E1" w:rsidP="00B457A3" w14:paraId="34601FEC" w14:textId="2C228F20">
      <w:pPr>
        <w:pBdr>
          <w:bottom w:val="single" w:sz="12" w:space="1" w:color="auto"/>
        </w:pBdr>
        <w:rPr>
          <w:rFonts w:asciiTheme="minorHAnsi" w:hAnsiTheme="minorHAnsi" w:cstheme="minorHAnsi"/>
          <w:sz w:val="22"/>
          <w:szCs w:val="22"/>
        </w:rPr>
      </w:pPr>
      <w:r w:rsidRPr="00F059E1">
        <w:rPr>
          <w:rFonts w:asciiTheme="minorHAnsi" w:hAnsiTheme="minorHAnsi" w:cstheme="minorHAnsi"/>
          <w:sz w:val="22"/>
          <w:szCs w:val="22"/>
        </w:rPr>
        <w:t>Flexibility is also promoted in the standard of care when considering the objective of the defendant at the time of the incident (</w:t>
      </w:r>
      <w:r w:rsidRPr="00F059E1">
        <w:rPr>
          <w:rStyle w:val="Strong"/>
          <w:rFonts w:asciiTheme="minorHAnsi" w:hAnsiTheme="minorHAnsi" w:cstheme="minorHAnsi"/>
          <w:color w:val="212529"/>
          <w:sz w:val="22"/>
          <w:szCs w:val="22"/>
        </w:rPr>
        <w:t>Watt v Hertfordshire County Council 1954)</w:t>
      </w:r>
      <w:r w:rsidRPr="00F059E1">
        <w:rPr>
          <w:rFonts w:asciiTheme="minorHAnsi" w:hAnsiTheme="minorHAnsi" w:cstheme="minorHAnsi"/>
          <w:sz w:val="22"/>
          <w:szCs w:val="22"/>
        </w:rPr>
        <w:t xml:space="preserve">. Social Action, Responsibility and Heroism Act (2015) promotes flexibility when considering the objective of the individual. </w:t>
      </w:r>
      <w:r w:rsidRPr="00F059E1" w:rsidR="00B2626C">
        <w:rPr>
          <w:rFonts w:asciiTheme="minorHAnsi" w:hAnsiTheme="minorHAnsi" w:cstheme="minorHAnsi"/>
          <w:sz w:val="22"/>
          <w:szCs w:val="22"/>
        </w:rPr>
        <w:t>When an individual is pushed into an emergency</w:t>
      </w:r>
      <w:r w:rsidRPr="00F059E1" w:rsidR="005D6145">
        <w:rPr>
          <w:rFonts w:asciiTheme="minorHAnsi" w:hAnsiTheme="minorHAnsi" w:cstheme="minorHAnsi"/>
          <w:sz w:val="22"/>
          <w:szCs w:val="22"/>
        </w:rPr>
        <w:t>,</w:t>
      </w:r>
      <w:r w:rsidRPr="00F059E1" w:rsidR="00B2626C">
        <w:rPr>
          <w:rFonts w:asciiTheme="minorHAnsi" w:hAnsiTheme="minorHAnsi" w:cstheme="minorHAnsi"/>
          <w:sz w:val="22"/>
          <w:szCs w:val="22"/>
        </w:rPr>
        <w:t xml:space="preserve"> they may act in a way they wouldn’t</w:t>
      </w:r>
      <w:r w:rsidRPr="00F059E1" w:rsidR="003F5536">
        <w:rPr>
          <w:rFonts w:asciiTheme="minorHAnsi" w:hAnsiTheme="minorHAnsi" w:cstheme="minorHAnsi"/>
          <w:sz w:val="22"/>
          <w:szCs w:val="22"/>
        </w:rPr>
        <w:t xml:space="preserve"> normally</w:t>
      </w:r>
      <w:r w:rsidRPr="00F059E1" w:rsidR="00B2626C">
        <w:rPr>
          <w:rFonts w:asciiTheme="minorHAnsi" w:hAnsiTheme="minorHAnsi" w:cstheme="minorHAnsi"/>
          <w:sz w:val="22"/>
          <w:szCs w:val="22"/>
        </w:rPr>
        <w:t xml:space="preserve">, the courts would consider the reasonable man in this scenario to be under the same pressures of that emergency situation (Murphy and Witting, 2012, pp116). </w:t>
      </w:r>
      <w:r w:rsidRPr="00F059E1">
        <w:rPr>
          <w:rFonts w:asciiTheme="minorHAnsi" w:hAnsiTheme="minorHAnsi" w:cstheme="minorHAnsi"/>
          <w:sz w:val="22"/>
          <w:szCs w:val="22"/>
        </w:rPr>
        <w:t xml:space="preserve">The act aims to prevent a compensation culture and to ensure the law does not dissuade individuals </w:t>
      </w:r>
      <w:r w:rsidRPr="00F059E1">
        <w:rPr>
          <w:rFonts w:asciiTheme="minorHAnsi" w:hAnsiTheme="minorHAnsi" w:cstheme="minorHAnsi"/>
          <w:sz w:val="22"/>
          <w:szCs w:val="22"/>
        </w:rPr>
        <w:t>from</w:t>
      </w:r>
      <w:r w:rsidRPr="00F059E1">
        <w:rPr>
          <w:rFonts w:asciiTheme="minorHAnsi" w:hAnsiTheme="minorHAnsi" w:cstheme="minorHAnsi"/>
          <w:sz w:val="22"/>
          <w:szCs w:val="22"/>
        </w:rPr>
        <w:t xml:space="preserve"> helping each other. In cases like </w:t>
      </w:r>
      <w:r w:rsidRPr="00F059E1">
        <w:rPr>
          <w:rStyle w:val="Strong"/>
          <w:rFonts w:asciiTheme="minorHAnsi" w:hAnsiTheme="minorHAnsi" w:cstheme="minorHAnsi"/>
          <w:color w:val="212529"/>
          <w:sz w:val="22"/>
          <w:szCs w:val="22"/>
        </w:rPr>
        <w:t xml:space="preserve">Watt v Hertfordshire County Council (1954) </w:t>
      </w:r>
      <w:r w:rsidRPr="00F059E1">
        <w:rPr>
          <w:rFonts w:asciiTheme="minorHAnsi" w:hAnsiTheme="minorHAnsi" w:cstheme="minorHAnsi"/>
          <w:sz w:val="22"/>
          <w:szCs w:val="22"/>
        </w:rPr>
        <w:t xml:space="preserve">it is important to note, that in modern society, acts such as The Health and Safety Act at Work (1974) offer protection to claimants who </w:t>
      </w:r>
      <w:r w:rsidRPr="00F059E1">
        <w:rPr>
          <w:rFonts w:asciiTheme="minorHAnsi" w:hAnsiTheme="minorHAnsi" w:cstheme="minorHAnsi"/>
          <w:sz w:val="22"/>
          <w:szCs w:val="22"/>
        </w:rPr>
        <w:t xml:space="preserve">would be harmed at work if the actions of someone in an emergency breached rules to aid another and caused harm. Allowing them to claim compensation and not be at a loss due to the defendants’ objectives. This factor maintains the fairness in the flexibility of the standard between potential defendants and claimants. </w:t>
      </w:r>
    </w:p>
    <w:p w:rsidR="00270026" w:rsidRPr="00F059E1" w:rsidP="00B457A3" w14:paraId="6C712AF7" w14:textId="4C8A31ED">
      <w:pPr>
        <w:pBdr>
          <w:bottom w:val="single" w:sz="12" w:space="1" w:color="auto"/>
        </w:pBdr>
        <w:rPr>
          <w:rFonts w:asciiTheme="minorHAnsi" w:hAnsiTheme="minorHAnsi" w:cstheme="minorHAnsi"/>
          <w:sz w:val="22"/>
          <w:szCs w:val="22"/>
        </w:rPr>
      </w:pPr>
    </w:p>
    <w:p w:rsidR="00270026" w:rsidRPr="00F059E1" w:rsidP="00B457A3" w14:paraId="6CAA3606" w14:textId="4D296B0F">
      <w:pPr>
        <w:pBdr>
          <w:bottom w:val="single" w:sz="12" w:space="1" w:color="auto"/>
        </w:pBdr>
        <w:rPr>
          <w:rFonts w:asciiTheme="minorHAnsi" w:hAnsiTheme="minorHAnsi" w:cstheme="minorHAnsi"/>
          <w:sz w:val="22"/>
          <w:szCs w:val="22"/>
        </w:rPr>
      </w:pPr>
      <w:r w:rsidRPr="00F059E1">
        <w:rPr>
          <w:rFonts w:asciiTheme="minorHAnsi" w:hAnsiTheme="minorHAnsi" w:cstheme="minorHAnsi"/>
          <w:sz w:val="22"/>
          <w:szCs w:val="22"/>
        </w:rPr>
        <w:t xml:space="preserve">The approach of the standard of care to those who engage in sporting activities has been likened to the approach of those in an emergency. This is in the sense that they will make a decision in the spur </w:t>
      </w:r>
      <w:r w:rsidRPr="00F059E1" w:rsidR="003F5536">
        <w:rPr>
          <w:rFonts w:asciiTheme="minorHAnsi" w:hAnsiTheme="minorHAnsi" w:cstheme="minorHAnsi"/>
          <w:sz w:val="22"/>
          <w:szCs w:val="22"/>
        </w:rPr>
        <w:t>of</w:t>
      </w:r>
      <w:r w:rsidRPr="00F059E1">
        <w:rPr>
          <w:rFonts w:asciiTheme="minorHAnsi" w:hAnsiTheme="minorHAnsi" w:cstheme="minorHAnsi"/>
          <w:sz w:val="22"/>
          <w:szCs w:val="22"/>
        </w:rPr>
        <w:t xml:space="preserve"> the moment in a high</w:t>
      </w:r>
      <w:r w:rsidRPr="00F059E1" w:rsidR="00460E31">
        <w:rPr>
          <w:rFonts w:asciiTheme="minorHAnsi" w:hAnsiTheme="minorHAnsi" w:cstheme="minorHAnsi"/>
          <w:sz w:val="22"/>
          <w:szCs w:val="22"/>
        </w:rPr>
        <w:t>-</w:t>
      </w:r>
      <w:r w:rsidRPr="00F059E1">
        <w:rPr>
          <w:rFonts w:asciiTheme="minorHAnsi" w:hAnsiTheme="minorHAnsi" w:cstheme="minorHAnsi"/>
          <w:sz w:val="22"/>
          <w:szCs w:val="22"/>
        </w:rPr>
        <w:t>pressure environment (</w:t>
      </w:r>
      <w:r w:rsidRPr="00F059E1">
        <w:rPr>
          <w:rFonts w:asciiTheme="minorHAnsi" w:hAnsiTheme="minorHAnsi" w:cstheme="minorHAnsi"/>
          <w:sz w:val="22"/>
          <w:szCs w:val="22"/>
        </w:rPr>
        <w:t>Giliker</w:t>
      </w:r>
      <w:r w:rsidRPr="00F059E1">
        <w:rPr>
          <w:rFonts w:asciiTheme="minorHAnsi" w:hAnsiTheme="minorHAnsi" w:cstheme="minorHAnsi"/>
          <w:sz w:val="22"/>
          <w:szCs w:val="22"/>
        </w:rPr>
        <w:t xml:space="preserve">, 2007). </w:t>
      </w:r>
      <w:r w:rsidRPr="00F059E1" w:rsidR="007F6293">
        <w:rPr>
          <w:rFonts w:asciiTheme="minorHAnsi" w:hAnsiTheme="minorHAnsi" w:cstheme="minorHAnsi"/>
          <w:sz w:val="22"/>
          <w:szCs w:val="22"/>
        </w:rPr>
        <w:t xml:space="preserve">The standard of care an athlete is required to maintain is similar to that discussed of doctors. If an athlete acts in a way that is considered reckless of someone of their skill </w:t>
      </w:r>
      <w:r w:rsidRPr="00F059E1" w:rsidR="003F5536">
        <w:rPr>
          <w:rFonts w:asciiTheme="minorHAnsi" w:hAnsiTheme="minorHAnsi" w:cstheme="minorHAnsi"/>
          <w:sz w:val="22"/>
          <w:szCs w:val="22"/>
        </w:rPr>
        <w:t>level,</w:t>
      </w:r>
      <w:r w:rsidRPr="00F059E1" w:rsidR="007F6293">
        <w:rPr>
          <w:rFonts w:asciiTheme="minorHAnsi" w:hAnsiTheme="minorHAnsi" w:cstheme="minorHAnsi"/>
          <w:sz w:val="22"/>
          <w:szCs w:val="22"/>
        </w:rPr>
        <w:t xml:space="preserve"> they will be deemed to have fallen below the standard of care and will therefore be liable (Condon v </w:t>
      </w:r>
      <w:r w:rsidRPr="00F059E1" w:rsidR="007F6293">
        <w:rPr>
          <w:rFonts w:asciiTheme="minorHAnsi" w:hAnsiTheme="minorHAnsi" w:cstheme="minorHAnsi"/>
          <w:sz w:val="22"/>
          <w:szCs w:val="22"/>
        </w:rPr>
        <w:t>Basi</w:t>
      </w:r>
      <w:r w:rsidRPr="00F059E1" w:rsidR="007F6293">
        <w:rPr>
          <w:rFonts w:asciiTheme="minorHAnsi" w:hAnsiTheme="minorHAnsi" w:cstheme="minorHAnsi"/>
          <w:sz w:val="22"/>
          <w:szCs w:val="22"/>
        </w:rPr>
        <w:t>, 1985). This promotes flexibility and fairness as it allows confidence for those in professional situations that the experience a fellow player has holds them to a higher standard as their knowledge should allow them to make better decisions than an inexperienced player.</w:t>
      </w:r>
    </w:p>
    <w:p w:rsidR="00651986" w:rsidRPr="00F059E1" w:rsidP="00B457A3" w14:paraId="5AAAD0E4" w14:textId="77777777">
      <w:pPr>
        <w:pBdr>
          <w:bottom w:val="single" w:sz="12" w:space="1" w:color="auto"/>
        </w:pBdr>
        <w:rPr>
          <w:rFonts w:asciiTheme="minorHAnsi" w:hAnsiTheme="minorHAnsi" w:cstheme="minorHAnsi"/>
          <w:sz w:val="22"/>
          <w:szCs w:val="22"/>
        </w:rPr>
      </w:pPr>
    </w:p>
    <w:p w:rsidR="00B2626C" w:rsidRPr="00F059E1" w:rsidP="00B457A3" w14:paraId="319783AE" w14:textId="797D04AE">
      <w:pPr>
        <w:pBdr>
          <w:bottom w:val="single" w:sz="12" w:space="1" w:color="auto"/>
        </w:pBdr>
        <w:rPr>
          <w:rFonts w:asciiTheme="minorHAnsi" w:hAnsiTheme="minorHAnsi" w:cstheme="minorHAnsi"/>
          <w:sz w:val="22"/>
          <w:szCs w:val="22"/>
        </w:rPr>
      </w:pPr>
      <w:r w:rsidRPr="00F059E1">
        <w:rPr>
          <w:rFonts w:asciiTheme="minorHAnsi" w:hAnsiTheme="minorHAnsi" w:cstheme="minorHAnsi"/>
          <w:sz w:val="22"/>
          <w:szCs w:val="22"/>
        </w:rPr>
        <w:t xml:space="preserve">A further factor that affects the expected standard of care is that of the cost of avoiding the harm. This promotes flexibility in what is expected of a </w:t>
      </w:r>
      <w:r w:rsidRPr="00F059E1" w:rsidR="00A30F1B">
        <w:rPr>
          <w:rFonts w:asciiTheme="minorHAnsi" w:hAnsiTheme="minorHAnsi" w:cstheme="minorHAnsi"/>
          <w:sz w:val="22"/>
          <w:szCs w:val="22"/>
        </w:rPr>
        <w:t>defendant</w:t>
      </w:r>
      <w:r w:rsidRPr="00F059E1">
        <w:rPr>
          <w:rFonts w:asciiTheme="minorHAnsi" w:hAnsiTheme="minorHAnsi" w:cstheme="minorHAnsi"/>
          <w:sz w:val="22"/>
          <w:szCs w:val="22"/>
        </w:rPr>
        <w:t xml:space="preserve"> by weighing up the cost of </w:t>
      </w:r>
      <w:r w:rsidRPr="00F059E1" w:rsidR="00EF2FF3">
        <w:rPr>
          <w:rFonts w:asciiTheme="minorHAnsi" w:hAnsiTheme="minorHAnsi" w:cstheme="minorHAnsi"/>
          <w:sz w:val="22"/>
          <w:szCs w:val="22"/>
        </w:rPr>
        <w:t>eliminating</w:t>
      </w:r>
      <w:r w:rsidRPr="00F059E1">
        <w:rPr>
          <w:rFonts w:asciiTheme="minorHAnsi" w:hAnsiTheme="minorHAnsi" w:cstheme="minorHAnsi"/>
          <w:sz w:val="22"/>
          <w:szCs w:val="22"/>
        </w:rPr>
        <w:t xml:space="preserve"> the risk with the harm it would cause. This protects the defendant </w:t>
      </w:r>
      <w:r w:rsidRPr="00F059E1" w:rsidR="00EF2FF3">
        <w:rPr>
          <w:rFonts w:asciiTheme="minorHAnsi" w:hAnsiTheme="minorHAnsi" w:cstheme="minorHAnsi"/>
          <w:sz w:val="22"/>
          <w:szCs w:val="22"/>
        </w:rPr>
        <w:t>if</w:t>
      </w:r>
      <w:r w:rsidRPr="00F059E1">
        <w:rPr>
          <w:rFonts w:asciiTheme="minorHAnsi" w:hAnsiTheme="minorHAnsi" w:cstheme="minorHAnsi"/>
          <w:sz w:val="22"/>
          <w:szCs w:val="22"/>
        </w:rPr>
        <w:t xml:space="preserve"> they have made reasonable efforts and put reasonable safeguards in place (Latimer v AEC 1953).</w:t>
      </w:r>
      <w:r w:rsidRPr="00F059E1" w:rsidR="00270026">
        <w:rPr>
          <w:rFonts w:asciiTheme="minorHAnsi" w:hAnsiTheme="minorHAnsi" w:cstheme="minorHAnsi"/>
          <w:sz w:val="22"/>
          <w:szCs w:val="22"/>
        </w:rPr>
        <w:t xml:space="preserve"> </w:t>
      </w:r>
      <w:r w:rsidRPr="00F059E1" w:rsidR="00AD0835">
        <w:rPr>
          <w:rFonts w:asciiTheme="minorHAnsi" w:hAnsiTheme="minorHAnsi" w:cstheme="minorHAnsi"/>
          <w:sz w:val="22"/>
          <w:szCs w:val="22"/>
        </w:rPr>
        <w:t>This c</w:t>
      </w:r>
      <w:r w:rsidRPr="00F059E1" w:rsidR="00AD0835">
        <w:rPr>
          <w:rFonts w:asciiTheme="minorHAnsi" w:hAnsiTheme="minorHAnsi" w:cstheme="minorHAnsi"/>
          <w:sz w:val="22"/>
          <w:szCs w:val="22"/>
        </w:rPr>
        <w:t>an also be applied to activities that are deemed socially desirable (</w:t>
      </w:r>
      <w:r w:rsidRPr="00F059E1" w:rsidR="00AD0835">
        <w:rPr>
          <w:rFonts w:asciiTheme="minorHAnsi" w:hAnsiTheme="minorHAnsi" w:cstheme="minorHAnsi"/>
          <w:sz w:val="22"/>
          <w:szCs w:val="22"/>
        </w:rPr>
        <w:t>Giliker</w:t>
      </w:r>
      <w:r w:rsidRPr="00F059E1" w:rsidR="00AD0835">
        <w:rPr>
          <w:rFonts w:asciiTheme="minorHAnsi" w:hAnsiTheme="minorHAnsi" w:cstheme="minorHAnsi"/>
          <w:sz w:val="22"/>
          <w:szCs w:val="22"/>
        </w:rPr>
        <w:t>, 2014).</w:t>
      </w:r>
      <w:r w:rsidRPr="00F059E1" w:rsidR="00036B53">
        <w:rPr>
          <w:rFonts w:asciiTheme="minorHAnsi" w:hAnsiTheme="minorHAnsi" w:cstheme="minorHAnsi"/>
          <w:sz w:val="22"/>
          <w:szCs w:val="22"/>
        </w:rPr>
        <w:t xml:space="preserve"> The </w:t>
      </w:r>
      <w:r w:rsidRPr="00F059E1" w:rsidR="00036B53">
        <w:rPr>
          <w:rFonts w:asciiTheme="minorHAnsi" w:hAnsiTheme="minorHAnsi" w:cstheme="minorHAnsi"/>
          <w:sz w:val="22"/>
          <w:szCs w:val="22"/>
        </w:rPr>
        <w:t xml:space="preserve">Compensation Act </w:t>
      </w:r>
      <w:r w:rsidRPr="00F059E1" w:rsidR="00036B53">
        <w:rPr>
          <w:rFonts w:asciiTheme="minorHAnsi" w:hAnsiTheme="minorHAnsi" w:cstheme="minorHAnsi"/>
          <w:sz w:val="22"/>
          <w:szCs w:val="22"/>
        </w:rPr>
        <w:t>(</w:t>
      </w:r>
      <w:r w:rsidRPr="00F059E1" w:rsidR="00036B53">
        <w:rPr>
          <w:rFonts w:asciiTheme="minorHAnsi" w:hAnsiTheme="minorHAnsi" w:cstheme="minorHAnsi"/>
          <w:sz w:val="22"/>
          <w:szCs w:val="22"/>
        </w:rPr>
        <w:t>2006</w:t>
      </w:r>
      <w:r w:rsidRPr="00F059E1" w:rsidR="00EA3435">
        <w:rPr>
          <w:rFonts w:asciiTheme="minorHAnsi" w:hAnsiTheme="minorHAnsi" w:cstheme="minorHAnsi"/>
          <w:sz w:val="22"/>
          <w:szCs w:val="22"/>
        </w:rPr>
        <w:t>, s.1</w:t>
      </w:r>
      <w:r w:rsidRPr="00F059E1" w:rsidR="00036B53">
        <w:rPr>
          <w:rFonts w:asciiTheme="minorHAnsi" w:hAnsiTheme="minorHAnsi" w:cstheme="minorHAnsi"/>
          <w:sz w:val="22"/>
          <w:szCs w:val="22"/>
        </w:rPr>
        <w:t xml:space="preserve">) </w:t>
      </w:r>
      <w:r w:rsidRPr="00F059E1" w:rsidR="00EA3435">
        <w:rPr>
          <w:rFonts w:asciiTheme="minorHAnsi" w:hAnsiTheme="minorHAnsi" w:cstheme="minorHAnsi"/>
          <w:sz w:val="22"/>
          <w:szCs w:val="22"/>
        </w:rPr>
        <w:t xml:space="preserve">promotes flexibility in the standard of care by protecting a defendant who organizes a socially desirable activity, providing reasonable care has been taken. This promotes a flexible and fair balance between the defendant and claimant as without </w:t>
      </w:r>
      <w:r w:rsidRPr="00F059E1" w:rsidR="004C28D8">
        <w:rPr>
          <w:rFonts w:asciiTheme="minorHAnsi" w:hAnsiTheme="minorHAnsi" w:cstheme="minorHAnsi"/>
          <w:sz w:val="22"/>
          <w:szCs w:val="22"/>
        </w:rPr>
        <w:t>these certain socially desirable activities</w:t>
      </w:r>
      <w:r w:rsidRPr="00F059E1" w:rsidR="00EA3435">
        <w:rPr>
          <w:rFonts w:asciiTheme="minorHAnsi" w:hAnsiTheme="minorHAnsi" w:cstheme="minorHAnsi"/>
          <w:sz w:val="22"/>
          <w:szCs w:val="22"/>
        </w:rPr>
        <w:t xml:space="preserve"> would soon start to cease (Tomlinson v Congleton District Council 2003).</w:t>
      </w:r>
    </w:p>
    <w:p w:rsidR="00D56979" w:rsidRPr="00F059E1" w:rsidP="006F7E36" w14:paraId="3B1CA6CA" w14:textId="2E3F790F">
      <w:pPr>
        <w:pStyle w:val="NormalWeb"/>
        <w:pBdr>
          <w:bottom w:val="single" w:sz="12" w:space="1" w:color="auto"/>
        </w:pBdr>
        <w:rPr>
          <w:rFonts w:asciiTheme="minorHAnsi" w:hAnsiTheme="minorHAnsi" w:cstheme="minorHAnsi"/>
          <w:sz w:val="22"/>
          <w:szCs w:val="22"/>
          <w:lang w:val="en-US"/>
        </w:rPr>
      </w:pPr>
      <w:r w:rsidRPr="00F059E1">
        <w:rPr>
          <w:rFonts w:asciiTheme="minorHAnsi" w:hAnsiTheme="minorHAnsi" w:cstheme="minorHAnsi"/>
          <w:sz w:val="22"/>
          <w:szCs w:val="22"/>
          <w:lang w:val="en-US"/>
        </w:rPr>
        <w:t>Although the approach appears to lack</w:t>
      </w:r>
      <w:r w:rsidRPr="00F059E1" w:rsidR="001F656A">
        <w:rPr>
          <w:rFonts w:asciiTheme="minorHAnsi" w:hAnsiTheme="minorHAnsi" w:cstheme="minorHAnsi"/>
          <w:sz w:val="22"/>
          <w:szCs w:val="22"/>
          <w:lang w:val="en-US"/>
        </w:rPr>
        <w:t xml:space="preserve"> flexibility </w:t>
      </w:r>
      <w:r w:rsidRPr="00F059E1">
        <w:rPr>
          <w:rFonts w:asciiTheme="minorHAnsi" w:hAnsiTheme="minorHAnsi" w:cstheme="minorHAnsi"/>
          <w:sz w:val="22"/>
          <w:szCs w:val="22"/>
          <w:lang w:val="en-US"/>
        </w:rPr>
        <w:t xml:space="preserve">in respect of mental health issues there is a balance that needs to be struck to maintain consistency between cases </w:t>
      </w:r>
      <w:r w:rsidRPr="00F059E1" w:rsidR="001F656A">
        <w:rPr>
          <w:rFonts w:asciiTheme="minorHAnsi" w:hAnsiTheme="minorHAnsi" w:cstheme="minorHAnsi"/>
          <w:sz w:val="22"/>
          <w:szCs w:val="22"/>
        </w:rPr>
        <w:t>(Dunnage v Randall and Another 2015</w:t>
      </w:r>
      <w:r w:rsidRPr="00F059E1" w:rsidR="001F656A">
        <w:rPr>
          <w:rFonts w:asciiTheme="minorHAnsi" w:hAnsiTheme="minorHAnsi" w:cstheme="minorHAnsi"/>
          <w:sz w:val="22"/>
          <w:szCs w:val="22"/>
        </w:rPr>
        <w:t>)</w:t>
      </w:r>
      <w:r w:rsidRPr="00F059E1" w:rsidR="005D6145">
        <w:rPr>
          <w:rFonts w:asciiTheme="minorHAnsi" w:hAnsiTheme="minorHAnsi" w:cstheme="minorHAnsi"/>
          <w:sz w:val="22"/>
          <w:szCs w:val="22"/>
          <w:lang w:val="en-US"/>
        </w:rPr>
        <w:t xml:space="preserve">. </w:t>
      </w:r>
      <w:r w:rsidRPr="00F059E1">
        <w:rPr>
          <w:rFonts w:asciiTheme="minorHAnsi" w:hAnsiTheme="minorHAnsi" w:cstheme="minorHAnsi"/>
          <w:sz w:val="22"/>
          <w:szCs w:val="22"/>
          <w:lang w:val="en-US"/>
        </w:rPr>
        <w:t>The</w:t>
      </w:r>
      <w:r w:rsidRPr="00F059E1">
        <w:rPr>
          <w:rFonts w:asciiTheme="minorHAnsi" w:hAnsiTheme="minorHAnsi" w:cstheme="minorHAnsi"/>
          <w:sz w:val="22"/>
          <w:szCs w:val="22"/>
          <w:lang w:val="en-US"/>
        </w:rPr>
        <w:t xml:space="preserve"> initial view of the standard of care is that of a rigid one. Further inspection shows that there is some flexibility.</w:t>
      </w:r>
      <w:r w:rsidRPr="00F059E1">
        <w:rPr>
          <w:rFonts w:asciiTheme="minorHAnsi" w:hAnsiTheme="minorHAnsi" w:cstheme="minorHAnsi"/>
          <w:sz w:val="22"/>
          <w:szCs w:val="22"/>
          <w:lang w:val="en-US"/>
        </w:rPr>
        <w:t xml:space="preserve"> The flexibility in raising the standard higher for those who are skilled in an activity ensures claimants are receiving the standard of care appropriate. The </w:t>
      </w:r>
      <w:r w:rsidRPr="00F059E1" w:rsidR="00EB4B3A">
        <w:rPr>
          <w:rFonts w:asciiTheme="minorHAnsi" w:hAnsiTheme="minorHAnsi" w:cstheme="minorHAnsi"/>
          <w:sz w:val="22"/>
          <w:szCs w:val="22"/>
          <w:lang w:val="en-US"/>
        </w:rPr>
        <w:t>criteria for the defendant to have acted in the way a reasonable person would have at the time of the event promotes fairness in high-pressure emergency situations. The requirement for higher precautions in situations where damage would be greater provided fairness and flexibility to those who are more vulnerable. All in All, there are compromises and balances throughout the standard of care that promote fairness and flexibility for the claimant and defendant.</w:t>
      </w:r>
    </w:p>
    <w:p w:rsidR="00374694" w:rsidP="006F7E36" w14:paraId="540BAD9A" w14:textId="5F0FD445">
      <w:pPr>
        <w:pStyle w:val="NormalWeb"/>
        <w:pBdr>
          <w:bottom w:val="single" w:sz="12" w:space="1" w:color="auto"/>
        </w:pBdr>
        <w:rPr>
          <w:rFonts w:asciiTheme="minorHAnsi" w:hAnsiTheme="minorHAnsi" w:cstheme="majorHAnsi"/>
          <w:sz w:val="22"/>
          <w:szCs w:val="22"/>
          <w:lang w:val="en-US"/>
        </w:rPr>
      </w:pPr>
    </w:p>
    <w:p w:rsidR="006F7E36" w:rsidRPr="00F059E1" w:rsidP="00F059E1" w14:paraId="5CDA846D" w14:textId="6C583E2E">
      <w:pPr>
        <w:pStyle w:val="NormalWeb"/>
        <w:pBdr>
          <w:bottom w:val="single" w:sz="12" w:space="1" w:color="auto"/>
        </w:pBdr>
        <w:rPr>
          <w:rFonts w:asciiTheme="minorHAnsi" w:hAnsiTheme="minorHAnsi" w:cstheme="majorHAnsi"/>
          <w:b/>
          <w:bCs/>
          <w:sz w:val="22"/>
          <w:szCs w:val="22"/>
          <w:lang w:val="en-US"/>
        </w:rPr>
      </w:pPr>
      <w:r>
        <w:t>References</w:t>
      </w:r>
    </w:p>
    <w:p w:rsidR="00F059E1" w:rsidRPr="00F059E1" w:rsidP="00F059E1" w14:paraId="51F6C684" w14:textId="77777777">
      <w:pPr>
        <w:rPr>
          <w:rFonts w:asciiTheme="minorHAnsi" w:hAnsiTheme="minorHAnsi" w:cstheme="minorHAnsi"/>
          <w:color w:val="000000" w:themeColor="text1"/>
          <w:sz w:val="22"/>
          <w:szCs w:val="22"/>
          <w:lang w:val="en-US"/>
        </w:rPr>
      </w:pPr>
      <w:r w:rsidRPr="00F059E1">
        <w:rPr>
          <w:rFonts w:asciiTheme="minorHAnsi" w:hAnsiTheme="minorHAnsi" w:cstheme="minorHAnsi"/>
          <w:color w:val="000000" w:themeColor="text1"/>
          <w:sz w:val="22"/>
          <w:szCs w:val="22"/>
          <w:lang w:val="en-US"/>
        </w:rPr>
        <w:t>Blyth V Birmingham Waterworks Co (1856) 11 Ex Ch 781</w:t>
      </w:r>
    </w:p>
    <w:p w:rsidR="00F059E1" w:rsidRPr="00F059E1" w:rsidP="00F059E1" w14:paraId="032AA23B" w14:textId="77777777">
      <w:pPr>
        <w:rPr>
          <w:rFonts w:asciiTheme="minorHAnsi" w:hAnsiTheme="minorHAnsi" w:cstheme="minorHAnsi"/>
          <w:color w:val="000000" w:themeColor="text1"/>
          <w:sz w:val="22"/>
          <w:szCs w:val="22"/>
        </w:rPr>
      </w:pPr>
      <w:r w:rsidRPr="00F059E1">
        <w:rPr>
          <w:rFonts w:asciiTheme="minorHAnsi" w:hAnsiTheme="minorHAnsi" w:cstheme="minorHAnsi"/>
          <w:color w:val="000000" w:themeColor="text1"/>
          <w:sz w:val="22"/>
          <w:szCs w:val="22"/>
          <w:shd w:val="clear" w:color="auto" w:fill="FFFFFF"/>
        </w:rPr>
        <w:t>Bolam v Friern Hospital Management Committee [1957] 1 WLR 582</w:t>
      </w:r>
    </w:p>
    <w:p w:rsidR="00F059E1" w:rsidRPr="00F059E1" w:rsidP="00F059E1" w14:paraId="159E509B" w14:textId="77777777">
      <w:pPr>
        <w:rPr>
          <w:rFonts w:asciiTheme="minorHAnsi" w:hAnsiTheme="minorHAnsi" w:cstheme="minorHAnsi"/>
          <w:color w:val="000000" w:themeColor="text1"/>
          <w:sz w:val="22"/>
          <w:szCs w:val="22"/>
          <w:shd w:val="clear" w:color="auto" w:fill="FFFFFF"/>
        </w:rPr>
      </w:pPr>
      <w:r w:rsidRPr="00F059E1">
        <w:rPr>
          <w:rFonts w:asciiTheme="minorHAnsi" w:hAnsiTheme="minorHAnsi" w:cstheme="minorHAnsi"/>
          <w:color w:val="000000" w:themeColor="text1"/>
          <w:sz w:val="22"/>
          <w:szCs w:val="22"/>
          <w:shd w:val="clear" w:color="auto" w:fill="FFFFFF"/>
        </w:rPr>
        <w:t>Bolitho v. City and Hackney Health Authority [1996] 4 All ER 771</w:t>
      </w:r>
    </w:p>
    <w:p w:rsidR="00F059E1" w:rsidRPr="00F059E1" w:rsidP="00F059E1" w14:paraId="7587135D" w14:textId="77777777">
      <w:pPr>
        <w:rPr>
          <w:rFonts w:asciiTheme="minorHAnsi" w:hAnsiTheme="minorHAnsi" w:cstheme="minorHAnsi"/>
          <w:color w:val="000000" w:themeColor="text1"/>
          <w:sz w:val="22"/>
          <w:szCs w:val="22"/>
        </w:rPr>
      </w:pPr>
      <w:r w:rsidRPr="00F059E1">
        <w:rPr>
          <w:rFonts w:asciiTheme="minorHAnsi" w:hAnsiTheme="minorHAnsi" w:cstheme="minorHAnsi"/>
          <w:color w:val="000000" w:themeColor="text1"/>
          <w:sz w:val="22"/>
          <w:szCs w:val="22"/>
        </w:rPr>
        <w:t>Chester V Afshar (2004) 3 WLR 927</w:t>
      </w:r>
    </w:p>
    <w:p w:rsidR="00F059E1" w:rsidRPr="00F059E1" w:rsidP="00F059E1" w14:paraId="59FECB72" w14:textId="77777777">
      <w:pPr>
        <w:rPr>
          <w:rFonts w:asciiTheme="minorHAnsi" w:hAnsiTheme="minorHAnsi" w:cstheme="minorHAnsi"/>
          <w:color w:val="000000" w:themeColor="text1"/>
          <w:sz w:val="22"/>
          <w:szCs w:val="22"/>
        </w:rPr>
      </w:pPr>
      <w:r w:rsidRPr="00F059E1">
        <w:rPr>
          <w:rFonts w:asciiTheme="minorHAnsi" w:hAnsiTheme="minorHAnsi" w:cstheme="minorHAnsi"/>
          <w:sz w:val="22"/>
          <w:szCs w:val="22"/>
        </w:rPr>
        <w:t xml:space="preserve">Condon v </w:t>
      </w:r>
      <w:r w:rsidRPr="00F059E1">
        <w:rPr>
          <w:rFonts w:asciiTheme="minorHAnsi" w:hAnsiTheme="minorHAnsi" w:cstheme="minorHAnsi"/>
          <w:sz w:val="22"/>
          <w:szCs w:val="22"/>
        </w:rPr>
        <w:t>Basi</w:t>
      </w:r>
      <w:r w:rsidRPr="00F059E1">
        <w:rPr>
          <w:rFonts w:asciiTheme="minorHAnsi" w:hAnsiTheme="minorHAnsi" w:cstheme="minorHAnsi"/>
          <w:sz w:val="22"/>
          <w:szCs w:val="22"/>
        </w:rPr>
        <w:t xml:space="preserve"> (1985) 1 WLR 866</w:t>
      </w:r>
    </w:p>
    <w:p w:rsidR="00F059E1" w:rsidRPr="00F059E1" w:rsidP="00F059E1" w14:paraId="1ECFCD93" w14:textId="77777777">
      <w:pPr>
        <w:rPr>
          <w:rFonts w:asciiTheme="minorHAnsi" w:hAnsiTheme="minorHAnsi" w:cstheme="minorHAnsi"/>
          <w:color w:val="333333"/>
          <w:sz w:val="22"/>
          <w:szCs w:val="22"/>
        </w:rPr>
      </w:pPr>
      <w:r w:rsidRPr="00F059E1">
        <w:rPr>
          <w:rFonts w:asciiTheme="minorHAnsi" w:hAnsiTheme="minorHAnsi" w:cstheme="minorHAnsi"/>
          <w:color w:val="333333"/>
          <w:sz w:val="22"/>
          <w:szCs w:val="22"/>
        </w:rPr>
        <w:t>C</w:t>
      </w:r>
      <w:r w:rsidRPr="00F059E1">
        <w:rPr>
          <w:rFonts w:asciiTheme="minorHAnsi" w:hAnsiTheme="minorHAnsi" w:cstheme="minorHAnsi"/>
          <w:color w:val="333333"/>
          <w:sz w:val="22"/>
          <w:szCs w:val="22"/>
        </w:rPr>
        <w:t xml:space="preserve">ondon v </w:t>
      </w:r>
      <w:r w:rsidRPr="00F059E1">
        <w:rPr>
          <w:rFonts w:asciiTheme="minorHAnsi" w:hAnsiTheme="minorHAnsi" w:cstheme="minorHAnsi"/>
          <w:color w:val="333333"/>
          <w:sz w:val="22"/>
          <w:szCs w:val="22"/>
        </w:rPr>
        <w:t>Basi</w:t>
      </w:r>
      <w:r w:rsidRPr="00F059E1">
        <w:rPr>
          <w:rFonts w:asciiTheme="minorHAnsi" w:hAnsiTheme="minorHAnsi" w:cstheme="minorHAnsi"/>
          <w:color w:val="333333"/>
          <w:sz w:val="22"/>
          <w:szCs w:val="22"/>
        </w:rPr>
        <w:t xml:space="preserve"> [1985] 2 All ER 453</w:t>
      </w:r>
    </w:p>
    <w:p w:rsidR="00F059E1" w:rsidRPr="00F059E1" w:rsidP="00F059E1" w14:paraId="250E4F3B" w14:textId="77777777">
      <w:pPr>
        <w:rPr>
          <w:rFonts w:asciiTheme="minorHAnsi" w:hAnsiTheme="minorHAnsi" w:cstheme="minorHAnsi"/>
          <w:color w:val="000000" w:themeColor="text1"/>
          <w:sz w:val="22"/>
          <w:szCs w:val="22"/>
        </w:rPr>
      </w:pPr>
      <w:r w:rsidRPr="00F059E1">
        <w:rPr>
          <w:rFonts w:asciiTheme="minorHAnsi" w:hAnsiTheme="minorHAnsi" w:cstheme="minorHAnsi"/>
          <w:color w:val="000000" w:themeColor="text1"/>
          <w:sz w:val="22"/>
          <w:szCs w:val="22"/>
          <w:shd w:val="clear" w:color="auto" w:fill="FFFFFF"/>
        </w:rPr>
        <w:t xml:space="preserve">Dunnage v Randall and Another (2015) EWCA </w:t>
      </w:r>
      <w:r w:rsidRPr="00F059E1">
        <w:rPr>
          <w:rFonts w:asciiTheme="minorHAnsi" w:hAnsiTheme="minorHAnsi" w:cstheme="minorHAnsi"/>
          <w:color w:val="000000" w:themeColor="text1"/>
          <w:sz w:val="22"/>
          <w:szCs w:val="22"/>
          <w:shd w:val="clear" w:color="auto" w:fill="FFFFFF"/>
        </w:rPr>
        <w:t>Civ</w:t>
      </w:r>
      <w:r w:rsidRPr="00F059E1">
        <w:rPr>
          <w:rFonts w:asciiTheme="minorHAnsi" w:hAnsiTheme="minorHAnsi" w:cstheme="minorHAnsi"/>
          <w:color w:val="000000" w:themeColor="text1"/>
          <w:sz w:val="22"/>
          <w:szCs w:val="22"/>
          <w:shd w:val="clear" w:color="auto" w:fill="FFFFFF"/>
        </w:rPr>
        <w:t xml:space="preserve"> 673</w:t>
      </w:r>
    </w:p>
    <w:p w:rsidR="00F059E1" w:rsidRPr="00F059E1" w:rsidP="00F059E1" w14:paraId="31024135" w14:textId="77777777">
      <w:pPr>
        <w:rPr>
          <w:rFonts w:asciiTheme="minorHAnsi" w:hAnsiTheme="minorHAnsi" w:cstheme="minorHAnsi"/>
          <w:color w:val="000000" w:themeColor="text1"/>
          <w:sz w:val="22"/>
          <w:szCs w:val="22"/>
          <w:shd w:val="clear" w:color="auto" w:fill="FFFFFF"/>
        </w:rPr>
      </w:pPr>
      <w:r w:rsidRPr="00F059E1">
        <w:rPr>
          <w:rFonts w:asciiTheme="minorHAnsi" w:hAnsiTheme="minorHAnsi" w:cstheme="minorHAnsi"/>
          <w:color w:val="000000" w:themeColor="text1"/>
          <w:sz w:val="22"/>
          <w:szCs w:val="22"/>
          <w:shd w:val="clear" w:color="auto" w:fill="FFFFFF"/>
        </w:rPr>
        <w:t xml:space="preserve">Dunnage v Randall and Another (2015) EWCA </w:t>
      </w:r>
      <w:r w:rsidRPr="00F059E1">
        <w:rPr>
          <w:rFonts w:asciiTheme="minorHAnsi" w:hAnsiTheme="minorHAnsi" w:cstheme="minorHAnsi"/>
          <w:color w:val="000000" w:themeColor="text1"/>
          <w:sz w:val="22"/>
          <w:szCs w:val="22"/>
          <w:shd w:val="clear" w:color="auto" w:fill="FFFFFF"/>
        </w:rPr>
        <w:t>Civ</w:t>
      </w:r>
      <w:r w:rsidRPr="00F059E1">
        <w:rPr>
          <w:rFonts w:asciiTheme="minorHAnsi" w:hAnsiTheme="minorHAnsi" w:cstheme="minorHAnsi"/>
          <w:color w:val="000000" w:themeColor="text1"/>
          <w:sz w:val="22"/>
          <w:szCs w:val="22"/>
          <w:shd w:val="clear" w:color="auto" w:fill="FFFFFF"/>
        </w:rPr>
        <w:t xml:space="preserve"> 673</w:t>
      </w:r>
    </w:p>
    <w:p w:rsidR="00F059E1" w:rsidRPr="00F059E1" w:rsidP="00F059E1" w14:paraId="3E8C5FA0" w14:textId="77777777">
      <w:pPr>
        <w:rPr>
          <w:rFonts w:asciiTheme="minorHAnsi" w:hAnsiTheme="minorHAnsi" w:cstheme="minorHAnsi"/>
          <w:sz w:val="22"/>
          <w:szCs w:val="22"/>
          <w:lang w:val="en-US"/>
        </w:rPr>
      </w:pPr>
      <w:r w:rsidRPr="00F059E1">
        <w:rPr>
          <w:rFonts w:asciiTheme="minorHAnsi" w:hAnsiTheme="minorHAnsi" w:cstheme="minorHAnsi"/>
          <w:sz w:val="22"/>
          <w:szCs w:val="22"/>
          <w:lang w:val="en-US"/>
        </w:rPr>
        <w:t>Glasgow Corp v Muir</w:t>
      </w:r>
      <w:r w:rsidRPr="00F059E1">
        <w:rPr>
          <w:rFonts w:asciiTheme="minorHAnsi" w:hAnsiTheme="minorHAnsi" w:cstheme="minorHAnsi"/>
          <w:sz w:val="22"/>
          <w:szCs w:val="22"/>
          <w:lang w:val="en-US"/>
        </w:rPr>
        <w:t xml:space="preserve"> (</w:t>
      </w:r>
      <w:r w:rsidRPr="00F059E1">
        <w:rPr>
          <w:rFonts w:asciiTheme="minorHAnsi" w:hAnsiTheme="minorHAnsi" w:cstheme="minorHAnsi"/>
          <w:sz w:val="22"/>
          <w:szCs w:val="22"/>
          <w:lang w:val="en-US"/>
        </w:rPr>
        <w:t>1943)</w:t>
      </w:r>
      <w:r w:rsidRPr="00F059E1">
        <w:rPr>
          <w:rFonts w:asciiTheme="minorHAnsi" w:hAnsiTheme="minorHAnsi" w:cstheme="minorHAnsi"/>
          <w:sz w:val="22"/>
          <w:szCs w:val="22"/>
          <w:lang w:val="en-US"/>
        </w:rPr>
        <w:t xml:space="preserve"> 2 A.C. 448</w:t>
      </w:r>
    </w:p>
    <w:p w:rsidR="00F059E1" w:rsidRPr="00F059E1" w:rsidP="00F059E1" w14:paraId="2A3D6102" w14:textId="77777777">
      <w:pPr>
        <w:rPr>
          <w:rFonts w:asciiTheme="minorHAnsi" w:hAnsiTheme="minorHAnsi" w:cstheme="minorHAnsi"/>
          <w:sz w:val="22"/>
          <w:szCs w:val="22"/>
          <w:lang w:val="en-US"/>
        </w:rPr>
      </w:pPr>
      <w:r w:rsidRPr="00F059E1">
        <w:rPr>
          <w:rFonts w:asciiTheme="minorHAnsi" w:hAnsiTheme="minorHAnsi" w:cstheme="minorHAnsi"/>
          <w:sz w:val="22"/>
          <w:szCs w:val="22"/>
          <w:lang w:val="en-US"/>
        </w:rPr>
        <w:t>Glasgow Corp v Muir (1943) AC 448</w:t>
      </w:r>
    </w:p>
    <w:p w:rsidR="00F059E1" w:rsidRPr="00F059E1" w:rsidP="00F059E1" w14:paraId="0FBF4213" w14:textId="77777777">
      <w:pPr>
        <w:rPr>
          <w:rFonts w:asciiTheme="minorHAnsi" w:hAnsiTheme="minorHAnsi" w:cstheme="minorHAnsi"/>
          <w:color w:val="000000" w:themeColor="text1"/>
          <w:sz w:val="22"/>
          <w:szCs w:val="22"/>
        </w:rPr>
      </w:pPr>
      <w:r w:rsidRPr="00F059E1">
        <w:rPr>
          <w:rFonts w:asciiTheme="minorHAnsi" w:hAnsiTheme="minorHAnsi" w:cstheme="minorHAnsi"/>
          <w:color w:val="000000" w:themeColor="text1"/>
          <w:sz w:val="22"/>
          <w:szCs w:val="22"/>
        </w:rPr>
        <w:t>Hall v Brooklands Auto-Racing Club (1933) 1 KB 205</w:t>
      </w:r>
    </w:p>
    <w:p w:rsidR="00F059E1" w:rsidRPr="00F059E1" w:rsidP="00F059E1" w14:paraId="37569D28" w14:textId="77777777">
      <w:pPr>
        <w:rPr>
          <w:rFonts w:asciiTheme="minorHAnsi" w:hAnsiTheme="minorHAnsi" w:cstheme="minorHAnsi"/>
          <w:sz w:val="22"/>
          <w:szCs w:val="22"/>
          <w:lang w:val="en-US"/>
        </w:rPr>
      </w:pPr>
      <w:r w:rsidRPr="00F059E1">
        <w:rPr>
          <w:rFonts w:asciiTheme="minorHAnsi" w:hAnsiTheme="minorHAnsi" w:cstheme="minorHAnsi"/>
          <w:sz w:val="22"/>
          <w:szCs w:val="22"/>
          <w:lang w:val="en-US"/>
        </w:rPr>
        <w:t>James v Butler</w:t>
      </w:r>
      <w:r w:rsidRPr="00F059E1">
        <w:rPr>
          <w:rFonts w:asciiTheme="minorHAnsi" w:hAnsiTheme="minorHAnsi" w:cstheme="minorHAnsi"/>
          <w:sz w:val="22"/>
          <w:szCs w:val="22"/>
          <w:lang w:val="en-US"/>
        </w:rPr>
        <w:t xml:space="preserve"> (</w:t>
      </w:r>
      <w:r w:rsidRPr="00F059E1">
        <w:rPr>
          <w:rFonts w:asciiTheme="minorHAnsi" w:hAnsiTheme="minorHAnsi" w:cstheme="minorHAnsi"/>
          <w:sz w:val="22"/>
          <w:szCs w:val="22"/>
          <w:lang w:val="en-US"/>
        </w:rPr>
        <w:t>2005</w:t>
      </w:r>
      <w:r w:rsidRPr="00F059E1">
        <w:rPr>
          <w:rFonts w:asciiTheme="minorHAnsi" w:hAnsiTheme="minorHAnsi" w:cstheme="minorHAnsi"/>
          <w:sz w:val="22"/>
          <w:szCs w:val="22"/>
          <w:lang w:val="en-US"/>
        </w:rPr>
        <w:t>) EWCA Civ 1014</w:t>
      </w:r>
    </w:p>
    <w:p w:rsidR="00F059E1" w:rsidRPr="00F059E1" w:rsidP="00F059E1" w14:paraId="10D7E199" w14:textId="77777777">
      <w:pPr>
        <w:rPr>
          <w:rFonts w:asciiTheme="minorHAnsi" w:hAnsiTheme="minorHAnsi" w:cstheme="minorHAnsi"/>
          <w:sz w:val="22"/>
          <w:szCs w:val="22"/>
        </w:rPr>
      </w:pPr>
      <w:r w:rsidRPr="00F059E1">
        <w:rPr>
          <w:rFonts w:asciiTheme="minorHAnsi" w:hAnsiTheme="minorHAnsi" w:cstheme="minorHAnsi"/>
          <w:sz w:val="22"/>
          <w:szCs w:val="22"/>
          <w:lang w:val="en-US"/>
        </w:rPr>
        <w:t>Jones v Boyce (1816) 171 ER 540</w:t>
      </w:r>
    </w:p>
    <w:p w:rsidR="00F059E1" w:rsidRPr="00F059E1" w:rsidP="00F059E1" w14:paraId="44F66ACC" w14:textId="77777777">
      <w:pPr>
        <w:rPr>
          <w:rStyle w:val="Strong"/>
          <w:rFonts w:asciiTheme="minorHAnsi" w:hAnsiTheme="minorHAnsi" w:cstheme="minorHAnsi"/>
          <w:b w:val="0"/>
          <w:bCs w:val="0"/>
          <w:color w:val="000000" w:themeColor="text1"/>
          <w:sz w:val="22"/>
          <w:szCs w:val="22"/>
        </w:rPr>
      </w:pPr>
      <w:r w:rsidRPr="00F059E1">
        <w:rPr>
          <w:rStyle w:val="Strong"/>
          <w:rFonts w:asciiTheme="minorHAnsi" w:hAnsiTheme="minorHAnsi" w:cstheme="minorHAnsi"/>
          <w:b w:val="0"/>
          <w:bCs w:val="0"/>
          <w:color w:val="000000" w:themeColor="text1"/>
          <w:sz w:val="22"/>
          <w:szCs w:val="22"/>
        </w:rPr>
        <w:t>Latimer v AEC Ltd [1953] AC 643</w:t>
      </w:r>
    </w:p>
    <w:p w:rsidR="00F059E1" w:rsidRPr="00F059E1" w:rsidP="00F059E1" w14:paraId="3C6BE123" w14:textId="77777777">
      <w:pPr>
        <w:rPr>
          <w:rFonts w:asciiTheme="minorHAnsi" w:hAnsiTheme="minorHAnsi" w:cstheme="minorHAnsi"/>
          <w:color w:val="000000" w:themeColor="text1"/>
          <w:sz w:val="22"/>
          <w:szCs w:val="22"/>
        </w:rPr>
      </w:pPr>
      <w:r w:rsidRPr="00F059E1">
        <w:rPr>
          <w:rFonts w:asciiTheme="minorHAnsi" w:hAnsiTheme="minorHAnsi" w:cstheme="minorHAnsi"/>
          <w:color w:val="000000" w:themeColor="text1"/>
          <w:sz w:val="22"/>
          <w:szCs w:val="22"/>
        </w:rPr>
        <w:t xml:space="preserve">Mansfield v Weetabix (1998) EWCA </w:t>
      </w:r>
      <w:r w:rsidRPr="00F059E1">
        <w:rPr>
          <w:rFonts w:asciiTheme="minorHAnsi" w:hAnsiTheme="minorHAnsi" w:cstheme="minorHAnsi"/>
          <w:color w:val="000000" w:themeColor="text1"/>
          <w:sz w:val="22"/>
          <w:szCs w:val="22"/>
        </w:rPr>
        <w:t>Civ</w:t>
      </w:r>
      <w:r w:rsidRPr="00F059E1">
        <w:rPr>
          <w:rFonts w:asciiTheme="minorHAnsi" w:hAnsiTheme="minorHAnsi" w:cstheme="minorHAnsi"/>
          <w:color w:val="000000" w:themeColor="text1"/>
          <w:sz w:val="22"/>
          <w:szCs w:val="22"/>
        </w:rPr>
        <w:t xml:space="preserve"> 1352</w:t>
      </w:r>
    </w:p>
    <w:p w:rsidR="00F059E1" w:rsidRPr="00F059E1" w:rsidP="00F059E1" w14:paraId="11A8CB11" w14:textId="77777777">
      <w:pPr>
        <w:rPr>
          <w:rFonts w:asciiTheme="minorHAnsi" w:hAnsiTheme="minorHAnsi" w:cstheme="minorHAnsi"/>
          <w:sz w:val="22"/>
          <w:szCs w:val="22"/>
        </w:rPr>
      </w:pPr>
      <w:r w:rsidRPr="00F059E1">
        <w:rPr>
          <w:rFonts w:asciiTheme="minorHAnsi" w:hAnsiTheme="minorHAnsi" w:cstheme="minorHAnsi"/>
          <w:color w:val="212529"/>
          <w:sz w:val="22"/>
          <w:szCs w:val="22"/>
          <w:shd w:val="clear" w:color="auto" w:fill="FFFFFF"/>
        </w:rPr>
        <w:t>Margereson</w:t>
      </w:r>
      <w:r w:rsidRPr="00F059E1">
        <w:rPr>
          <w:rFonts w:asciiTheme="minorHAnsi" w:hAnsiTheme="minorHAnsi" w:cstheme="minorHAnsi"/>
          <w:color w:val="212529"/>
          <w:sz w:val="22"/>
          <w:szCs w:val="22"/>
          <w:shd w:val="clear" w:color="auto" w:fill="FFFFFF"/>
        </w:rPr>
        <w:t xml:space="preserve"> v JW Roberts Ltd [1996] PIQR 154</w:t>
      </w:r>
    </w:p>
    <w:p w:rsidR="00F059E1" w:rsidRPr="00F059E1" w:rsidP="00F059E1" w14:paraId="13830C5E" w14:textId="77777777">
      <w:pPr>
        <w:rPr>
          <w:rFonts w:asciiTheme="minorHAnsi" w:hAnsiTheme="minorHAnsi" w:cstheme="minorHAnsi"/>
          <w:sz w:val="22"/>
          <w:szCs w:val="22"/>
          <w:lang w:val="en-US"/>
        </w:rPr>
      </w:pPr>
      <w:r w:rsidRPr="00F059E1">
        <w:rPr>
          <w:rFonts w:asciiTheme="minorHAnsi" w:hAnsiTheme="minorHAnsi" w:cstheme="minorHAnsi"/>
          <w:sz w:val="22"/>
          <w:szCs w:val="22"/>
          <w:lang w:val="en-US"/>
        </w:rPr>
        <w:t>Nettleship v Weston (1971) 2 QB 691</w:t>
      </w:r>
    </w:p>
    <w:p w:rsidR="00F059E1" w:rsidRPr="00F059E1" w:rsidP="00F059E1" w14:paraId="257E26AD" w14:textId="77777777">
      <w:pPr>
        <w:rPr>
          <w:rFonts w:asciiTheme="minorHAnsi" w:hAnsiTheme="minorHAnsi" w:cstheme="minorHAnsi"/>
          <w:color w:val="000000" w:themeColor="text1"/>
          <w:sz w:val="22"/>
          <w:szCs w:val="22"/>
        </w:rPr>
      </w:pPr>
      <w:r w:rsidRPr="00F059E1">
        <w:rPr>
          <w:rStyle w:val="Strong"/>
          <w:rFonts w:asciiTheme="minorHAnsi" w:hAnsiTheme="minorHAnsi" w:cstheme="minorHAnsi"/>
          <w:b w:val="0"/>
          <w:bCs w:val="0"/>
          <w:color w:val="000000" w:themeColor="text1"/>
          <w:sz w:val="22"/>
          <w:szCs w:val="22"/>
        </w:rPr>
        <w:t>Paris v Stepney Borough Council [1951] AC 367</w:t>
      </w:r>
    </w:p>
    <w:p w:rsidR="00F059E1" w:rsidRPr="00F059E1" w:rsidP="00F059E1" w14:paraId="739E7AFC" w14:textId="77777777">
      <w:pPr>
        <w:textAlignment w:val="baseline"/>
        <w:outlineLvl w:val="0"/>
        <w:rPr>
          <w:rFonts w:asciiTheme="minorHAnsi" w:hAnsiTheme="minorHAnsi" w:cstheme="minorHAnsi"/>
          <w:color w:val="000000" w:themeColor="text1"/>
          <w:kern w:val="36"/>
          <w:sz w:val="22"/>
          <w:szCs w:val="22"/>
        </w:rPr>
      </w:pPr>
      <w:r w:rsidRPr="00F059E1">
        <w:rPr>
          <w:rFonts w:asciiTheme="minorHAnsi" w:hAnsiTheme="minorHAnsi" w:cstheme="minorHAnsi"/>
          <w:color w:val="000000" w:themeColor="text1"/>
          <w:kern w:val="36"/>
          <w:sz w:val="22"/>
          <w:szCs w:val="22"/>
          <w:bdr w:val="none" w:sz="0" w:space="0" w:color="auto" w:frame="1"/>
        </w:rPr>
        <w:t>Roberts v Ramsbottom (1980) 1 WLR 823</w:t>
      </w:r>
    </w:p>
    <w:p w:rsidR="00F059E1" w:rsidRPr="00F059E1" w:rsidP="00F059E1" w14:paraId="21E101F8" w14:textId="77777777">
      <w:pPr>
        <w:rPr>
          <w:rFonts w:asciiTheme="minorHAnsi" w:hAnsiTheme="minorHAnsi" w:cstheme="minorHAnsi"/>
          <w:color w:val="000000" w:themeColor="text1"/>
          <w:sz w:val="22"/>
          <w:szCs w:val="22"/>
        </w:rPr>
      </w:pPr>
      <w:r w:rsidRPr="00F059E1">
        <w:rPr>
          <w:rFonts w:asciiTheme="minorHAnsi" w:hAnsiTheme="minorHAnsi" w:cstheme="minorHAnsi"/>
          <w:color w:val="000000" w:themeColor="text1"/>
          <w:sz w:val="22"/>
          <w:szCs w:val="22"/>
        </w:rPr>
        <w:t>Roe v Minister of Health</w:t>
      </w:r>
      <w:r w:rsidRPr="00F059E1">
        <w:rPr>
          <w:rFonts w:asciiTheme="minorHAnsi" w:hAnsiTheme="minorHAnsi" w:cstheme="minorHAnsi"/>
          <w:color w:val="000000" w:themeColor="text1"/>
          <w:sz w:val="22"/>
          <w:szCs w:val="22"/>
          <w:shd w:val="clear" w:color="auto" w:fill="FFFFFF"/>
        </w:rPr>
        <w:t> (1954) 2 WLR 915</w:t>
      </w:r>
    </w:p>
    <w:p w:rsidR="00F059E1" w:rsidRPr="00F059E1" w:rsidP="00F059E1" w14:paraId="50155AA3" w14:textId="77777777">
      <w:pPr>
        <w:rPr>
          <w:rFonts w:asciiTheme="minorHAnsi" w:hAnsiTheme="minorHAnsi" w:cstheme="minorHAnsi"/>
          <w:color w:val="000000" w:themeColor="text1"/>
          <w:sz w:val="22"/>
          <w:szCs w:val="22"/>
        </w:rPr>
      </w:pPr>
      <w:r w:rsidRPr="00F059E1">
        <w:rPr>
          <w:rFonts w:asciiTheme="minorHAnsi" w:hAnsiTheme="minorHAnsi" w:cstheme="minorHAnsi"/>
          <w:color w:val="000000" w:themeColor="text1"/>
          <w:sz w:val="22"/>
          <w:szCs w:val="22"/>
        </w:rPr>
        <w:t xml:space="preserve">Social Action, Responsibility and Heroism Act </w:t>
      </w:r>
      <w:r w:rsidRPr="00F059E1">
        <w:rPr>
          <w:rFonts w:asciiTheme="minorHAnsi" w:hAnsiTheme="minorHAnsi" w:cstheme="minorHAnsi"/>
          <w:color w:val="000000" w:themeColor="text1"/>
          <w:sz w:val="22"/>
          <w:szCs w:val="22"/>
        </w:rPr>
        <w:t>(2015)</w:t>
      </w:r>
    </w:p>
    <w:p w:rsidR="00F059E1" w:rsidRPr="00F059E1" w:rsidP="00F059E1" w14:paraId="5E430D5C" w14:textId="77777777">
      <w:pPr>
        <w:rPr>
          <w:rFonts w:asciiTheme="minorHAnsi" w:hAnsiTheme="minorHAnsi" w:cstheme="minorHAnsi"/>
          <w:color w:val="000000" w:themeColor="text1"/>
          <w:sz w:val="22"/>
          <w:szCs w:val="22"/>
        </w:rPr>
      </w:pPr>
      <w:r w:rsidRPr="00F059E1">
        <w:rPr>
          <w:rFonts w:asciiTheme="minorHAnsi" w:hAnsiTheme="minorHAnsi" w:cstheme="minorHAnsi"/>
          <w:sz w:val="22"/>
          <w:szCs w:val="22"/>
        </w:rPr>
        <w:t>The Compensation Act (2006)</w:t>
      </w:r>
    </w:p>
    <w:p w:rsidR="00F059E1" w:rsidRPr="00F059E1" w:rsidP="00F059E1" w14:paraId="4D645CB6" w14:textId="77777777">
      <w:pPr>
        <w:rPr>
          <w:rFonts w:asciiTheme="minorHAnsi" w:hAnsiTheme="minorHAnsi" w:cstheme="minorHAnsi"/>
          <w:color w:val="000000" w:themeColor="text1"/>
          <w:sz w:val="22"/>
          <w:szCs w:val="22"/>
        </w:rPr>
      </w:pPr>
      <w:r w:rsidRPr="00F059E1">
        <w:rPr>
          <w:rFonts w:asciiTheme="minorHAnsi" w:hAnsiTheme="minorHAnsi" w:cstheme="minorHAnsi"/>
          <w:sz w:val="22"/>
          <w:szCs w:val="22"/>
        </w:rPr>
        <w:t>The Compensation Act (2006) s1</w:t>
      </w:r>
    </w:p>
    <w:p w:rsidR="00F059E1" w:rsidRPr="00F059E1" w:rsidP="00F059E1" w14:paraId="1E45873D" w14:textId="77777777">
      <w:pPr>
        <w:rPr>
          <w:rFonts w:asciiTheme="minorHAnsi" w:hAnsiTheme="minorHAnsi" w:cstheme="minorHAnsi"/>
          <w:color w:val="000000" w:themeColor="text1"/>
          <w:sz w:val="22"/>
          <w:szCs w:val="22"/>
        </w:rPr>
      </w:pPr>
      <w:r w:rsidRPr="00F059E1">
        <w:rPr>
          <w:rFonts w:asciiTheme="minorHAnsi" w:hAnsiTheme="minorHAnsi" w:cstheme="minorHAnsi"/>
          <w:color w:val="000000" w:themeColor="text1"/>
          <w:sz w:val="22"/>
          <w:szCs w:val="22"/>
        </w:rPr>
        <w:t xml:space="preserve">The Health and Safety Act at Work </w:t>
      </w:r>
      <w:r w:rsidRPr="00F059E1">
        <w:rPr>
          <w:rFonts w:asciiTheme="minorHAnsi" w:hAnsiTheme="minorHAnsi" w:cstheme="minorHAnsi"/>
          <w:color w:val="000000" w:themeColor="text1"/>
          <w:sz w:val="22"/>
          <w:szCs w:val="22"/>
        </w:rPr>
        <w:t>(</w:t>
      </w:r>
      <w:r w:rsidRPr="00F059E1">
        <w:rPr>
          <w:rFonts w:asciiTheme="minorHAnsi" w:hAnsiTheme="minorHAnsi" w:cstheme="minorHAnsi"/>
          <w:color w:val="000000" w:themeColor="text1"/>
          <w:sz w:val="22"/>
          <w:szCs w:val="22"/>
        </w:rPr>
        <w:t>1974</w:t>
      </w:r>
      <w:r w:rsidRPr="00F059E1">
        <w:rPr>
          <w:rFonts w:asciiTheme="minorHAnsi" w:hAnsiTheme="minorHAnsi" w:cstheme="minorHAnsi"/>
          <w:color w:val="000000" w:themeColor="text1"/>
          <w:sz w:val="22"/>
          <w:szCs w:val="22"/>
        </w:rPr>
        <w:t>)</w:t>
      </w:r>
    </w:p>
    <w:p w:rsidR="00F059E1" w:rsidRPr="00F059E1" w:rsidP="00F059E1" w14:paraId="6C61EFD2" w14:textId="77777777">
      <w:pPr>
        <w:rPr>
          <w:rFonts w:asciiTheme="minorHAnsi" w:hAnsiTheme="minorHAnsi" w:cstheme="minorHAnsi"/>
          <w:color w:val="000000" w:themeColor="text1"/>
          <w:sz w:val="22"/>
          <w:szCs w:val="22"/>
        </w:rPr>
      </w:pPr>
      <w:r w:rsidRPr="00F059E1">
        <w:rPr>
          <w:rFonts w:asciiTheme="minorHAnsi" w:hAnsiTheme="minorHAnsi" w:cstheme="minorHAnsi"/>
          <w:sz w:val="22"/>
          <w:szCs w:val="22"/>
        </w:rPr>
        <w:t xml:space="preserve">Tomlinson v Congleton District Council </w:t>
      </w:r>
      <w:r w:rsidRPr="00F059E1">
        <w:rPr>
          <w:rFonts w:asciiTheme="minorHAnsi" w:hAnsiTheme="minorHAnsi" w:cstheme="minorHAnsi"/>
          <w:sz w:val="22"/>
          <w:szCs w:val="22"/>
        </w:rPr>
        <w:t>(</w:t>
      </w:r>
      <w:r w:rsidRPr="00F059E1">
        <w:rPr>
          <w:rFonts w:asciiTheme="minorHAnsi" w:hAnsiTheme="minorHAnsi" w:cstheme="minorHAnsi"/>
          <w:sz w:val="22"/>
          <w:szCs w:val="22"/>
        </w:rPr>
        <w:t>2003)</w:t>
      </w:r>
      <w:r w:rsidRPr="00F059E1">
        <w:rPr>
          <w:rFonts w:asciiTheme="minorHAnsi" w:hAnsiTheme="minorHAnsi" w:cstheme="minorHAnsi"/>
          <w:sz w:val="22"/>
          <w:szCs w:val="22"/>
        </w:rPr>
        <w:t xml:space="preserve"> 3 All ER 1122</w:t>
      </w:r>
    </w:p>
    <w:p w:rsidR="00F059E1" w:rsidRPr="00F059E1" w:rsidP="00F059E1" w14:paraId="043A4221" w14:textId="77777777">
      <w:pPr>
        <w:rPr>
          <w:rFonts w:asciiTheme="minorHAnsi" w:hAnsiTheme="minorHAnsi" w:cstheme="minorHAnsi"/>
          <w:color w:val="000000" w:themeColor="text1"/>
          <w:sz w:val="22"/>
          <w:szCs w:val="22"/>
        </w:rPr>
      </w:pPr>
      <w:r w:rsidRPr="00F059E1">
        <w:rPr>
          <w:rStyle w:val="Strong"/>
          <w:rFonts w:asciiTheme="minorHAnsi" w:hAnsiTheme="minorHAnsi" w:cstheme="minorHAnsi"/>
          <w:b w:val="0"/>
          <w:bCs w:val="0"/>
          <w:color w:val="000000" w:themeColor="text1"/>
          <w:sz w:val="22"/>
          <w:szCs w:val="22"/>
        </w:rPr>
        <w:t>Watt v Hertfordshire County Council (1954) 1 WLR 835</w:t>
      </w:r>
    </w:p>
    <w:p w:rsidR="00F059E1" w:rsidRPr="00F059E1" w:rsidP="00F059E1" w14:paraId="4A07A2C3" w14:textId="77777777">
      <w:pPr>
        <w:rPr>
          <w:rFonts w:asciiTheme="minorHAnsi" w:hAnsiTheme="minorHAnsi" w:cstheme="minorHAnsi"/>
          <w:color w:val="000000" w:themeColor="text1"/>
          <w:sz w:val="22"/>
          <w:szCs w:val="22"/>
          <w:lang w:val="en-US"/>
        </w:rPr>
      </w:pPr>
      <w:r w:rsidRPr="00F059E1">
        <w:rPr>
          <w:rFonts w:asciiTheme="minorHAnsi" w:hAnsiTheme="minorHAnsi" w:cstheme="minorHAnsi"/>
          <w:color w:val="000000" w:themeColor="text1"/>
          <w:sz w:val="22"/>
          <w:szCs w:val="22"/>
        </w:rPr>
        <w:t>Whitehouse V Jordan (1981) 1 ALL ER 267</w:t>
      </w:r>
    </w:p>
    <w:p w:rsidR="00F059E1" w:rsidRPr="00F059E1" w:rsidP="00F059E1" w14:paraId="21FBE437" w14:textId="511B19D8">
      <w:pPr>
        <w:rPr>
          <w:rFonts w:asciiTheme="minorHAnsi" w:hAnsiTheme="minorHAnsi" w:cstheme="minorHAnsi"/>
          <w:sz w:val="22"/>
          <w:szCs w:val="22"/>
          <w:lang w:val="en-US"/>
        </w:rPr>
      </w:pPr>
      <w:r w:rsidRPr="00F059E1">
        <w:rPr>
          <w:rFonts w:asciiTheme="minorHAnsi" w:hAnsiTheme="minorHAnsi" w:cstheme="minorHAnsi"/>
          <w:sz w:val="22"/>
          <w:szCs w:val="22"/>
          <w:lang w:val="en-US"/>
        </w:rPr>
        <w:t>Wilsher</w:t>
      </w:r>
      <w:r w:rsidRPr="00F059E1">
        <w:rPr>
          <w:rFonts w:asciiTheme="minorHAnsi" w:hAnsiTheme="minorHAnsi" w:cstheme="minorHAnsi"/>
          <w:sz w:val="22"/>
          <w:szCs w:val="22"/>
          <w:lang w:val="en-US"/>
        </w:rPr>
        <w:t xml:space="preserve"> v Essex Area Health Authority (1987) QB 730</w:t>
      </w:r>
    </w:p>
    <w:p w:rsidR="005946EB" w:rsidRPr="00551590" w:rsidP="00653293" w14:paraId="28683280" w14:textId="77777777">
      <w:pPr>
        <w:rPr>
          <w:rFonts w:asciiTheme="majorHAnsi" w:hAnsiTheme="majorHAnsi" w:cstheme="majorHAnsi"/>
          <w:color w:val="000000" w:themeColor="text1"/>
        </w:rPr>
      </w:pPr>
    </w:p>
    <w:p w:rsidR="00F059E1" w:rsidRPr="00F059E1" w:rsidP="00F059E1" w14:paraId="4EADA093" w14:textId="77777777">
      <w:pPr>
        <w:rPr>
          <w:rFonts w:asciiTheme="minorHAnsi" w:hAnsiTheme="minorHAnsi" w:cstheme="majorHAnsi"/>
          <w:i/>
          <w:iCs/>
          <w:sz w:val="22"/>
          <w:szCs w:val="22"/>
          <w:lang w:val="en-US"/>
        </w:rPr>
      </w:pPr>
      <w:r w:rsidRPr="00F059E1">
        <w:rPr>
          <w:rFonts w:asciiTheme="minorHAnsi" w:hAnsiTheme="minorHAnsi" w:cstheme="majorHAnsi"/>
          <w:sz w:val="22"/>
          <w:szCs w:val="22"/>
          <w:lang w:val="en-US"/>
        </w:rPr>
        <w:t>Braizer</w:t>
      </w:r>
      <w:r w:rsidRPr="00F059E1">
        <w:rPr>
          <w:rFonts w:asciiTheme="minorHAnsi" w:hAnsiTheme="minorHAnsi" w:cstheme="majorHAnsi"/>
          <w:sz w:val="22"/>
          <w:szCs w:val="22"/>
          <w:lang w:val="en-US"/>
        </w:rPr>
        <w:t xml:space="preserve">, M and </w:t>
      </w:r>
      <w:r w:rsidRPr="00F059E1">
        <w:rPr>
          <w:rFonts w:asciiTheme="minorHAnsi" w:hAnsiTheme="minorHAnsi" w:cstheme="majorHAnsi"/>
          <w:sz w:val="22"/>
          <w:szCs w:val="22"/>
          <w:lang w:val="en-US"/>
        </w:rPr>
        <w:t>Miola</w:t>
      </w:r>
      <w:r w:rsidRPr="00F059E1">
        <w:rPr>
          <w:rFonts w:asciiTheme="minorHAnsi" w:hAnsiTheme="minorHAnsi" w:cstheme="majorHAnsi"/>
          <w:sz w:val="22"/>
          <w:szCs w:val="22"/>
          <w:lang w:val="en-US"/>
        </w:rPr>
        <w:t xml:space="preserve"> J (2000) ‘Bye-Bye Bolam: A Medical Litigation Revolution?’</w:t>
      </w:r>
      <w:r w:rsidRPr="00F059E1">
        <w:rPr>
          <w:rFonts w:asciiTheme="minorHAnsi" w:hAnsiTheme="minorHAnsi" w:cstheme="majorHAnsi"/>
          <w:i/>
          <w:iCs/>
          <w:sz w:val="22"/>
          <w:szCs w:val="22"/>
          <w:lang w:val="en-US"/>
        </w:rPr>
        <w:t xml:space="preserve"> Medical Law Review. </w:t>
      </w:r>
      <w:r w:rsidRPr="00F059E1">
        <w:rPr>
          <w:rFonts w:asciiTheme="minorHAnsi" w:hAnsiTheme="minorHAnsi" w:cstheme="majorHAnsi"/>
          <w:sz w:val="22"/>
          <w:szCs w:val="22"/>
          <w:lang w:val="en-US"/>
        </w:rPr>
        <w:t xml:space="preserve">8 (Spring) pp 85-114. Available at: </w:t>
      </w:r>
      <w:hyperlink r:id="rId4" w:history="1">
        <w:r w:rsidRPr="00F059E1">
          <w:rPr>
            <w:rStyle w:val="Hyperlink"/>
            <w:rFonts w:asciiTheme="minorHAnsi" w:hAnsiTheme="minorHAnsi" w:cstheme="majorHAnsi"/>
            <w:sz w:val="22"/>
            <w:szCs w:val="22"/>
            <w:lang w:val="en-US"/>
          </w:rPr>
          <w:t>https://watermark.silverchair.com/080085.pdf?token=AQECAHi208BE49Ooan9kkhW_Ercy7Dm3ZL_9Cf3qfKAc485ysgAAAsMwggK_BgkqhkiG9w0BBwagggKwMIICrAIBADCCAqUGCSqGSIb3DQEHATAeBglghkgBZQMEAS4wEQQMxbxQwKUGQPVfqErgAgEQgIICdlERaOkVqp-Vgw0i4U8nGBF8CJlIFjWIaMwP_Acp3wAANmblj0idGPIjUNbz_y_Hi7FEv9xVu7k0vLZ6xaW_CrbIfzZ5lsbjLhbyRKe_vsvKYvRaR-Jy68yQca9OyBz0H-4Q4KbmNJVaMlWl2xvK2tEqUrC6p4N4DzfSc6CpDlHadiQExJ7R3ZRYzYj_2BEqgE1sHhrNY22mdZyO4SESSNLY8OMGmnegH32y5YRw3K9lKYXqrIdgVoZAB557RgZOL7L7db3qJcA4YEBHaD-Nl9JIdvTug3TtApD-xoTlXBcqLipuTpTAZZynsUUnvtUrUthDHDzxB3JBhANo_Tgn79ermTIX-Ic3PBsZuxsy_weWMMg_KRHp47kew-Z3tSTU1Ckb0FRs60VahABu2G2k3N-x75ov7nqU55XS9iww48QRFvYP1Gh0CwgDmos0B1-CjOfxO-BEaR5v74zrJjECKwJ0FPIYbBRhRAe4Ia2T9v6VX1lrJ1Fmqu6xUHbEjC60T_vs0RbyoIyLSK__CWi5tFI04sGCfxHuwd2WBJntz0mcmdxcq1bpQ_aKyXURdFHgaqZD5FymWcOWDkGpz7bRy6Z7gVPFWrA3h3w_07iIbo4W96IqyLIDzx8b9SYjiZKQQwaV5JlEkNwgav7BfZOCoXxbFhTvw_wHb5MkJraGEl6-3Vzs_yNV30cbeQG0UHx5jcXP3O6zF7SVP9EqF9RcgtknGuskYlx630msXekj7BtjNrqyIhM34r1sxYj55531IIWQkUFI9kdYgxdg5DKZB9-DChxOIOIU8kIY2xfM7pRUizoZzG9BJtJ2K2h7Te_1DvKH734Hjg</w:t>
        </w:r>
      </w:hyperlink>
      <w:r w:rsidRPr="00F059E1">
        <w:rPr>
          <w:rFonts w:asciiTheme="minorHAnsi" w:hAnsiTheme="minorHAnsi" w:cstheme="majorHAnsi"/>
          <w:sz w:val="22"/>
          <w:szCs w:val="22"/>
          <w:lang w:val="en-US"/>
        </w:rPr>
        <w:t xml:space="preserve"> (Accessed on: 26</w:t>
      </w:r>
      <w:r w:rsidRPr="00F059E1">
        <w:rPr>
          <w:rFonts w:asciiTheme="minorHAnsi" w:hAnsiTheme="minorHAnsi" w:cstheme="majorHAnsi"/>
          <w:sz w:val="22"/>
          <w:szCs w:val="22"/>
          <w:vertAlign w:val="superscript"/>
          <w:lang w:val="en-US"/>
        </w:rPr>
        <w:t>th</w:t>
      </w:r>
      <w:r w:rsidRPr="00F059E1">
        <w:rPr>
          <w:rFonts w:asciiTheme="minorHAnsi" w:hAnsiTheme="minorHAnsi" w:cstheme="majorHAnsi"/>
          <w:sz w:val="22"/>
          <w:szCs w:val="22"/>
          <w:lang w:val="en-US"/>
        </w:rPr>
        <w:t xml:space="preserve"> October 2021)</w:t>
      </w:r>
    </w:p>
    <w:p w:rsidR="00F059E1" w:rsidRPr="00F059E1" w:rsidP="00F059E1" w14:paraId="75F607FB" w14:textId="77777777">
      <w:pPr>
        <w:rPr>
          <w:rFonts w:asciiTheme="minorHAnsi" w:hAnsiTheme="minorHAnsi" w:cstheme="majorHAnsi"/>
          <w:sz w:val="22"/>
          <w:szCs w:val="22"/>
          <w:lang w:val="en-US"/>
        </w:rPr>
      </w:pPr>
      <w:r w:rsidRPr="00F059E1">
        <w:rPr>
          <w:rFonts w:asciiTheme="minorHAnsi" w:hAnsiTheme="minorHAnsi" w:cstheme="majorHAnsi"/>
          <w:sz w:val="22"/>
          <w:szCs w:val="22"/>
          <w:lang w:val="en-US"/>
        </w:rPr>
        <w:t xml:space="preserve">Cooke, J. (2007) </w:t>
      </w:r>
      <w:r w:rsidRPr="00F059E1">
        <w:rPr>
          <w:rFonts w:asciiTheme="minorHAnsi" w:hAnsiTheme="minorHAnsi" w:cstheme="majorHAnsi"/>
          <w:i/>
          <w:iCs/>
          <w:sz w:val="22"/>
          <w:szCs w:val="22"/>
          <w:lang w:val="en-US"/>
        </w:rPr>
        <w:t xml:space="preserve">Law of Tort. </w:t>
      </w:r>
      <w:r w:rsidRPr="00F059E1">
        <w:rPr>
          <w:rFonts w:asciiTheme="minorHAnsi" w:hAnsiTheme="minorHAnsi" w:cstheme="majorHAnsi"/>
          <w:sz w:val="22"/>
          <w:szCs w:val="22"/>
          <w:lang w:val="en-US"/>
        </w:rPr>
        <w:t>Essex: Pearson Education Limited</w:t>
      </w:r>
    </w:p>
    <w:p w:rsidR="00F059E1" w:rsidRPr="00F059E1" w:rsidP="00F059E1" w14:paraId="7A9D2D8D" w14:textId="77777777">
      <w:pPr>
        <w:rPr>
          <w:rFonts w:asciiTheme="minorHAnsi" w:hAnsiTheme="minorHAnsi" w:cstheme="majorHAnsi"/>
          <w:sz w:val="22"/>
          <w:szCs w:val="22"/>
          <w:lang w:val="en-US"/>
        </w:rPr>
      </w:pPr>
      <w:r w:rsidRPr="00F059E1">
        <w:rPr>
          <w:rFonts w:asciiTheme="minorHAnsi" w:hAnsiTheme="minorHAnsi" w:cstheme="minorHAnsi"/>
          <w:sz w:val="22"/>
          <w:szCs w:val="22"/>
        </w:rPr>
        <w:t>Giliker</w:t>
      </w:r>
      <w:r w:rsidRPr="00F059E1">
        <w:rPr>
          <w:rFonts w:asciiTheme="minorHAnsi" w:hAnsiTheme="minorHAnsi" w:cstheme="minorHAnsi"/>
          <w:sz w:val="22"/>
          <w:szCs w:val="22"/>
        </w:rPr>
        <w:t xml:space="preserve">, P. (2007) </w:t>
      </w:r>
      <w:r w:rsidRPr="00F059E1">
        <w:rPr>
          <w:rFonts w:asciiTheme="minorHAnsi" w:hAnsiTheme="minorHAnsi" w:cstheme="minorHAnsi"/>
          <w:i/>
          <w:iCs/>
          <w:sz w:val="22"/>
          <w:szCs w:val="22"/>
        </w:rPr>
        <w:t xml:space="preserve">Tort. </w:t>
      </w:r>
      <w:r w:rsidRPr="00F059E1">
        <w:rPr>
          <w:rFonts w:asciiTheme="minorHAnsi" w:hAnsiTheme="minorHAnsi" w:cstheme="minorHAnsi"/>
          <w:sz w:val="22"/>
          <w:szCs w:val="22"/>
        </w:rPr>
        <w:t>London: Thomson Reuters</w:t>
      </w:r>
    </w:p>
    <w:p w:rsidR="00F059E1" w:rsidRPr="00F059E1" w:rsidP="00F059E1" w14:paraId="7AE986B6" w14:textId="77777777">
      <w:pPr>
        <w:rPr>
          <w:rFonts w:asciiTheme="minorHAnsi" w:hAnsiTheme="minorHAnsi" w:cstheme="majorHAnsi"/>
          <w:sz w:val="22"/>
          <w:szCs w:val="22"/>
          <w:lang w:val="en-US"/>
        </w:rPr>
      </w:pPr>
      <w:r w:rsidRPr="00F059E1">
        <w:rPr>
          <w:rFonts w:asciiTheme="minorHAnsi" w:hAnsiTheme="minorHAnsi" w:cstheme="majorHAnsi"/>
          <w:sz w:val="22"/>
          <w:szCs w:val="22"/>
          <w:lang w:val="en-US"/>
        </w:rPr>
        <w:t xml:space="preserve">Jones, L (2019) </w:t>
      </w:r>
      <w:r w:rsidRPr="00F059E1">
        <w:rPr>
          <w:rFonts w:asciiTheme="minorHAnsi" w:hAnsiTheme="minorHAnsi" w:cstheme="majorHAnsi"/>
          <w:i/>
          <w:iCs/>
          <w:sz w:val="22"/>
          <w:szCs w:val="22"/>
          <w:lang w:val="en-US"/>
        </w:rPr>
        <w:t xml:space="preserve">Introduction to Business Law. </w:t>
      </w:r>
      <w:r w:rsidRPr="00F059E1">
        <w:rPr>
          <w:rFonts w:asciiTheme="minorHAnsi" w:hAnsiTheme="minorHAnsi" w:cstheme="majorHAnsi"/>
          <w:sz w:val="22"/>
          <w:szCs w:val="22"/>
          <w:lang w:val="en-US"/>
        </w:rPr>
        <w:t>Oxford:  Oxford University Press</w:t>
      </w:r>
    </w:p>
    <w:p w:rsidR="00F059E1" w:rsidRPr="00F059E1" w:rsidP="00F059E1" w14:paraId="6BE1E422" w14:textId="77777777">
      <w:pPr>
        <w:rPr>
          <w:rFonts w:asciiTheme="minorHAnsi" w:hAnsiTheme="minorHAnsi" w:cstheme="majorHAnsi"/>
          <w:sz w:val="22"/>
          <w:szCs w:val="22"/>
          <w:lang w:val="en-US"/>
        </w:rPr>
      </w:pPr>
      <w:r w:rsidRPr="00F059E1">
        <w:rPr>
          <w:rFonts w:asciiTheme="minorHAnsi" w:hAnsiTheme="minorHAnsi" w:cstheme="minorHAnsi"/>
          <w:sz w:val="22"/>
          <w:szCs w:val="22"/>
        </w:rPr>
        <w:t xml:space="preserve">Murphy, J and Witting C. (2012) pp 116. </w:t>
      </w:r>
      <w:r w:rsidRPr="00F059E1">
        <w:rPr>
          <w:rFonts w:asciiTheme="minorHAnsi" w:hAnsiTheme="minorHAnsi" w:cstheme="minorHAnsi"/>
          <w:i/>
          <w:iCs/>
          <w:sz w:val="22"/>
          <w:szCs w:val="22"/>
        </w:rPr>
        <w:t xml:space="preserve">Street on Tort. </w:t>
      </w:r>
      <w:r w:rsidRPr="00F059E1">
        <w:rPr>
          <w:rFonts w:asciiTheme="minorHAnsi" w:hAnsiTheme="minorHAnsi" w:cstheme="minorHAnsi"/>
          <w:sz w:val="22"/>
          <w:szCs w:val="22"/>
        </w:rPr>
        <w:t>Oxford: Oxford University Press</w:t>
      </w:r>
    </w:p>
    <w:p w:rsidR="00F059E1" w:rsidRPr="00F059E1" w:rsidP="00F059E1" w14:paraId="53F9DB78" w14:textId="77777777">
      <w:pPr>
        <w:rPr>
          <w:rFonts w:asciiTheme="minorHAnsi" w:hAnsiTheme="minorHAnsi" w:cstheme="majorHAnsi"/>
          <w:sz w:val="22"/>
          <w:szCs w:val="22"/>
          <w:lang w:val="en-US"/>
        </w:rPr>
      </w:pPr>
      <w:r w:rsidRPr="00F059E1">
        <w:rPr>
          <w:rFonts w:asciiTheme="minorHAnsi" w:hAnsiTheme="minorHAnsi" w:cstheme="minorHAnsi"/>
          <w:i/>
          <w:iCs/>
          <w:sz w:val="22"/>
          <w:szCs w:val="22"/>
        </w:rPr>
        <w:t>The Guardian</w:t>
      </w:r>
      <w:r w:rsidRPr="00F059E1">
        <w:rPr>
          <w:rFonts w:asciiTheme="minorHAnsi" w:hAnsiTheme="minorHAnsi" w:cstheme="minorHAnsi"/>
          <w:sz w:val="22"/>
          <w:szCs w:val="22"/>
        </w:rPr>
        <w:t xml:space="preserve"> (2012) ‘Paralysed Teacher Loses £5m ‘Welly-</w:t>
      </w:r>
      <w:r w:rsidRPr="00F059E1">
        <w:rPr>
          <w:rFonts w:asciiTheme="minorHAnsi" w:hAnsiTheme="minorHAnsi" w:cstheme="minorHAnsi"/>
          <w:sz w:val="22"/>
          <w:szCs w:val="22"/>
        </w:rPr>
        <w:t>Wanging</w:t>
      </w:r>
      <w:r w:rsidRPr="00F059E1">
        <w:rPr>
          <w:rFonts w:asciiTheme="minorHAnsi" w:hAnsiTheme="minorHAnsi" w:cstheme="minorHAnsi"/>
          <w:sz w:val="22"/>
          <w:szCs w:val="22"/>
        </w:rPr>
        <w:t>’ Damages Claim’, 13</w:t>
      </w:r>
      <w:r w:rsidRPr="00F059E1">
        <w:rPr>
          <w:rFonts w:asciiTheme="minorHAnsi" w:hAnsiTheme="minorHAnsi" w:cstheme="minorHAnsi"/>
          <w:sz w:val="22"/>
          <w:szCs w:val="22"/>
          <w:vertAlign w:val="superscript"/>
        </w:rPr>
        <w:t>th</w:t>
      </w:r>
      <w:r w:rsidRPr="00F059E1">
        <w:rPr>
          <w:rFonts w:asciiTheme="minorHAnsi" w:hAnsiTheme="minorHAnsi" w:cstheme="minorHAnsi"/>
          <w:sz w:val="22"/>
          <w:szCs w:val="22"/>
        </w:rPr>
        <w:t xml:space="preserve"> august. Available at: </w:t>
      </w:r>
      <w:hyperlink r:id="rId5" w:history="1">
        <w:r w:rsidRPr="00F059E1">
          <w:rPr>
            <w:rStyle w:val="Hyperlink"/>
            <w:rFonts w:asciiTheme="minorHAnsi" w:hAnsiTheme="minorHAnsi" w:cstheme="minorHAnsi"/>
            <w:sz w:val="22"/>
            <w:szCs w:val="22"/>
          </w:rPr>
          <w:t>https://www.theguardian.com/uk/2012/aug/13/paralysed-teacher-welly-wanging-claim</w:t>
        </w:r>
      </w:hyperlink>
      <w:r w:rsidRPr="00F059E1">
        <w:rPr>
          <w:rFonts w:asciiTheme="minorHAnsi" w:hAnsiTheme="minorHAnsi" w:cstheme="minorHAnsi"/>
          <w:sz w:val="22"/>
          <w:szCs w:val="22"/>
        </w:rPr>
        <w:t xml:space="preserve"> (Accessed on: 26</w:t>
      </w:r>
      <w:r w:rsidRPr="00F059E1">
        <w:rPr>
          <w:rFonts w:asciiTheme="minorHAnsi" w:hAnsiTheme="minorHAnsi" w:cstheme="minorHAnsi"/>
          <w:sz w:val="22"/>
          <w:szCs w:val="22"/>
          <w:vertAlign w:val="superscript"/>
        </w:rPr>
        <w:t>th</w:t>
      </w:r>
      <w:r w:rsidRPr="00F059E1">
        <w:rPr>
          <w:rFonts w:asciiTheme="minorHAnsi" w:hAnsiTheme="minorHAnsi" w:cstheme="minorHAnsi"/>
          <w:sz w:val="22"/>
          <w:szCs w:val="22"/>
        </w:rPr>
        <w:t xml:space="preserve"> October 2021).</w:t>
      </w:r>
    </w:p>
    <w:p w:rsidR="00F059E1" w:rsidRPr="00F059E1" w:rsidP="00F059E1" w14:paraId="336572D2" w14:textId="77777777">
      <w:pPr>
        <w:rPr>
          <w:rFonts w:asciiTheme="minorHAnsi" w:hAnsiTheme="minorHAnsi" w:cstheme="majorHAnsi"/>
          <w:sz w:val="22"/>
          <w:szCs w:val="22"/>
          <w:lang w:val="en-US"/>
        </w:rPr>
      </w:pPr>
      <w:r w:rsidRPr="00F059E1">
        <w:rPr>
          <w:rFonts w:asciiTheme="minorHAnsi" w:hAnsiTheme="minorHAnsi" w:cstheme="majorHAnsi"/>
          <w:sz w:val="22"/>
          <w:szCs w:val="22"/>
          <w:lang w:val="en-US"/>
        </w:rPr>
        <w:t>Witting, C. (2001) ‘</w:t>
      </w:r>
      <w:r w:rsidRPr="00F059E1">
        <w:rPr>
          <w:rFonts w:asciiTheme="minorHAnsi" w:hAnsiTheme="minorHAnsi" w:cstheme="minorHAnsi"/>
          <w:sz w:val="22"/>
          <w:szCs w:val="22"/>
        </w:rPr>
        <w:t>National Health Service Rationing: Implications for the Standard of Care in Negligenc</w:t>
      </w:r>
      <w:r w:rsidRPr="00F059E1">
        <w:rPr>
          <w:rFonts w:asciiTheme="minorHAnsi" w:hAnsiTheme="minorHAnsi" w:cstheme="minorHAnsi"/>
          <w:sz w:val="22"/>
          <w:szCs w:val="22"/>
        </w:rPr>
        <w:t xml:space="preserve">e’ </w:t>
      </w:r>
      <w:r w:rsidRPr="00F059E1">
        <w:rPr>
          <w:rFonts w:asciiTheme="minorHAnsi" w:hAnsiTheme="minorHAnsi" w:cstheme="minorHAnsi"/>
          <w:i/>
          <w:iCs/>
          <w:sz w:val="22"/>
          <w:szCs w:val="22"/>
        </w:rPr>
        <w:t xml:space="preserve">Oxford Journal of Legal Studies. </w:t>
      </w:r>
      <w:r w:rsidRPr="00F059E1">
        <w:rPr>
          <w:rFonts w:asciiTheme="minorHAnsi" w:hAnsiTheme="minorHAnsi" w:cstheme="minorHAnsi"/>
          <w:sz w:val="22"/>
          <w:szCs w:val="22"/>
        </w:rPr>
        <w:t xml:space="preserve">21(3) Available at: </w:t>
      </w:r>
      <w:hyperlink r:id="rId6" w:history="1">
        <w:r w:rsidRPr="00F059E1">
          <w:rPr>
            <w:rStyle w:val="Hyperlink"/>
            <w:rFonts w:asciiTheme="minorHAnsi" w:hAnsiTheme="minorHAnsi" w:cstheme="minorHAnsi"/>
            <w:sz w:val="22"/>
            <w:szCs w:val="22"/>
          </w:rPr>
          <w:t>https://web-p-ebscohost-com.ezproxy.uwtsd.ac.uk/ehost/pdfviewer/pdfviewer?vid=7&amp;sid=9882386f-1775-4138-be65-fea17c2bb786%40redis</w:t>
        </w:r>
      </w:hyperlink>
      <w:r w:rsidRPr="00F059E1">
        <w:rPr>
          <w:rFonts w:asciiTheme="minorHAnsi" w:hAnsiTheme="minorHAnsi" w:cstheme="minorHAnsi"/>
          <w:sz w:val="22"/>
          <w:szCs w:val="22"/>
        </w:rPr>
        <w:t xml:space="preserve"> (Accessed on: 27</w:t>
      </w:r>
      <w:r w:rsidRPr="00F059E1">
        <w:rPr>
          <w:rFonts w:asciiTheme="minorHAnsi" w:hAnsiTheme="minorHAnsi" w:cstheme="minorHAnsi"/>
          <w:sz w:val="22"/>
          <w:szCs w:val="22"/>
          <w:vertAlign w:val="superscript"/>
        </w:rPr>
        <w:t>th</w:t>
      </w:r>
      <w:r w:rsidRPr="00F059E1">
        <w:rPr>
          <w:rFonts w:asciiTheme="minorHAnsi" w:hAnsiTheme="minorHAnsi" w:cstheme="minorHAnsi"/>
          <w:sz w:val="22"/>
          <w:szCs w:val="22"/>
        </w:rPr>
        <w:t xml:space="preserve"> October 2021)</w:t>
      </w: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2ED679F5"/>
    <w:multiLevelType w:val="hybridMultilevel"/>
    <w:tmpl w:val="2CB0B62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373E0CD8"/>
    <w:multiLevelType w:val="hybridMultilevel"/>
    <w:tmpl w:val="B4D263EC"/>
    <w:lvl w:ilvl="0">
      <w:start w:val="1"/>
      <w:numFmt w:val="bullet"/>
      <w:lvlText w:val=""/>
      <w:lvlJc w:val="left"/>
      <w:pPr>
        <w:ind w:left="720" w:hanging="360"/>
      </w:pPr>
      <w:rPr>
        <w:rFonts w:ascii="Symbol" w:hAnsi="Symbol"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E36"/>
    <w:rsid w:val="0003644C"/>
    <w:rsid w:val="00036B53"/>
    <w:rsid w:val="000C5942"/>
    <w:rsid w:val="0017491C"/>
    <w:rsid w:val="001F656A"/>
    <w:rsid w:val="00270026"/>
    <w:rsid w:val="002763D6"/>
    <w:rsid w:val="002C2B9B"/>
    <w:rsid w:val="003058E7"/>
    <w:rsid w:val="0036431F"/>
    <w:rsid w:val="00374694"/>
    <w:rsid w:val="003F5536"/>
    <w:rsid w:val="0043795D"/>
    <w:rsid w:val="00460E31"/>
    <w:rsid w:val="004C17F6"/>
    <w:rsid w:val="004C28D8"/>
    <w:rsid w:val="0051656C"/>
    <w:rsid w:val="005405B5"/>
    <w:rsid w:val="00551590"/>
    <w:rsid w:val="005539B2"/>
    <w:rsid w:val="00564799"/>
    <w:rsid w:val="005946EB"/>
    <w:rsid w:val="005D6145"/>
    <w:rsid w:val="00651986"/>
    <w:rsid w:val="00653293"/>
    <w:rsid w:val="006A1C31"/>
    <w:rsid w:val="006F7E36"/>
    <w:rsid w:val="00701DBD"/>
    <w:rsid w:val="007F6293"/>
    <w:rsid w:val="009E1888"/>
    <w:rsid w:val="00A24128"/>
    <w:rsid w:val="00A30F1B"/>
    <w:rsid w:val="00AD0835"/>
    <w:rsid w:val="00B2626C"/>
    <w:rsid w:val="00B457A3"/>
    <w:rsid w:val="00C801BD"/>
    <w:rsid w:val="00CD08DE"/>
    <w:rsid w:val="00CD7605"/>
    <w:rsid w:val="00D56979"/>
    <w:rsid w:val="00DF004F"/>
    <w:rsid w:val="00EA3435"/>
    <w:rsid w:val="00EB4B3A"/>
    <w:rsid w:val="00EF2D8F"/>
    <w:rsid w:val="00EF2FF3"/>
    <w:rsid w:val="00F059E1"/>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36B48FA9"/>
  <w15:chartTrackingRefBased/>
  <w15:docId w15:val="{78E86B6F-90C0-EA4B-9637-86C1B75DA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7E36"/>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F7E36"/>
    <w:pPr>
      <w:spacing w:before="100" w:beforeAutospacing="1" w:after="100" w:afterAutospacing="1"/>
    </w:pPr>
  </w:style>
  <w:style w:type="character" w:styleId="Strong">
    <w:name w:val="Strong"/>
    <w:basedOn w:val="DefaultParagraphFont"/>
    <w:uiPriority w:val="22"/>
    <w:qFormat/>
    <w:rsid w:val="002763D6"/>
    <w:rPr>
      <w:b/>
      <w:bCs/>
    </w:rPr>
  </w:style>
  <w:style w:type="character" w:styleId="Hyperlink">
    <w:name w:val="Hyperlink"/>
    <w:basedOn w:val="DefaultParagraphFont"/>
    <w:uiPriority w:val="99"/>
    <w:unhideWhenUsed/>
    <w:rsid w:val="0051656C"/>
    <w:rPr>
      <w:color w:val="0563C1" w:themeColor="hyperlink"/>
      <w:u w:val="single"/>
    </w:rPr>
  </w:style>
  <w:style w:type="character" w:customStyle="1" w:styleId="UnresolvedMention">
    <w:name w:val="Unresolved Mention"/>
    <w:basedOn w:val="DefaultParagraphFont"/>
    <w:uiPriority w:val="99"/>
    <w:semiHidden/>
    <w:unhideWhenUsed/>
    <w:rsid w:val="0051656C"/>
    <w:rPr>
      <w:color w:val="605E5C"/>
      <w:shd w:val="clear" w:color="auto" w:fill="E1DFDD"/>
    </w:rPr>
  </w:style>
  <w:style w:type="paragraph" w:styleId="ListParagraph">
    <w:name w:val="List Paragraph"/>
    <w:basedOn w:val="Normal"/>
    <w:uiPriority w:val="34"/>
    <w:qFormat/>
    <w:rsid w:val="006A1C31"/>
    <w:pPr>
      <w:ind w:left="720"/>
      <w:contextualSpacing/>
    </w:pPr>
  </w:style>
  <w:style w:type="character" w:customStyle="1" w:styleId="apple-converted-space">
    <w:name w:val="apple-converted-space"/>
    <w:basedOn w:val="DefaultParagraphFont"/>
    <w:rsid w:val="003643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watermark.silverchair.com/080085.pdf?token=AQECAHi208BE49Ooan9kkhW_Ercy7Dm3ZL_9Cf3qfKAc485ysgAAAsMwggK_BgkqhkiG9w0BBwagggKwMIICrAIBADCCAqUGCSqGSIb3DQEHATAeBglghkgBZQMEAS4wEQQMxbxQwKUGQPVfqErgAgEQgIICdlERaOkVqp-Vgw0i4U8nGBF8CJlIFjWIaMwP_Acp3wAANmblj0idGPIjUNbz_y_Hi7FEv9xVu7k0vLZ6xaW_CrbIfzZ5lsbjLhbyRKe_vsvKYvRaR-Jy68yQca9OyBz0H-4Q4KbmNJVaMlWl2xvK2tEqUrC6p4N4DzfSc6CpDlHadiQExJ7R3ZRYzYj_2BEqgE1sHhrNY22mdZyO4SESSNLY8OMGmnegH32y5YRw3K9lKYXqrIdgVoZAB557RgZOL7L7db3qJcA4YEBHaD-Nl9JIdvTug3TtApD-xoTlXBcqLipuTpTAZZynsUUnvtUrUthDHDzxB3JBhANo_Tgn79ermTIX-Ic3PBsZuxsy_weWMMg_KRHp47kew-Z3tSTU1Ckb0FRs60VahABu2G2k3N-x75ov7nqU55XS9iww48QRFvYP1Gh0CwgDmos0B1-CjOfxO-BEaR5v74zrJjECKwJ0FPIYbBRhRAe4Ia2T9v6VX1lrJ1Fmqu6xUHbEjC60T_vs0RbyoIyLSK__CWi5tFI04sGCfxHuwd2WBJntz0mcmdxcq1bpQ_aKyXURdFHgaqZD5FymWcOWDkGpz7bRy6Z7gVPFWrA3h3w_07iIbo4W96IqyLIDzx8b9SYjiZKQQwaV5JlEkNwgav7BfZOCoXxbFhTvw_wHb5MkJraGEl6-3Vzs_yNV30cbeQG0UHx5jcXP3O6zF7SVP9EqF9RcgtknGuskYlx630msXekj7BtjNrqyIhM34r1sxYj55531IIWQkUFI9kdYgxdg5DKZB9-DChxOIOIU8kIY2xfM7pRUizoZzG9BJtJ2K2h7Te_1DvKH734Hjg" TargetMode="External" /><Relationship Id="rId5" Type="http://schemas.openxmlformats.org/officeDocument/2006/relationships/hyperlink" Target="https://www.theguardian.com/uk/2012/aug/13/paralysed-teacher-welly-wanging-claim" TargetMode="External" /><Relationship Id="rId6" Type="http://schemas.openxmlformats.org/officeDocument/2006/relationships/hyperlink" Target="https://web-p-ebscohost-com.ezproxy.uwtsd.ac.uk/ehost/pdfviewer/pdfviewer?vid=7&amp;sid=9882386f-1775-4138-be65-fea17c2bb786%40redis" TargetMode="Externa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245</TotalTime>
  <Pages>4</Pages>
  <Words>2458</Words>
  <Characters>14015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Morgan (2018298)</dc:creator>
  <cp:lastModifiedBy>Marie Morgan (2018298)</cp:lastModifiedBy>
  <cp:revision>18</cp:revision>
  <dcterms:created xsi:type="dcterms:W3CDTF">2021-10-24T20:30:00Z</dcterms:created>
  <dcterms:modified xsi:type="dcterms:W3CDTF">2021-10-28T19:59:00Z</dcterms:modified>
</cp:coreProperties>
</file>