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B99D07" w14:textId="12B478C3" w:rsidR="00395513" w:rsidRDefault="00395513" w:rsidP="00384F19">
      <w:pPr>
        <w:spacing w:before="100" w:beforeAutospacing="1" w:after="100" w:afterAutospacing="1" w:line="240" w:lineRule="auto"/>
        <w:outlineLvl w:val="0"/>
        <w:rPr>
          <w:rFonts w:ascii="Times New Roman" w:eastAsia="Times New Roman" w:hAnsi="Times New Roman" w:cs="Times New Roman"/>
          <w:i/>
          <w:iCs/>
          <w:color w:val="000000"/>
          <w:kern w:val="36"/>
          <w:sz w:val="48"/>
          <w:szCs w:val="48"/>
          <w14:ligatures w14:val="none"/>
        </w:rPr>
      </w:pPr>
      <w:r w:rsidRPr="00987344">
        <w:rPr>
          <w:rFonts w:ascii="Times New Roman" w:eastAsia="Times New Roman" w:hAnsi="Times New Roman" w:cs="Times New Roman"/>
          <w:i/>
          <w:iCs/>
          <w:color w:val="000000"/>
          <w:kern w:val="36"/>
          <w:sz w:val="48"/>
          <w:szCs w:val="48"/>
          <w14:ligatures w14:val="none"/>
        </w:rPr>
        <w:t>Albert Mircea</w:t>
      </w:r>
    </w:p>
    <w:p w14:paraId="5708E3FC" w14:textId="79BAAF3D" w:rsidR="006B29B6" w:rsidRPr="00987344" w:rsidRDefault="003828E3" w:rsidP="00384F19">
      <w:pPr>
        <w:spacing w:before="100" w:beforeAutospacing="1" w:after="100" w:afterAutospacing="1" w:line="240" w:lineRule="auto"/>
        <w:outlineLvl w:val="0"/>
        <w:rPr>
          <w:rFonts w:ascii="Times New Roman" w:eastAsia="Times New Roman" w:hAnsi="Times New Roman" w:cs="Times New Roman"/>
          <w:i/>
          <w:iCs/>
          <w:color w:val="000000"/>
          <w:kern w:val="36"/>
          <w:sz w:val="48"/>
          <w:szCs w:val="48"/>
          <w14:ligatures w14:val="none"/>
        </w:rPr>
      </w:pPr>
      <w:r>
        <w:rPr>
          <w:rFonts w:ascii="Times New Roman" w:eastAsia="Times New Roman" w:hAnsi="Times New Roman" w:cs="Times New Roman"/>
          <w:i/>
          <w:iCs/>
          <w:color w:val="000000"/>
          <w:kern w:val="36"/>
          <w:sz w:val="48"/>
          <w:szCs w:val="48"/>
          <w14:ligatures w14:val="none"/>
        </w:rPr>
        <w:t xml:space="preserve">Module: </w:t>
      </w:r>
      <w:r w:rsidR="006B29B6">
        <w:rPr>
          <w:rFonts w:ascii="Times New Roman" w:eastAsia="Times New Roman" w:hAnsi="Times New Roman" w:cs="Times New Roman"/>
          <w:i/>
          <w:iCs/>
          <w:color w:val="000000"/>
          <w:kern w:val="36"/>
          <w:sz w:val="48"/>
          <w:szCs w:val="48"/>
          <w14:ligatures w14:val="none"/>
        </w:rPr>
        <w:t>Organisatio</w:t>
      </w:r>
      <w:r w:rsidR="00823447">
        <w:rPr>
          <w:rFonts w:ascii="Times New Roman" w:eastAsia="Times New Roman" w:hAnsi="Times New Roman" w:cs="Times New Roman"/>
          <w:i/>
          <w:iCs/>
          <w:color w:val="000000"/>
          <w:kern w:val="36"/>
          <w:sz w:val="48"/>
          <w:szCs w:val="48"/>
          <w14:ligatures w14:val="none"/>
        </w:rPr>
        <w:t xml:space="preserve">nal culture </w:t>
      </w:r>
    </w:p>
    <w:p w14:paraId="5ABC94E4" w14:textId="0D678097" w:rsidR="00384F19" w:rsidRPr="00384F19" w:rsidRDefault="00384F19" w:rsidP="00F625B0">
      <w:pPr>
        <w:spacing w:before="100" w:beforeAutospacing="1" w:after="100" w:afterAutospacing="1" w:line="240" w:lineRule="auto"/>
        <w:jc w:val="center"/>
        <w:outlineLvl w:val="0"/>
        <w:rPr>
          <w:rFonts w:ascii="Times New Roman" w:eastAsia="Times New Roman" w:hAnsi="Times New Roman" w:cs="Times New Roman"/>
          <w:b/>
          <w:bCs/>
          <w:color w:val="000000"/>
          <w:kern w:val="36"/>
          <w:sz w:val="48"/>
          <w:szCs w:val="48"/>
          <w14:ligatures w14:val="none"/>
        </w:rPr>
      </w:pPr>
      <w:r w:rsidRPr="00384F19">
        <w:rPr>
          <w:rFonts w:ascii="Times New Roman" w:eastAsia="Times New Roman" w:hAnsi="Times New Roman" w:cs="Times New Roman"/>
          <w:b/>
          <w:bCs/>
          <w:color w:val="000000"/>
          <w:kern w:val="36"/>
          <w:sz w:val="48"/>
          <w:szCs w:val="48"/>
          <w14:ligatures w14:val="none"/>
        </w:rPr>
        <w:t>Organisational Culture at Tesco plc:</w:t>
      </w:r>
    </w:p>
    <w:p w14:paraId="0FA8D1E3" w14:textId="77777777" w:rsidR="00384F19" w:rsidRPr="00384F19" w:rsidRDefault="00384F19"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84F19">
        <w:rPr>
          <w:rFonts w:ascii="Times New Roman" w:eastAsia="Times New Roman" w:hAnsi="Times New Roman" w:cs="Times New Roman"/>
          <w:b/>
          <w:bCs/>
          <w:color w:val="000000"/>
          <w:kern w:val="0"/>
          <w:sz w:val="36"/>
          <w:szCs w:val="36"/>
          <w14:ligatures w14:val="none"/>
        </w:rPr>
        <w:t>Cultural Order, Authority and Organisational Adaptation in Contemporary Retail</w:t>
      </w:r>
    </w:p>
    <w:p w14:paraId="5A88A9E2" w14:textId="3A894171" w:rsidR="00384F19" w:rsidRPr="00384F19" w:rsidRDefault="00384F19" w:rsidP="00384F19">
      <w:pPr>
        <w:spacing w:after="0" w:line="240" w:lineRule="auto"/>
        <w:rPr>
          <w:rFonts w:ascii="Times New Roman" w:eastAsia="Times New Roman" w:hAnsi="Times New Roman" w:cs="Times New Roman"/>
          <w:kern w:val="0"/>
          <w14:ligatures w14:val="none"/>
        </w:rPr>
      </w:pPr>
    </w:p>
    <w:p w14:paraId="47EA3AB0" w14:textId="21E62F24" w:rsidR="00384F19" w:rsidRPr="00384F19" w:rsidRDefault="00B226A7"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A)</w:t>
      </w:r>
      <w:r w:rsidR="00384F19" w:rsidRPr="00384F19">
        <w:rPr>
          <w:rFonts w:ascii="Times New Roman" w:eastAsia="Times New Roman" w:hAnsi="Times New Roman" w:cs="Times New Roman"/>
          <w:b/>
          <w:bCs/>
          <w:color w:val="000000"/>
          <w:kern w:val="0"/>
          <w:sz w:val="36"/>
          <w:szCs w:val="36"/>
          <w14:ligatures w14:val="none"/>
        </w:rPr>
        <w:t xml:space="preserve"> Introduction: Understanding Culture as Organisational Infrastructure</w:t>
      </w:r>
    </w:p>
    <w:p w14:paraId="6A2EC92A" w14:textId="398C5FA8" w:rsidR="00EE7D6A" w:rsidRDefault="00384F19">
      <w:pPr>
        <w:pStyle w:val="NormalWeb"/>
        <w:rPr>
          <w:color w:val="000000"/>
        </w:rPr>
      </w:pPr>
      <w:r w:rsidRPr="00384F19">
        <w:rPr>
          <w:color w:val="000000"/>
        </w:rPr>
        <w:t>Organisational culture is often treated as a set of articulated values that organisations display to stakeholders. However, deeper theoretical perspectives position culture as a system of shared assumptions that shape organisational behaviour and coordination. Mullins and Christy (2016, p.574) describe culture as “how things are done around here,” emphasising its embedded and routine character. This definition suggests that culture operates beneath formal structures, influencing how authority, work organisation and performance are interpreted in practice.Schein (2017, p.18) similarly defines culture as “a pattern of shared basic assumptions learned by a group,” highlighting that culture stabilises behaviour by rendering certain practices natural and unquestioned. Within large retail organisations such as Tesco plc, these shared assumptions structure how employees respond to hierarchy, customer expectations and operational demands.Tesco operates within a competitive environment shaped by digital transformation, cost pressure and sustainability scrutiny. In such conditions, cultural coherence becomes central to organisational effectiveness. This report examines Tesco’s culture as an organising infrastructure. It evaluates how culture shapes structural design and decision-making processes, identifies Tesco’s dominant cultural pattern using Handy’s (1993) framework, analyses how cultural stability interacts with environmental change, and considers the implications for organisational performance and future development.Rather than isolating strengths and weaknesses in separate sections, this analysis integrates cultural benefits and limitations throughout.</w:t>
      </w:r>
      <w:r w:rsidR="00EE7D6A" w:rsidRPr="00EE7D6A">
        <w:rPr>
          <w:color w:val="000000"/>
        </w:rPr>
        <w:t xml:space="preserve"> </w:t>
      </w:r>
      <w:r w:rsidR="00EE7D6A">
        <w:rPr>
          <w:color w:val="000000"/>
        </w:rPr>
        <w:t>This broader understanding of culture also highlights its political and normative dimensions. Organisational culture does not simply coordinate behaviour; it defines what is considered legitimate success and appropriate conduct. As Alvesson (2013) notes, culture can operate as a subtle form of control because shared meanings reduce the need for overt supervision. When employees internalise organisational priorities</w:t>
      </w:r>
      <w:r w:rsidR="00153EA9">
        <w:rPr>
          <w:color w:val="000000"/>
        </w:rPr>
        <w:t xml:space="preserve"> </w:t>
      </w:r>
      <w:r w:rsidR="00EE7D6A">
        <w:rPr>
          <w:color w:val="000000"/>
        </w:rPr>
        <w:t xml:space="preserve">such as efficiency, cost-awareness or customer responsiveness behaviour becomes self-regulating. In this sense, culture functions as a governance mechanism embedded within everyday routines.For a large retail organisation such as Tesco, where thousands of employees operate across dispersed locations, this internalised regulation is particularly significant. Formal rules alone cannot ensure consistent service standards; cultural alignment fills the gaps between written procedures and lived practice. Mullins and Christy (2016) emphasise that culture influences “motivation, job satisfaction and management control,” suggesting that performance outcomes are inseparable from shared </w:t>
      </w:r>
      <w:r w:rsidR="00EE7D6A">
        <w:rPr>
          <w:color w:val="000000"/>
        </w:rPr>
        <w:lastRenderedPageBreak/>
        <w:t>assumptions about work.At the same time, cultural embeddedness introduces complexity. Schein (2017) argues that because underlying assumptions become invisible over time, organisations may struggle to recognise when those assumptions no longer align with external conditions. In dynamic markets characterised by technological disruption and shifting consumer expectations, cultural reflexivity becomes essential. Therefore, the analysis of Tesco’s organisational culture must move beyond description toward critical evaluation examining not only how culture stabilises behaviour, but how it shapes the organisation’s capacity to evolve.</w:t>
      </w:r>
    </w:p>
    <w:p w14:paraId="01C05DDA" w14:textId="1FE84B24" w:rsidR="00384F19" w:rsidRPr="00384F19" w:rsidRDefault="00384F19" w:rsidP="00F55C5B">
      <w:pPr>
        <w:spacing w:before="100" w:beforeAutospacing="1" w:after="100" w:afterAutospacing="1" w:line="240" w:lineRule="auto"/>
        <w:rPr>
          <w:rFonts w:ascii="Times New Roman" w:hAnsi="Times New Roman" w:cs="Times New Roman"/>
          <w:color w:val="000000"/>
          <w:kern w:val="0"/>
          <w14:ligatures w14:val="none"/>
        </w:rPr>
      </w:pPr>
    </w:p>
    <w:p w14:paraId="4BDD12FE" w14:textId="77A2748F" w:rsidR="00384F19" w:rsidRPr="00384F19" w:rsidRDefault="00B226A7"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B)</w:t>
      </w:r>
      <w:r w:rsidR="00384F19" w:rsidRPr="00384F19">
        <w:rPr>
          <w:rFonts w:ascii="Times New Roman" w:eastAsia="Times New Roman" w:hAnsi="Times New Roman" w:cs="Times New Roman"/>
          <w:b/>
          <w:bCs/>
          <w:color w:val="000000"/>
          <w:kern w:val="0"/>
          <w:sz w:val="36"/>
          <w:szCs w:val="36"/>
          <w14:ligatures w14:val="none"/>
        </w:rPr>
        <w:t xml:space="preserve"> Cultural Order and Structural Logic</w:t>
      </w:r>
    </w:p>
    <w:p w14:paraId="3186C3B2" w14:textId="788B5037" w:rsidR="00384F19" w:rsidRPr="00384F19" w:rsidRDefault="00384F19" w:rsidP="004F19D5">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t>Handy (1993) identifies four cultural types: power, role, task and person. Tesco most closely aligns with </w:t>
      </w:r>
      <w:r w:rsidRPr="00384F19">
        <w:rPr>
          <w:rFonts w:ascii="Times New Roman" w:hAnsi="Times New Roman" w:cs="Times New Roman"/>
          <w:b/>
          <w:bCs/>
          <w:color w:val="000000"/>
          <w:kern w:val="0"/>
          <w14:ligatures w14:val="none"/>
        </w:rPr>
        <w:t>role culture</w:t>
      </w:r>
      <w:r w:rsidRPr="00384F19">
        <w:rPr>
          <w:rFonts w:ascii="Times New Roman" w:hAnsi="Times New Roman" w:cs="Times New Roman"/>
          <w:color w:val="000000"/>
          <w:kern w:val="0"/>
          <w14:ligatures w14:val="none"/>
        </w:rPr>
        <w:t>, characterised by formalised authority and procedural clarity. Handy (1993, p.183) notes that within role cultures “authority rests in the position and not in the person,” meaning organisational legitimacy derives from defined roles rather than individual discretion.Tesco’s structural arrangements reflect this orientation. Hierarchical reporting systems, measurable performance indicators and centralised coordination illustrate an institutional commitment to order. Mullins and Christy (2016) argue that culture significantly influences “design of structure and systems of control,” reinforcing the idea that structural design reflects cultural assumptions.In Tesco’s context, structural clarity supports operational efficiency. Clearly defined responsibilities reduce ambiguity across geographically dispersed stores. Formalised procurement systems and standardised procedures ensure consistency in service delivery.However, structural discipline may also limit responsiveness. Burns and Stalker (1961) distinguish between mechanistic and organic systems, suggesting that highly formalised structures may struggle in volatile environments. Where procedural adherence becomes dominant, adaptability may require deliberate cultural recalibration.Thus, Tesco’s structural logic embodies both coordination and constraint, reflecting its underlying cultural configuration.</w:t>
      </w:r>
      <w:r w:rsidR="00EE1CA0" w:rsidRPr="00EE1CA0">
        <w:rPr>
          <w:color w:val="000000"/>
        </w:rPr>
        <w:t xml:space="preserve"> </w:t>
      </w:r>
      <w:r w:rsidR="00EE1CA0">
        <w:rPr>
          <w:color w:val="000000"/>
        </w:rPr>
        <w:t>Beyond formal hierarchy, structural logic is reinforced through systems of performance monitoring that institutionalise accountability. Schein (2017) explains that organisational structures become stable when underlying assumptions about order and control are repeatedly validated through success. In Tesco’s case, the long-term effectiveness of centralised coordination has likely reinforced confidence in procedural governance. Over time, this success contributes to what Alvesson (2013) describes as cultural reproduction, whereby established practices become normalised and rarely questioned.Moreover, Martin (2002) argues that organisational cultures can appear integrated at the macro level while containing differentiated interpretations at local levels. Within Tesco, store-level practices may vary in tone and managerial style, yet the overarching structural framework remains consistent. This consistency reinforces predictability but may reduce flexibility in responding to local market variations.Grant (2019) emphasises that strategic alignment requires structures capable of supporting both efficiency and adaptation. If Tesco’s structural systems primarily reward compliance with established procedures, innovation may depend on exceptional rather than routine initiative. Consequently, structural logic both stabilises organisational functioning and shapes the boundaries within which creative action is considered legitimate.</w:t>
      </w:r>
    </w:p>
    <w:p w14:paraId="1A0E5005" w14:textId="24489249" w:rsidR="00384F19" w:rsidRPr="00384F19" w:rsidRDefault="00B226A7"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C)</w:t>
      </w:r>
      <w:r w:rsidR="00384F19" w:rsidRPr="00384F19">
        <w:rPr>
          <w:rFonts w:ascii="Times New Roman" w:eastAsia="Times New Roman" w:hAnsi="Times New Roman" w:cs="Times New Roman"/>
          <w:b/>
          <w:bCs/>
          <w:color w:val="000000"/>
          <w:kern w:val="0"/>
          <w:sz w:val="36"/>
          <w:szCs w:val="36"/>
          <w14:ligatures w14:val="none"/>
        </w:rPr>
        <w:t xml:space="preserve"> Authority, Risk and Organisational Control</w:t>
      </w:r>
    </w:p>
    <w:p w14:paraId="62DBCA49" w14:textId="0519923D" w:rsidR="002C55C6" w:rsidRPr="00BE2A16" w:rsidRDefault="00384F19" w:rsidP="00BE2A16">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lastRenderedPageBreak/>
        <w:t>Decision-making within Tesco is shaped by cultural expectations regarding authority and accountability. In role cultures, decision authority typically follows hierarchical lines (Handy, 1993). Strategic decisions remain centralised to ensure coherence, while operational decisions at store level are guided by established parameters.Hofstede, Hofstede and Minkov (2010) suggest that cultural dimensions such as power distance influence acceptance of hierarchical authority. Even in contexts with moderate power distance, formal authority retains legitimacy. Within Tesco, positional authority appears culturally embedded, guiding employee expectations regarding compliance.Risk orientation further reflects cultural influence. Hofstede et al. (2010) highlight the role of uncertainty avoidance in shaping responses to ambiguity. Retail operations require precision and cost discipline; consequently, cautious decision-making protects operational stability. However, excessive caution may slow innovation.Alvesson (2013, p.3) explains that culture shapes “how people interpret events and how they act.” Decision-making processes at Tesco are therefore not solely structural; they are interpretive. Employees internalise expectations regarding efficiency and accountability, reinforcing consistent behaviour without constant oversight.This cultural regulation supports coordination but requires balancing control with initiative.</w:t>
      </w:r>
      <w:r w:rsidR="002C55C6" w:rsidRPr="002C55C6">
        <w:rPr>
          <w:color w:val="000000"/>
        </w:rPr>
        <w:t xml:space="preserve"> </w:t>
      </w:r>
      <w:r w:rsidR="002C55C6">
        <w:rPr>
          <w:color w:val="000000"/>
        </w:rPr>
        <w:t xml:space="preserve">Decision-making within Tesco is shaped by cultural expectations regarding authority and accountability. In role cultures, decision authority typically follows hierarchical lines (Handy, 1993). Strategic decisions remain centralised to ensure coherence, while operational decisions at store level are guided by established parameters.Hofstede, Hofstede and Minkov (2010) suggest that cultural dimensions such as power distance influence acceptance of hierarchical authority. Even in contexts with moderate power distance, formal authority retains legitimacy. Within Tesco, positional authority appears culturally embedded, guiding employee expectations regarding compliance.Risk orientation further reflects cultural influence. Hofstede et al. (2010) highlight the role of uncertainty avoidance in shaping responses to ambiguity. Retail operations require precision and cost discipline; consequently, cautious decision-making protects operational stability. However, excessive caution may slow innovation.Alvesson (2013, p.3) explains that culture shapes “how people interpret events and how they act.” Decision-making processes at Tesco are therefore not solely structural; they are interpretive. Employees internalise expectations regarding efficiency and accountability, reinforcing consistent behaviour without constant oversight.This cultural regulation supports coordination but requires balancing control with initiative.Beyond formal authority, decision-making at Tesco is also shaped by embedded performance metrics that define what constitutes legitimate action. Mullins and Christy (2016) emphasise that culture influences “management control systems,” meaning that numerical targets and performance indicators become symbolic representations of organisational priorities. When sales figures, waste reduction targets and productivity metrics dominate managerial conversations, they frame the boundaries within which decisions are made. Employees learn to interpret choices through the lens of measurable efficiency, reinforcing alignment with corporate objectives.However, decision-making shaped heavily by quantitative accountability can narrow interpretive scope. Schein (2017) argues that once underlying assumptions about “what counts” as success become taken-for-granted, alternative interpretations may be marginalised. Within Tesco, if efficiency metrics dominate cultural meaning, decisions that prioritise experimentation or longer-term capability building may appear less legitimate in the short term. Grant (2019) notes that strategic responsiveness requires balancing operational discipline with adaptive flexibility. Therefore, Tesco’s decision-making culture must continually negotiate the tension between precision and innovation.In this sense, decision-making is both stabilised and constrained by </w:t>
      </w:r>
      <w:r w:rsidR="002C55C6">
        <w:rPr>
          <w:color w:val="000000"/>
        </w:rPr>
        <w:lastRenderedPageBreak/>
        <w:t>cultural expectations. Authority structures provide clarity, and performance metrics create focus; yet adaptive capacity depends upon allowing bounded discretion within established frameworks.</w:t>
      </w:r>
    </w:p>
    <w:p w14:paraId="38A0DE0B" w14:textId="24EC4F21" w:rsidR="00384F19" w:rsidRPr="00384F19" w:rsidRDefault="00384F19" w:rsidP="00F55C5B">
      <w:pPr>
        <w:spacing w:before="100" w:beforeAutospacing="1" w:after="100" w:afterAutospacing="1" w:line="240" w:lineRule="auto"/>
        <w:rPr>
          <w:rFonts w:ascii="Times New Roman" w:hAnsi="Times New Roman" w:cs="Times New Roman"/>
          <w:color w:val="000000"/>
          <w:kern w:val="0"/>
          <w14:ligatures w14:val="none"/>
        </w:rPr>
      </w:pPr>
    </w:p>
    <w:p w14:paraId="0E7311E8" w14:textId="10D2B917" w:rsidR="00384F19" w:rsidRPr="00384F19" w:rsidRDefault="00B226A7"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D)</w:t>
      </w:r>
      <w:r w:rsidR="00384F19" w:rsidRPr="00384F19">
        <w:rPr>
          <w:rFonts w:ascii="Times New Roman" w:eastAsia="Times New Roman" w:hAnsi="Times New Roman" w:cs="Times New Roman"/>
          <w:b/>
          <w:bCs/>
          <w:color w:val="000000"/>
          <w:kern w:val="0"/>
          <w:sz w:val="36"/>
          <w:szCs w:val="36"/>
          <w14:ligatures w14:val="none"/>
        </w:rPr>
        <w:t xml:space="preserve"> Cultural Stability in a Volatile Retail Context</w:t>
      </w:r>
    </w:p>
    <w:p w14:paraId="6F82B6D0" w14:textId="77777777" w:rsidR="00384F19" w:rsidRPr="00384F19" w:rsidRDefault="00384F19" w:rsidP="00384F19">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t>The retail sector is characterised by digital innovation, competitive pricing pressures and sustainability expectations (Tesco plc, 2023). Organisational culture mediates how such external forces are translated into practice.</w:t>
      </w:r>
    </w:p>
    <w:p w14:paraId="04AC38FC" w14:textId="77777777" w:rsidR="00384F19" w:rsidRPr="00384F19" w:rsidRDefault="00384F19" w:rsidP="00384F19">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t>Kotter and Heskett (1992, p.6) argue that “adaptive cultures” are associated with sustained performance in changing environments. Tesco’s role-oriented culture provides disciplined implementation capacity. Clear lines of authority facilitate coordinated adoption of new systems, including digital checkout technologies and online fulfilment services.</w:t>
      </w:r>
    </w:p>
    <w:p w14:paraId="5E12D2EB" w14:textId="77777777" w:rsidR="00384F19" w:rsidRPr="00384F19" w:rsidRDefault="00384F19" w:rsidP="00384F19">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t>McAfee and Brynjolfsson (2012, p.62) observe that technological transformation succeeds only when “organisational culture supports change.” Tesco’s emphasis on efficiency aids structured implementation, yet cultural caution may moderate experimental initiatives.</w:t>
      </w:r>
    </w:p>
    <w:p w14:paraId="13326421" w14:textId="77777777" w:rsidR="00384F19" w:rsidRPr="00384F19" w:rsidRDefault="00384F19" w:rsidP="00384F19">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t>Cultural stability thus functions as both buffer and filter. It protects operational coherence during turbulence but may require deliberate adjustment to accommodate innovation.</w:t>
      </w:r>
    </w:p>
    <w:p w14:paraId="7DE838A6" w14:textId="115AD294" w:rsidR="00C45675" w:rsidRDefault="00384F19">
      <w:pPr>
        <w:pStyle w:val="NormalWeb"/>
        <w:rPr>
          <w:color w:val="000000"/>
        </w:rPr>
      </w:pPr>
      <w:r w:rsidRPr="00384F19">
        <w:rPr>
          <w:color w:val="000000"/>
        </w:rPr>
        <w:t>Martin (2002) notes that organisations often contain differentiated subcultures. Within Tesco, innovation teams may exhibit task-oriented characteristics, while core operations remain role-dominant. This coexistence reflects gradual adaptation rather than wholesale transformation.</w:t>
      </w:r>
      <w:r w:rsidR="00C45675" w:rsidRPr="00C45675">
        <w:rPr>
          <w:color w:val="000000"/>
        </w:rPr>
        <w:t xml:space="preserve"> </w:t>
      </w:r>
      <w:r w:rsidR="00C45675">
        <w:rPr>
          <w:color w:val="000000"/>
        </w:rPr>
        <w:t>Economic volatility further intensifies the importance of cultural mediation. Inflationary pressures and shifts in consumer spending patterns require disciplined cost management alongside customer responsiveness. Mullins and Christy (2016) emphasise that culture shapes “management control and motivation,” meaning that shared assumptions regarding efficiency directly influence how employees respond to financial constraints. In Tesco’s case, cost-awareness is not merely a financial imperative but a cultural expectation embedded within everyday routines.At the same time, sustainability expectations introduce normative pressures that extend beyond immediate profitability. Grant (2019) highlights that long-term strategic positioning increasingly depends on social legitimacy and environmental responsibility. Integrating sustainability initiatives into a role-oriented culture requires aligning environmental objectives with existing performance systems. If sustainability is framed as complementary to operational efficiency — for example through waste reduction — cultural alignment becomes more feasible.</w:t>
      </w:r>
    </w:p>
    <w:p w14:paraId="73BA4142" w14:textId="67079AA2" w:rsidR="00384F19" w:rsidRDefault="00C45675" w:rsidP="00153EA9">
      <w:pPr>
        <w:pStyle w:val="NormalWeb"/>
        <w:rPr>
          <w:color w:val="000000"/>
        </w:rPr>
      </w:pPr>
      <w:r>
        <w:rPr>
          <w:color w:val="000000"/>
        </w:rPr>
        <w:t>However, Schein (2017) cautions that deeply embedded assumptions can create resistance when new priorities challenge established routines. If environmental initiatives are perceived as disrupting efficiency norms, adaptation may slow. Therefore, Tesco’s response to external pressures depends not only on strategic decision-making but on its capacity to reinterpret cultural assumptions in light of evolving societal expectations. Cultural resilience thus lies in its ability to integrate new priorities without undermining structural coherence.</w:t>
      </w:r>
    </w:p>
    <w:p w14:paraId="218B84BC" w14:textId="77777777" w:rsidR="007A3D60" w:rsidRDefault="007A3D60" w:rsidP="00153EA9">
      <w:pPr>
        <w:pStyle w:val="NormalWeb"/>
        <w:rPr>
          <w:color w:val="000000"/>
        </w:rPr>
      </w:pPr>
    </w:p>
    <w:p w14:paraId="5F3E4C07" w14:textId="77777777" w:rsidR="007A3D60" w:rsidRDefault="007A3D60" w:rsidP="00153EA9">
      <w:pPr>
        <w:pStyle w:val="NormalWeb"/>
        <w:rPr>
          <w:color w:val="000000"/>
        </w:rPr>
      </w:pPr>
    </w:p>
    <w:p w14:paraId="7CA4A074" w14:textId="77777777" w:rsidR="007A3D60" w:rsidRPr="00384F19" w:rsidRDefault="007A3D60" w:rsidP="00153EA9">
      <w:pPr>
        <w:pStyle w:val="NormalWeb"/>
        <w:rPr>
          <w:color w:val="000000"/>
        </w:rPr>
      </w:pPr>
    </w:p>
    <w:p w14:paraId="4B667BC9" w14:textId="4B955EF3" w:rsidR="00384F19" w:rsidRPr="00384F19" w:rsidRDefault="00805C8F"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E)</w:t>
      </w:r>
      <w:r w:rsidR="00384F19" w:rsidRPr="00384F19">
        <w:rPr>
          <w:rFonts w:ascii="Times New Roman" w:eastAsia="Times New Roman" w:hAnsi="Times New Roman" w:cs="Times New Roman"/>
          <w:b/>
          <w:bCs/>
          <w:color w:val="000000"/>
          <w:kern w:val="0"/>
          <w:sz w:val="36"/>
          <w:szCs w:val="36"/>
          <w14:ligatures w14:val="none"/>
        </w:rPr>
        <w:t xml:space="preserve"> Performance as a Cultural Outcome</w:t>
      </w:r>
    </w:p>
    <w:p w14:paraId="69B60A62" w14:textId="5D9E4D71" w:rsidR="00FC24BF" w:rsidRPr="00384F19" w:rsidRDefault="00384F19" w:rsidP="008A48CA">
      <w:pPr>
        <w:pStyle w:val="NormalWeb"/>
        <w:rPr>
          <w:color w:val="000000"/>
        </w:rPr>
      </w:pPr>
      <w:r w:rsidRPr="00384F19">
        <w:rPr>
          <w:color w:val="000000"/>
        </w:rPr>
        <w:t>Organisational performance is shaped by behavioural alignment with strategic objectives. Heskett et al. (2008, p.118) state that “employee satisfaction drives service value,” connecting internal cultural dynamics with customer outcomes. When employees internalise norms of efficiency and responsiveness, service reliability improves.Tesco’s sustained market position suggests effective alignment between cultural discipline and operational strategy (Tesco plc, 2023). Schneider, Ehrhart and Macey (2013) argue that strong cultures reinforce behavioural consistency, enhancing reliability in service contexts.However, long-term competitiveness depends upon adaptability. Grant (2019) emphasises that strategic advantage in dynamic markets requires organisational learning. If cultural norms discourage experimentation, incremental improvements may be limited.Schein (2017) warns that deeply embedded assumptions can persist even when external conditions shift. Performance sustainability therefore depends on cultural reflexivity  the capacity to reassess shared assumptions.</w:t>
      </w:r>
      <w:r w:rsidR="00105082" w:rsidRPr="00105082">
        <w:rPr>
          <w:color w:val="000000"/>
        </w:rPr>
        <w:t xml:space="preserve"> </w:t>
      </w:r>
      <w:r w:rsidR="00105082">
        <w:rPr>
          <w:color w:val="000000"/>
        </w:rPr>
        <w:t>Organisational performance is shaped by behavioural alignment with strategic objectives. Heskett et al. (2008, p.118) state that “employee satisfaction drives service value,” connecting internal cultural dynamics with customer outcomes. When employees internalise norms of efficiency and responsiveness, service reliability improves.Tesco’s sustained market position suggests effective alignment between cultural discipline and operational strategy (Tesco plc, 2023). Schneider, Ehrhart and Macey (2013) argue that strong cultures reinforce behavioural consistency, enhancing reliability in service contexts.However, long-term competitiveness depends upon adaptability. Grant (2019) emphasises that strategic advantage in dynamic markets requires organisational learning. If cultural norms discourage experimentation, incremental improvements may be limited.Schein (2017) warns that deeply embedded assumptions can persist even when external conditions shift. Performance sustainability therefore depends on cultural reflexivity the capacity to reassess shared assumptions.In addition, organisational performance should not be understood solely through financial indicators but also through employee engagement, innovation capacity and reputational strength. Mullins and Christy (2016) highlight that culture influences “motivation and job satisfaction,” which in turn affect productivity and discretionary effort. Where employees perceive fairness, clarity and support within established cultural norms, commitment tends to strengthen. Conversely, if cultural expectations are experienced as overly rigid or performance metrics as excessively controlling, motivation may decline despite structural efficiency.Alvesson (2013) further argues that strong cultures can generate conformity that stabilises performance but may also suppress alternative viewpoints. In competitive retail markets, such suppression could restrict the diversity of ideas necessary for innovation. Therefore, Tesco’s performance trajectory is shaped by the delicate interaction between cultural cohesion and openness to reinterpretation. Sustainable advantage depends not merely on reinforcing existing norms, but on periodically questioning whether those norms continue to support strategic priorities.</w:t>
      </w:r>
      <w:r w:rsidR="008A48CA" w:rsidRPr="008A48CA">
        <w:rPr>
          <w:color w:val="000000"/>
        </w:rPr>
        <w:t xml:space="preserve"> </w:t>
      </w:r>
      <w:r w:rsidR="008A48CA">
        <w:rPr>
          <w:color w:val="000000"/>
        </w:rPr>
        <w:t xml:space="preserve">examining culture in this way allows for a more nuanced understanding of organisational effectiveness. Culture does not operate independently of structure or strategy; rather, it shapes how these elements are interpreted and enacted in everyday practice. As Grant (2019) argues, strategic alignment depends not only on formal planning but on behavioural coherence across organisational levels. In Tesco’s case, shared assumptions regarding efficiency, accountability and customer focus influence how strategic priorities are translated into operational routines. This embedded </w:t>
      </w:r>
      <w:r w:rsidR="008A48CA">
        <w:rPr>
          <w:color w:val="000000"/>
        </w:rPr>
        <w:lastRenderedPageBreak/>
        <w:t>coherence can enhance coordination across dispersed sites, yet it may also narrow interpretive flexibility if alternative approaches are perceived as inconsistent with established norms. Therefore, analysing Tesco’s culture requires recognising its dual capacity to stabilise behaviour while simultaneously shaping the boundaries of organisational possibility.</w:t>
      </w:r>
    </w:p>
    <w:p w14:paraId="2F87A76A" w14:textId="302A7E9A" w:rsidR="00384F19" w:rsidRPr="00384F19" w:rsidRDefault="00805C8F"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F)</w:t>
      </w:r>
      <w:r w:rsidR="00384F19" w:rsidRPr="00384F19">
        <w:rPr>
          <w:rFonts w:ascii="Times New Roman" w:eastAsia="Times New Roman" w:hAnsi="Times New Roman" w:cs="Times New Roman"/>
          <w:b/>
          <w:bCs/>
          <w:color w:val="000000"/>
          <w:kern w:val="0"/>
          <w:sz w:val="36"/>
          <w:szCs w:val="36"/>
          <w14:ligatures w14:val="none"/>
        </w:rPr>
        <w:t xml:space="preserve"> Cultural Development and Future Alignment</w:t>
      </w:r>
    </w:p>
    <w:p w14:paraId="022E6614" w14:textId="77777777" w:rsidR="00384F19" w:rsidRPr="00384F19" w:rsidRDefault="00384F19" w:rsidP="00384F19">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t>Rather than dismantling its cultural foundation, Tesco should focus on refinement and recalibration. Development priorities include:</w:t>
      </w:r>
    </w:p>
    <w:p w14:paraId="490EB534" w14:textId="77777777" w:rsidR="00384F19" w:rsidRPr="00384F19" w:rsidRDefault="00384F19" w:rsidP="00384F19">
      <w:pPr>
        <w:numPr>
          <w:ilvl w:val="0"/>
          <w:numId w:val="3"/>
        </w:num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b/>
          <w:bCs/>
          <w:color w:val="000000"/>
          <w:kern w:val="0"/>
          <w14:ligatures w14:val="none"/>
        </w:rPr>
        <w:t>Formalised Feedback Channels:</w:t>
      </w:r>
      <w:r w:rsidRPr="00384F19">
        <w:rPr>
          <w:rFonts w:ascii="Times New Roman" w:hAnsi="Times New Roman" w:cs="Times New Roman"/>
          <w:color w:val="000000"/>
          <w:kern w:val="0"/>
          <w14:ligatures w14:val="none"/>
        </w:rPr>
        <w:t> Structured forums enabling frontline employees to share insights may enhance interpretive diversity (Mullins and Christy, 2016).</w:t>
      </w:r>
    </w:p>
    <w:p w14:paraId="544A5E9D" w14:textId="77777777" w:rsidR="00384F19" w:rsidRPr="00384F19" w:rsidRDefault="00384F19" w:rsidP="00384F19">
      <w:pPr>
        <w:numPr>
          <w:ilvl w:val="0"/>
          <w:numId w:val="3"/>
        </w:num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b/>
          <w:bCs/>
          <w:color w:val="000000"/>
          <w:kern w:val="0"/>
          <w14:ligatures w14:val="none"/>
        </w:rPr>
        <w:t>Expanded Cross-Functional Collaboration:</w:t>
      </w:r>
      <w:r w:rsidRPr="00384F19">
        <w:rPr>
          <w:rFonts w:ascii="Times New Roman" w:hAnsi="Times New Roman" w:cs="Times New Roman"/>
          <w:color w:val="000000"/>
          <w:kern w:val="0"/>
          <w14:ligatures w14:val="none"/>
        </w:rPr>
        <w:t> Reinforcing task-oriented initiatives within innovation projects aligns with Handy’s (1993) task culture.</w:t>
      </w:r>
    </w:p>
    <w:p w14:paraId="441C8BE5" w14:textId="77777777" w:rsidR="00384F19" w:rsidRPr="00384F19" w:rsidRDefault="00384F19" w:rsidP="00384F19">
      <w:pPr>
        <w:numPr>
          <w:ilvl w:val="0"/>
          <w:numId w:val="3"/>
        </w:num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b/>
          <w:bCs/>
          <w:color w:val="000000"/>
          <w:kern w:val="0"/>
          <w14:ligatures w14:val="none"/>
        </w:rPr>
        <w:t>Psychological Safety Promotion:</w:t>
      </w:r>
      <w:r w:rsidRPr="00384F19">
        <w:rPr>
          <w:rFonts w:ascii="Times New Roman" w:hAnsi="Times New Roman" w:cs="Times New Roman"/>
          <w:color w:val="000000"/>
          <w:kern w:val="0"/>
          <w14:ligatures w14:val="none"/>
        </w:rPr>
        <w:t> Edmondson (2018) argues that environments where employees feel safe to express concerns encourage learning and adaptation.</w:t>
      </w:r>
    </w:p>
    <w:p w14:paraId="162FA863" w14:textId="77777777" w:rsidR="00384F19" w:rsidRPr="00384F19" w:rsidRDefault="00384F19" w:rsidP="00384F19">
      <w:pPr>
        <w:numPr>
          <w:ilvl w:val="0"/>
          <w:numId w:val="3"/>
        </w:num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b/>
          <w:bCs/>
          <w:color w:val="000000"/>
          <w:kern w:val="0"/>
          <w14:ligatures w14:val="none"/>
        </w:rPr>
        <w:t>Sustainability Integration:</w:t>
      </w:r>
      <w:r w:rsidRPr="00384F19">
        <w:rPr>
          <w:rFonts w:ascii="Times New Roman" w:hAnsi="Times New Roman" w:cs="Times New Roman"/>
          <w:color w:val="000000"/>
          <w:kern w:val="0"/>
          <w14:ligatures w14:val="none"/>
        </w:rPr>
        <w:t> Embedding environmental objectives into daily routines aligns culture with evolving societal expectations (Grant, 2019).</w:t>
      </w:r>
    </w:p>
    <w:p w14:paraId="7BB3DB8F" w14:textId="25515E44" w:rsidR="00384F19" w:rsidRPr="00F358FE" w:rsidRDefault="00384F19" w:rsidP="00384F19">
      <w:pPr>
        <w:spacing w:before="100" w:beforeAutospacing="1" w:after="100" w:afterAutospacing="1" w:line="240" w:lineRule="auto"/>
        <w:rPr>
          <w:rFonts w:ascii="Times New Roman" w:hAnsi="Times New Roman" w:cs="Times New Roman"/>
          <w:i/>
          <w:iCs/>
          <w:color w:val="000000"/>
          <w:kern w:val="0"/>
          <w14:ligatures w14:val="none"/>
        </w:rPr>
      </w:pPr>
      <w:r w:rsidRPr="00384F19">
        <w:rPr>
          <w:rFonts w:ascii="Times New Roman" w:hAnsi="Times New Roman" w:cs="Times New Roman"/>
          <w:i/>
          <w:iCs/>
          <w:color w:val="000000"/>
          <w:kern w:val="0"/>
          <w14:ligatures w14:val="none"/>
        </w:rPr>
        <w:t>These measures preserve structural clarity while enhancing adaptability.</w:t>
      </w:r>
    </w:p>
    <w:p w14:paraId="385EBBC9" w14:textId="68BDFE9C" w:rsidR="0046271C" w:rsidRPr="00384F19" w:rsidRDefault="0046271C" w:rsidP="008A48CA">
      <w:pPr>
        <w:pStyle w:val="NormalWeb"/>
        <w:rPr>
          <w:color w:val="000000"/>
        </w:rPr>
      </w:pPr>
      <w:r>
        <w:rPr>
          <w:color w:val="000000"/>
        </w:rPr>
        <w:t>Cultural development should be understood as an evolutionary rather than revolutionary process. Schein (2017) argues that culture changes when new behaviours repeatedly prove successful and gradually become accepted as legitimate ways of working. For Tesco, this means that adaptive practices must be visibly linked to improved operational or customer outcomes if they are to be internalised across the organisation. Leadership behaviour therefore becomes critical in signalling what is considered acceptable initiative. When managers openly support constructive experimentation within defined boundaries, they reshape assumptions about risk without undermining accountability.Moreover, Alvesson (2013) emphasises that organisational culture is sustained through shared meanings and everyday discourse. If innovation and sustainability are framed as extensions of Tesco’s efficiency ethos rather than departures from it, employees are more likely to integrate new priorities into existing routines. Cultural alignment is therefore achieved not by weakening structural discipline, but by expanding the interpretive space within which discipline operates. Over time, this subtle recalibration can strengthen organisational resilience while preserving coherence.</w:t>
      </w:r>
    </w:p>
    <w:p w14:paraId="3DFAE94C" w14:textId="1C536082" w:rsidR="00384F19" w:rsidRPr="00384F19" w:rsidRDefault="00805C8F" w:rsidP="00384F19">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Pr>
          <w:rFonts w:ascii="Times New Roman" w:eastAsia="Times New Roman" w:hAnsi="Times New Roman" w:cs="Times New Roman"/>
          <w:b/>
          <w:bCs/>
          <w:color w:val="000000"/>
          <w:kern w:val="0"/>
          <w:sz w:val="36"/>
          <w:szCs w:val="36"/>
          <w14:ligatures w14:val="none"/>
        </w:rPr>
        <w:t>G)</w:t>
      </w:r>
      <w:r w:rsidR="00384F19" w:rsidRPr="00384F19">
        <w:rPr>
          <w:rFonts w:ascii="Times New Roman" w:eastAsia="Times New Roman" w:hAnsi="Times New Roman" w:cs="Times New Roman"/>
          <w:b/>
          <w:bCs/>
          <w:color w:val="000000"/>
          <w:kern w:val="0"/>
          <w:sz w:val="36"/>
          <w:szCs w:val="36"/>
          <w14:ligatures w14:val="none"/>
        </w:rPr>
        <w:t xml:space="preserve"> Conclusion</w:t>
      </w:r>
    </w:p>
    <w:p w14:paraId="227E5833" w14:textId="09DE61BF" w:rsidR="00E725FC" w:rsidRDefault="00384F19" w:rsidP="00FC24BF">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hAnsi="Times New Roman" w:cs="Times New Roman"/>
          <w:color w:val="000000"/>
          <w:kern w:val="0"/>
          <w14:ligatures w14:val="none"/>
        </w:rPr>
        <w:t>Tesco’s organisational culture reflects a predominantly role-oriented configuration characterised by positional authority, procedural discipline and operational consistency. This cultural order underpins structural clarity and coordinated decision-making within a demanding retail environment.However, cultural stability must be continuously recalibrated in response to environmental change. By interpreting culture as organisational infrastructure rather than symbolic rhetoric, this analysis demonstrates how structure, authority and performance are culturally mediated. Sustainable effectiveness depends not on abandoning cultural discipline but on integrating flexibility within established systems.</w:t>
      </w:r>
      <w:r w:rsidR="00FE37FA" w:rsidRPr="00FE37FA">
        <w:rPr>
          <w:color w:val="000000"/>
        </w:rPr>
        <w:t xml:space="preserve"> </w:t>
      </w:r>
      <w:r w:rsidR="00FE37FA">
        <w:rPr>
          <w:color w:val="000000"/>
        </w:rPr>
        <w:t xml:space="preserve">In this respect, Tesco’s future competitiveness will depend upon its ability to sustain what Kotter and Heskett (1992) describe as an “adaptive culture,” one capable of preserving core strengths </w:t>
      </w:r>
      <w:r w:rsidR="00FE37FA">
        <w:rPr>
          <w:color w:val="000000"/>
        </w:rPr>
        <w:lastRenderedPageBreak/>
        <w:t>while responding intelligently to external pressures. The challenge is not to replace its role-oriented foundations, but to prevent those foundations from becoming overly rigid. As Schein (2017) emphasises, cultural assumptions can become invisible and resistant to critique; therefore, periodic reflection on taken-for-granted practices is essential for long-term viability.Furthermore, the interplay between cultural stability and innovation highlights the importance of leadership judgement. Mullins and Christy (2016) note that culture influences virtually all organisational processes, meaning that strategic change initiatives cannot succeed without cultural alignment. Tesco’s ongoing development will thus require leaders to maintain accountability and efficiency while legitimising bounded experimentation. In doing so, the organisation can retain the coordination benefits of role culture while strengthening its capacity for learning, responsiveness and sustainable performance in an evolving retail landscape.</w:t>
      </w:r>
    </w:p>
    <w:p w14:paraId="39F8BBC1" w14:textId="11B687A4" w:rsidR="00384F19" w:rsidRPr="00384F19" w:rsidRDefault="00384F19" w:rsidP="00E725FC">
      <w:pPr>
        <w:spacing w:before="100" w:beforeAutospacing="1" w:after="100" w:afterAutospacing="1" w:line="240" w:lineRule="auto"/>
        <w:rPr>
          <w:rFonts w:ascii="Times New Roman" w:hAnsi="Times New Roman" w:cs="Times New Roman"/>
          <w:color w:val="000000"/>
          <w:kern w:val="0"/>
          <w14:ligatures w14:val="none"/>
        </w:rPr>
      </w:pPr>
      <w:r w:rsidRPr="00384F19">
        <w:rPr>
          <w:rFonts w:ascii="Times New Roman" w:eastAsia="Times New Roman" w:hAnsi="Times New Roman" w:cs="Times New Roman"/>
          <w:b/>
          <w:bCs/>
          <w:color w:val="000000"/>
          <w:kern w:val="36"/>
          <w:sz w:val="48"/>
          <w:szCs w:val="48"/>
          <w14:ligatures w14:val="none"/>
        </w:rPr>
        <w:t>References</w:t>
      </w:r>
    </w:p>
    <w:p w14:paraId="1647B3E8" w14:textId="7E139FFD" w:rsidR="00384F19" w:rsidRPr="00A554A1" w:rsidRDefault="00384F19" w:rsidP="00A554A1">
      <w:pPr>
        <w:spacing w:before="100" w:beforeAutospacing="1" w:after="100" w:afterAutospacing="1" w:line="240" w:lineRule="auto"/>
        <w:rPr>
          <w:rFonts w:ascii="Times New Roman" w:hAnsi="Times New Roman" w:cs="Times New Roman"/>
          <w:color w:val="000000"/>
          <w:kern w:val="0"/>
          <w14:ligatures w14:val="none"/>
        </w:rPr>
      </w:pPr>
      <w:r w:rsidRPr="00A554A1">
        <w:rPr>
          <w:rFonts w:ascii="Times New Roman" w:hAnsi="Times New Roman" w:cs="Times New Roman"/>
          <w:color w:val="000000"/>
          <w:kern w:val="0"/>
          <w14:ligatures w14:val="none"/>
        </w:rPr>
        <w:t>Alvesson, M. (201</w:t>
      </w:r>
      <w:r w:rsidR="00B64A50" w:rsidRPr="00A554A1">
        <w:rPr>
          <w:rFonts w:ascii="Times New Roman" w:hAnsi="Times New Roman" w:cs="Times New Roman"/>
          <w:color w:val="000000"/>
          <w:kern w:val="0"/>
          <w14:ligatures w14:val="none"/>
        </w:rPr>
        <w:t>2</w:t>
      </w:r>
      <w:r w:rsidRPr="00A554A1">
        <w:rPr>
          <w:rFonts w:ascii="Times New Roman" w:hAnsi="Times New Roman" w:cs="Times New Roman"/>
          <w:color w:val="000000"/>
          <w:kern w:val="0"/>
          <w14:ligatures w14:val="none"/>
        </w:rPr>
        <w:t>) </w:t>
      </w:r>
      <w:r w:rsidRPr="00A554A1">
        <w:rPr>
          <w:rFonts w:ascii="Times New Roman" w:hAnsi="Times New Roman" w:cs="Times New Roman"/>
          <w:i/>
          <w:iCs/>
          <w:color w:val="000000"/>
          <w:kern w:val="0"/>
          <w14:ligatures w14:val="none"/>
        </w:rPr>
        <w:t>Understanding Organizational Culture</w:t>
      </w:r>
      <w:r w:rsidRPr="00A554A1">
        <w:rPr>
          <w:rFonts w:ascii="Times New Roman" w:hAnsi="Times New Roman" w:cs="Times New Roman"/>
          <w:color w:val="000000"/>
          <w:kern w:val="0"/>
          <w14:ligatures w14:val="none"/>
        </w:rPr>
        <w:t>. 2nd edn. London: Sage.</w:t>
      </w:r>
      <w:r w:rsidRPr="00A554A1">
        <w:rPr>
          <w:rFonts w:ascii="Times New Roman" w:hAnsi="Times New Roman" w:cs="Times New Roman"/>
          <w:color w:val="000000"/>
          <w:kern w:val="0"/>
          <w14:ligatures w14:val="none"/>
        </w:rPr>
        <w:br/>
        <w:t>Burns, T. and Stalker, G.M. (1961) </w:t>
      </w:r>
      <w:r w:rsidRPr="00A554A1">
        <w:rPr>
          <w:rFonts w:ascii="Times New Roman" w:hAnsi="Times New Roman" w:cs="Times New Roman"/>
          <w:i/>
          <w:iCs/>
          <w:color w:val="000000"/>
          <w:kern w:val="0"/>
          <w14:ligatures w14:val="none"/>
        </w:rPr>
        <w:t>The Management of Innovation</w:t>
      </w:r>
      <w:r w:rsidRPr="00A554A1">
        <w:rPr>
          <w:rFonts w:ascii="Times New Roman" w:hAnsi="Times New Roman" w:cs="Times New Roman"/>
          <w:color w:val="000000"/>
          <w:kern w:val="0"/>
          <w14:ligatures w14:val="none"/>
        </w:rPr>
        <w:t>. London: Tavistock.</w:t>
      </w:r>
      <w:r w:rsidRPr="00A554A1">
        <w:rPr>
          <w:rFonts w:ascii="Times New Roman" w:hAnsi="Times New Roman" w:cs="Times New Roman"/>
          <w:color w:val="000000"/>
          <w:kern w:val="0"/>
          <w14:ligatures w14:val="none"/>
        </w:rPr>
        <w:br/>
        <w:t>Edmondson, A. (2018) </w:t>
      </w:r>
      <w:r w:rsidRPr="00A554A1">
        <w:rPr>
          <w:rFonts w:ascii="Times New Roman" w:hAnsi="Times New Roman" w:cs="Times New Roman"/>
          <w:i/>
          <w:iCs/>
          <w:color w:val="000000"/>
          <w:kern w:val="0"/>
          <w14:ligatures w14:val="none"/>
        </w:rPr>
        <w:t>The Fearless Organization</w:t>
      </w:r>
      <w:r w:rsidRPr="00A554A1">
        <w:rPr>
          <w:rFonts w:ascii="Times New Roman" w:hAnsi="Times New Roman" w:cs="Times New Roman"/>
          <w:color w:val="000000"/>
          <w:kern w:val="0"/>
          <w14:ligatures w14:val="none"/>
        </w:rPr>
        <w:t>. Hoboken: Wiley.</w:t>
      </w:r>
      <w:r w:rsidRPr="00A554A1">
        <w:rPr>
          <w:rFonts w:ascii="Times New Roman" w:hAnsi="Times New Roman" w:cs="Times New Roman"/>
          <w:color w:val="000000"/>
          <w:kern w:val="0"/>
          <w14:ligatures w14:val="none"/>
        </w:rPr>
        <w:br/>
        <w:t>Grant, R.M. (2019) </w:t>
      </w:r>
      <w:r w:rsidRPr="00A554A1">
        <w:rPr>
          <w:rFonts w:ascii="Times New Roman" w:hAnsi="Times New Roman" w:cs="Times New Roman"/>
          <w:i/>
          <w:iCs/>
          <w:color w:val="000000"/>
          <w:kern w:val="0"/>
          <w14:ligatures w14:val="none"/>
        </w:rPr>
        <w:t>Contemporary Strategy Analysis</w:t>
      </w:r>
      <w:r w:rsidRPr="00A554A1">
        <w:rPr>
          <w:rFonts w:ascii="Times New Roman" w:hAnsi="Times New Roman" w:cs="Times New Roman"/>
          <w:color w:val="000000"/>
          <w:kern w:val="0"/>
          <w14:ligatures w14:val="none"/>
        </w:rPr>
        <w:t>. 10th edn. Chichester: Wiley.</w:t>
      </w:r>
      <w:r w:rsidRPr="00A554A1">
        <w:rPr>
          <w:rFonts w:ascii="Times New Roman" w:hAnsi="Times New Roman" w:cs="Times New Roman"/>
          <w:color w:val="000000"/>
          <w:kern w:val="0"/>
          <w14:ligatures w14:val="none"/>
        </w:rPr>
        <w:br/>
        <w:t>Handy, C. (1993) </w:t>
      </w:r>
      <w:r w:rsidRPr="00A554A1">
        <w:rPr>
          <w:rFonts w:ascii="Times New Roman" w:hAnsi="Times New Roman" w:cs="Times New Roman"/>
          <w:i/>
          <w:iCs/>
          <w:color w:val="000000"/>
          <w:kern w:val="0"/>
          <w14:ligatures w14:val="none"/>
        </w:rPr>
        <w:t>Understanding Organizations</w:t>
      </w:r>
      <w:r w:rsidRPr="00A554A1">
        <w:rPr>
          <w:rFonts w:ascii="Times New Roman" w:hAnsi="Times New Roman" w:cs="Times New Roman"/>
          <w:color w:val="000000"/>
          <w:kern w:val="0"/>
          <w14:ligatures w14:val="none"/>
        </w:rPr>
        <w:t>. 4th edn. London: Penguin.</w:t>
      </w:r>
      <w:r w:rsidRPr="00A554A1">
        <w:rPr>
          <w:rFonts w:ascii="Times New Roman" w:hAnsi="Times New Roman" w:cs="Times New Roman"/>
          <w:color w:val="000000"/>
          <w:kern w:val="0"/>
          <w14:ligatures w14:val="none"/>
        </w:rPr>
        <w:br/>
        <w:t>Heskett, J.L. et al. (2008) ‘Putting the service-profit chain to work’, </w:t>
      </w:r>
      <w:r w:rsidRPr="00A554A1">
        <w:rPr>
          <w:rFonts w:ascii="Times New Roman" w:hAnsi="Times New Roman" w:cs="Times New Roman"/>
          <w:i/>
          <w:iCs/>
          <w:color w:val="000000"/>
          <w:kern w:val="0"/>
          <w14:ligatures w14:val="none"/>
        </w:rPr>
        <w:t>Harvard Business Review</w:t>
      </w:r>
      <w:r w:rsidRPr="00A554A1">
        <w:rPr>
          <w:rFonts w:ascii="Times New Roman" w:hAnsi="Times New Roman" w:cs="Times New Roman"/>
          <w:color w:val="000000"/>
          <w:kern w:val="0"/>
          <w14:ligatures w14:val="none"/>
        </w:rPr>
        <w:t>, 86(7/8), pp.118–129.</w:t>
      </w:r>
      <w:r w:rsidRPr="00A554A1">
        <w:rPr>
          <w:rFonts w:ascii="Times New Roman" w:hAnsi="Times New Roman" w:cs="Times New Roman"/>
          <w:color w:val="000000"/>
          <w:kern w:val="0"/>
          <w14:ligatures w14:val="none"/>
        </w:rPr>
        <w:br/>
        <w:t>Hofstede, G., Hofstede, G.J. and Minkov, M. (2010) </w:t>
      </w:r>
      <w:r w:rsidRPr="00A554A1">
        <w:rPr>
          <w:rFonts w:ascii="Times New Roman" w:hAnsi="Times New Roman" w:cs="Times New Roman"/>
          <w:i/>
          <w:iCs/>
          <w:color w:val="000000"/>
          <w:kern w:val="0"/>
          <w14:ligatures w14:val="none"/>
        </w:rPr>
        <w:t>Cultures and Organizations: Software of the Mind</w:t>
      </w:r>
      <w:r w:rsidRPr="00A554A1">
        <w:rPr>
          <w:rFonts w:ascii="Times New Roman" w:hAnsi="Times New Roman" w:cs="Times New Roman"/>
          <w:color w:val="000000"/>
          <w:kern w:val="0"/>
          <w14:ligatures w14:val="none"/>
        </w:rPr>
        <w:t>. 3rd edn. New York: McGraw-Hill.</w:t>
      </w:r>
      <w:r w:rsidRPr="00A554A1">
        <w:rPr>
          <w:rFonts w:ascii="Times New Roman" w:hAnsi="Times New Roman" w:cs="Times New Roman"/>
          <w:color w:val="000000"/>
          <w:kern w:val="0"/>
          <w14:ligatures w14:val="none"/>
        </w:rPr>
        <w:br/>
        <w:t>Kotter, J.P. and Heskett, J.L. (1992) </w:t>
      </w:r>
      <w:r w:rsidRPr="00A554A1">
        <w:rPr>
          <w:rFonts w:ascii="Times New Roman" w:hAnsi="Times New Roman" w:cs="Times New Roman"/>
          <w:i/>
          <w:iCs/>
          <w:color w:val="000000"/>
          <w:kern w:val="0"/>
          <w14:ligatures w14:val="none"/>
        </w:rPr>
        <w:t>Corporate Culture and Performance</w:t>
      </w:r>
      <w:r w:rsidRPr="00A554A1">
        <w:rPr>
          <w:rFonts w:ascii="Times New Roman" w:hAnsi="Times New Roman" w:cs="Times New Roman"/>
          <w:color w:val="000000"/>
          <w:kern w:val="0"/>
          <w14:ligatures w14:val="none"/>
        </w:rPr>
        <w:t>. New York: Free Press.</w:t>
      </w:r>
      <w:r w:rsidRPr="00A554A1">
        <w:rPr>
          <w:rFonts w:ascii="Times New Roman" w:hAnsi="Times New Roman" w:cs="Times New Roman"/>
          <w:color w:val="000000"/>
          <w:kern w:val="0"/>
          <w14:ligatures w14:val="none"/>
        </w:rPr>
        <w:br/>
        <w:t>Martin, J. (2002) </w:t>
      </w:r>
      <w:r w:rsidRPr="00A554A1">
        <w:rPr>
          <w:rFonts w:ascii="Times New Roman" w:hAnsi="Times New Roman" w:cs="Times New Roman"/>
          <w:i/>
          <w:iCs/>
          <w:color w:val="000000"/>
          <w:kern w:val="0"/>
          <w14:ligatures w14:val="none"/>
        </w:rPr>
        <w:t>Organizational Culture: Mapping the Terrain</w:t>
      </w:r>
      <w:r w:rsidRPr="00A554A1">
        <w:rPr>
          <w:rFonts w:ascii="Times New Roman" w:hAnsi="Times New Roman" w:cs="Times New Roman"/>
          <w:color w:val="000000"/>
          <w:kern w:val="0"/>
          <w14:ligatures w14:val="none"/>
        </w:rPr>
        <w:t>. Thousand Oaks: Sage.</w:t>
      </w:r>
      <w:r w:rsidRPr="00A554A1">
        <w:rPr>
          <w:rFonts w:ascii="Times New Roman" w:hAnsi="Times New Roman" w:cs="Times New Roman"/>
          <w:color w:val="000000"/>
          <w:kern w:val="0"/>
          <w14:ligatures w14:val="none"/>
        </w:rPr>
        <w:br/>
        <w:t>McAfee, A. and Brynjolfsson, E. (2012) ‘Big data: the management revolution’, </w:t>
      </w:r>
      <w:r w:rsidRPr="00A554A1">
        <w:rPr>
          <w:rFonts w:ascii="Times New Roman" w:hAnsi="Times New Roman" w:cs="Times New Roman"/>
          <w:i/>
          <w:iCs/>
          <w:color w:val="000000"/>
          <w:kern w:val="0"/>
          <w14:ligatures w14:val="none"/>
        </w:rPr>
        <w:t>Harvard Business Review</w:t>
      </w:r>
      <w:r w:rsidRPr="00A554A1">
        <w:rPr>
          <w:rFonts w:ascii="Times New Roman" w:hAnsi="Times New Roman" w:cs="Times New Roman"/>
          <w:color w:val="000000"/>
          <w:kern w:val="0"/>
          <w14:ligatures w14:val="none"/>
        </w:rPr>
        <w:t>, 90(10), pp.60–68.</w:t>
      </w:r>
      <w:r w:rsidRPr="00A554A1">
        <w:rPr>
          <w:rFonts w:ascii="Times New Roman" w:hAnsi="Times New Roman" w:cs="Times New Roman"/>
          <w:color w:val="000000"/>
          <w:kern w:val="0"/>
          <w14:ligatures w14:val="none"/>
        </w:rPr>
        <w:br/>
        <w:t>Mullins, L.J. and Christy, G. (2016) </w:t>
      </w:r>
      <w:r w:rsidRPr="00A554A1">
        <w:rPr>
          <w:rFonts w:ascii="Times New Roman" w:hAnsi="Times New Roman" w:cs="Times New Roman"/>
          <w:i/>
          <w:iCs/>
          <w:color w:val="000000"/>
          <w:kern w:val="0"/>
          <w14:ligatures w14:val="none"/>
        </w:rPr>
        <w:t>Management and Organisational Behaviour</w:t>
      </w:r>
      <w:r w:rsidRPr="00A554A1">
        <w:rPr>
          <w:rFonts w:ascii="Times New Roman" w:hAnsi="Times New Roman" w:cs="Times New Roman"/>
          <w:color w:val="000000"/>
          <w:kern w:val="0"/>
          <w14:ligatures w14:val="none"/>
        </w:rPr>
        <w:t>. 11th edn. Harlow: Pearson.</w:t>
      </w:r>
      <w:r w:rsidRPr="00A554A1">
        <w:rPr>
          <w:rFonts w:ascii="Times New Roman" w:hAnsi="Times New Roman" w:cs="Times New Roman"/>
          <w:color w:val="000000"/>
          <w:kern w:val="0"/>
          <w14:ligatures w14:val="none"/>
        </w:rPr>
        <w:br/>
        <w:t>Reason, J. (1997) </w:t>
      </w:r>
      <w:r w:rsidRPr="00A554A1">
        <w:rPr>
          <w:rFonts w:ascii="Times New Roman" w:hAnsi="Times New Roman" w:cs="Times New Roman"/>
          <w:i/>
          <w:iCs/>
          <w:color w:val="000000"/>
          <w:kern w:val="0"/>
          <w14:ligatures w14:val="none"/>
        </w:rPr>
        <w:t>Managing the Risks of Organizational Accidents</w:t>
      </w:r>
      <w:r w:rsidRPr="00A554A1">
        <w:rPr>
          <w:rFonts w:ascii="Times New Roman" w:hAnsi="Times New Roman" w:cs="Times New Roman"/>
          <w:color w:val="000000"/>
          <w:kern w:val="0"/>
          <w14:ligatures w14:val="none"/>
        </w:rPr>
        <w:t>. Aldershot: Ashgate.</w:t>
      </w:r>
      <w:r w:rsidRPr="00A554A1">
        <w:rPr>
          <w:rFonts w:ascii="Times New Roman" w:hAnsi="Times New Roman" w:cs="Times New Roman"/>
          <w:color w:val="000000"/>
          <w:kern w:val="0"/>
          <w14:ligatures w14:val="none"/>
        </w:rPr>
        <w:br/>
        <w:t>Tesco plc (2023) </w:t>
      </w:r>
      <w:r w:rsidRPr="00A554A1">
        <w:rPr>
          <w:rFonts w:ascii="Times New Roman" w:hAnsi="Times New Roman" w:cs="Times New Roman"/>
          <w:i/>
          <w:iCs/>
          <w:color w:val="000000"/>
          <w:kern w:val="0"/>
          <w14:ligatures w14:val="none"/>
        </w:rPr>
        <w:t>Annual Report and Financial Statements</w:t>
      </w:r>
      <w:r w:rsidRPr="00A554A1">
        <w:rPr>
          <w:rFonts w:ascii="Times New Roman" w:hAnsi="Times New Roman" w:cs="Times New Roman"/>
          <w:color w:val="000000"/>
          <w:kern w:val="0"/>
          <w14:ligatures w14:val="none"/>
        </w:rPr>
        <w:t>. Welwyn Garden City: Tesco plc.</w:t>
      </w:r>
    </w:p>
    <w:p w14:paraId="3538C17D" w14:textId="77777777" w:rsidR="00C117D6" w:rsidRPr="00384F19" w:rsidRDefault="00C117D6" w:rsidP="00A554A1"/>
    <w:sectPr w:rsidR="00C117D6" w:rsidRPr="00384F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9EDC73" w14:textId="77777777" w:rsidR="000A26D8" w:rsidRDefault="000A26D8" w:rsidP="00D42296">
      <w:pPr>
        <w:spacing w:after="0" w:line="240" w:lineRule="auto"/>
      </w:pPr>
      <w:r>
        <w:separator/>
      </w:r>
    </w:p>
  </w:endnote>
  <w:endnote w:type="continuationSeparator" w:id="0">
    <w:p w14:paraId="4BB840A7" w14:textId="77777777" w:rsidR="000A26D8" w:rsidRDefault="000A26D8" w:rsidP="00D422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7728B" w14:textId="77777777" w:rsidR="000A26D8" w:rsidRDefault="000A26D8" w:rsidP="00D42296">
      <w:pPr>
        <w:spacing w:after="0" w:line="240" w:lineRule="auto"/>
      </w:pPr>
      <w:r>
        <w:separator/>
      </w:r>
    </w:p>
  </w:footnote>
  <w:footnote w:type="continuationSeparator" w:id="0">
    <w:p w14:paraId="273D5F86" w14:textId="77777777" w:rsidR="000A26D8" w:rsidRDefault="000A26D8" w:rsidP="00D422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3F769E"/>
    <w:multiLevelType w:val="multilevel"/>
    <w:tmpl w:val="220A49EE"/>
    <w:lvl w:ilvl="0">
      <w:start w:val="1"/>
      <w:numFmt w:val="upperLetter"/>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A0316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6D028F9"/>
    <w:multiLevelType w:val="hybridMultilevel"/>
    <w:tmpl w:val="2A4E64A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69C6311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0911365">
    <w:abstractNumId w:val="1"/>
  </w:num>
  <w:num w:numId="2" w16cid:durableId="1615090424">
    <w:abstractNumId w:val="3"/>
  </w:num>
  <w:num w:numId="3" w16cid:durableId="1330064330">
    <w:abstractNumId w:val="0"/>
  </w:num>
  <w:num w:numId="4" w16cid:durableId="151915385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6"/>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17D6"/>
    <w:rsid w:val="000330F4"/>
    <w:rsid w:val="000763F1"/>
    <w:rsid w:val="000A26D8"/>
    <w:rsid w:val="00105082"/>
    <w:rsid w:val="00107CEA"/>
    <w:rsid w:val="001214C4"/>
    <w:rsid w:val="00153EA9"/>
    <w:rsid w:val="00161F05"/>
    <w:rsid w:val="001B4965"/>
    <w:rsid w:val="00204A78"/>
    <w:rsid w:val="002134E7"/>
    <w:rsid w:val="00294BFD"/>
    <w:rsid w:val="002C55C6"/>
    <w:rsid w:val="00373820"/>
    <w:rsid w:val="00376D7C"/>
    <w:rsid w:val="003828E3"/>
    <w:rsid w:val="00384F19"/>
    <w:rsid w:val="00395513"/>
    <w:rsid w:val="003F49E7"/>
    <w:rsid w:val="0040738A"/>
    <w:rsid w:val="00433B40"/>
    <w:rsid w:val="00441E0F"/>
    <w:rsid w:val="0046271C"/>
    <w:rsid w:val="004F19D5"/>
    <w:rsid w:val="00592B81"/>
    <w:rsid w:val="00606BD6"/>
    <w:rsid w:val="006B29B6"/>
    <w:rsid w:val="00762DC3"/>
    <w:rsid w:val="007825FE"/>
    <w:rsid w:val="007A2AFA"/>
    <w:rsid w:val="007A3D60"/>
    <w:rsid w:val="00805C8F"/>
    <w:rsid w:val="008076CE"/>
    <w:rsid w:val="00822298"/>
    <w:rsid w:val="00823447"/>
    <w:rsid w:val="00870DD7"/>
    <w:rsid w:val="00893B11"/>
    <w:rsid w:val="008A48CA"/>
    <w:rsid w:val="008D41F1"/>
    <w:rsid w:val="008F7D88"/>
    <w:rsid w:val="00913BF1"/>
    <w:rsid w:val="00935EB6"/>
    <w:rsid w:val="00987344"/>
    <w:rsid w:val="00987F26"/>
    <w:rsid w:val="00A00085"/>
    <w:rsid w:val="00A554A1"/>
    <w:rsid w:val="00A56B9B"/>
    <w:rsid w:val="00A61FED"/>
    <w:rsid w:val="00A62BEE"/>
    <w:rsid w:val="00A835F5"/>
    <w:rsid w:val="00AF359F"/>
    <w:rsid w:val="00B226A7"/>
    <w:rsid w:val="00B64A50"/>
    <w:rsid w:val="00B836F6"/>
    <w:rsid w:val="00BA52F6"/>
    <w:rsid w:val="00BE2A16"/>
    <w:rsid w:val="00BF08B2"/>
    <w:rsid w:val="00C117D6"/>
    <w:rsid w:val="00C33F30"/>
    <w:rsid w:val="00C341F1"/>
    <w:rsid w:val="00C45675"/>
    <w:rsid w:val="00CC16D6"/>
    <w:rsid w:val="00D42296"/>
    <w:rsid w:val="00DA1D67"/>
    <w:rsid w:val="00DC3AA9"/>
    <w:rsid w:val="00DC7042"/>
    <w:rsid w:val="00E5670E"/>
    <w:rsid w:val="00E725FC"/>
    <w:rsid w:val="00EA660E"/>
    <w:rsid w:val="00EE1CA0"/>
    <w:rsid w:val="00EE7D6A"/>
    <w:rsid w:val="00F358FE"/>
    <w:rsid w:val="00F55C5B"/>
    <w:rsid w:val="00F625B0"/>
    <w:rsid w:val="00FC24BF"/>
    <w:rsid w:val="00FE37FA"/>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A968FE"/>
  <w15:chartTrackingRefBased/>
  <w15:docId w15:val="{B5AF4055-BBF7-624D-AC1D-6FD511685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o-GB" w:eastAsia="ro-R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117D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unhideWhenUsed/>
    <w:qFormat/>
    <w:rsid w:val="00C117D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unhideWhenUsed/>
    <w:qFormat/>
    <w:rsid w:val="00C117D6"/>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C117D6"/>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C117D6"/>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C117D6"/>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C117D6"/>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C117D6"/>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C117D6"/>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C117D6"/>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C117D6"/>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C117D6"/>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C117D6"/>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C117D6"/>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C117D6"/>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C117D6"/>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C117D6"/>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C117D6"/>
    <w:rPr>
      <w:rFonts w:eastAsiaTheme="majorEastAsia" w:cstheme="majorBidi"/>
      <w:color w:val="272727" w:themeColor="text1" w:themeTint="D8"/>
    </w:rPr>
  </w:style>
  <w:style w:type="paragraph" w:styleId="Titlu">
    <w:name w:val="Title"/>
    <w:basedOn w:val="Normal"/>
    <w:next w:val="Normal"/>
    <w:link w:val="TitluCaracter"/>
    <w:uiPriority w:val="10"/>
    <w:qFormat/>
    <w:rsid w:val="00C117D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C117D6"/>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C117D6"/>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C117D6"/>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C117D6"/>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C117D6"/>
    <w:rPr>
      <w:i/>
      <w:iCs/>
      <w:color w:val="404040" w:themeColor="text1" w:themeTint="BF"/>
    </w:rPr>
  </w:style>
  <w:style w:type="paragraph" w:styleId="Listparagraf">
    <w:name w:val="List Paragraph"/>
    <w:basedOn w:val="Normal"/>
    <w:uiPriority w:val="34"/>
    <w:qFormat/>
    <w:rsid w:val="00C117D6"/>
    <w:pPr>
      <w:ind w:left="720"/>
      <w:contextualSpacing/>
    </w:pPr>
  </w:style>
  <w:style w:type="character" w:styleId="Accentuareintens">
    <w:name w:val="Intense Emphasis"/>
    <w:basedOn w:val="Fontdeparagrafimplicit"/>
    <w:uiPriority w:val="21"/>
    <w:qFormat/>
    <w:rsid w:val="00C117D6"/>
    <w:rPr>
      <w:i/>
      <w:iCs/>
      <w:color w:val="2F5496" w:themeColor="accent1" w:themeShade="BF"/>
    </w:rPr>
  </w:style>
  <w:style w:type="paragraph" w:styleId="Citatintens">
    <w:name w:val="Intense Quote"/>
    <w:basedOn w:val="Normal"/>
    <w:next w:val="Normal"/>
    <w:link w:val="CitatintensCaracter"/>
    <w:uiPriority w:val="30"/>
    <w:qFormat/>
    <w:rsid w:val="00C117D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C117D6"/>
    <w:rPr>
      <w:i/>
      <w:iCs/>
      <w:color w:val="2F5496" w:themeColor="accent1" w:themeShade="BF"/>
    </w:rPr>
  </w:style>
  <w:style w:type="character" w:styleId="Referireintens">
    <w:name w:val="Intense Reference"/>
    <w:basedOn w:val="Fontdeparagrafimplicit"/>
    <w:uiPriority w:val="32"/>
    <w:qFormat/>
    <w:rsid w:val="00C117D6"/>
    <w:rPr>
      <w:b/>
      <w:bCs/>
      <w:smallCaps/>
      <w:color w:val="2F5496" w:themeColor="accent1" w:themeShade="BF"/>
      <w:spacing w:val="5"/>
    </w:rPr>
  </w:style>
  <w:style w:type="paragraph" w:styleId="NormalWeb">
    <w:name w:val="Normal (Web)"/>
    <w:basedOn w:val="Normal"/>
    <w:uiPriority w:val="99"/>
    <w:unhideWhenUsed/>
    <w:rsid w:val="00C117D6"/>
    <w:pPr>
      <w:spacing w:before="100" w:beforeAutospacing="1" w:after="100" w:afterAutospacing="1" w:line="240" w:lineRule="auto"/>
    </w:pPr>
    <w:rPr>
      <w:rFonts w:ascii="Times New Roman" w:hAnsi="Times New Roman" w:cs="Times New Roman"/>
      <w:kern w:val="0"/>
      <w14:ligatures w14:val="none"/>
    </w:rPr>
  </w:style>
  <w:style w:type="character" w:styleId="Robust">
    <w:name w:val="Strong"/>
    <w:basedOn w:val="Fontdeparagrafimplicit"/>
    <w:uiPriority w:val="22"/>
    <w:qFormat/>
    <w:rsid w:val="00935EB6"/>
    <w:rPr>
      <w:b/>
      <w:bCs/>
    </w:rPr>
  </w:style>
  <w:style w:type="character" w:customStyle="1" w:styleId="apple-converted-space">
    <w:name w:val="apple-converted-space"/>
    <w:basedOn w:val="Fontdeparagrafimplicit"/>
    <w:rsid w:val="00A61FED"/>
  </w:style>
  <w:style w:type="character" w:styleId="Accentuat">
    <w:name w:val="Emphasis"/>
    <w:basedOn w:val="Fontdeparagrafimplicit"/>
    <w:uiPriority w:val="20"/>
    <w:qFormat/>
    <w:rsid w:val="00A61FED"/>
    <w:rPr>
      <w:i/>
      <w:iCs/>
    </w:rPr>
  </w:style>
  <w:style w:type="paragraph" w:styleId="Antet">
    <w:name w:val="header"/>
    <w:basedOn w:val="Normal"/>
    <w:link w:val="AntetCaracter"/>
    <w:uiPriority w:val="99"/>
    <w:unhideWhenUsed/>
    <w:rsid w:val="00D42296"/>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D42296"/>
  </w:style>
  <w:style w:type="paragraph" w:styleId="Subsol">
    <w:name w:val="footer"/>
    <w:basedOn w:val="Normal"/>
    <w:link w:val="SubsolCaracter"/>
    <w:uiPriority w:val="99"/>
    <w:unhideWhenUsed/>
    <w:rsid w:val="00D42296"/>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D42296"/>
  </w:style>
  <w:style w:type="character" w:styleId="Hyperlink">
    <w:name w:val="Hyperlink"/>
    <w:basedOn w:val="Fontdeparagrafimplicit"/>
    <w:uiPriority w:val="99"/>
    <w:unhideWhenUsed/>
    <w:rsid w:val="00C341F1"/>
    <w:rPr>
      <w:color w:val="0563C1" w:themeColor="hyperlink"/>
      <w:u w:val="single"/>
    </w:rPr>
  </w:style>
  <w:style w:type="character" w:styleId="MeniuneNerezolvat">
    <w:name w:val="Unresolved Mention"/>
    <w:basedOn w:val="Fontdeparagrafimplicit"/>
    <w:uiPriority w:val="99"/>
    <w:semiHidden/>
    <w:unhideWhenUsed/>
    <w:rsid w:val="00C341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3491</Words>
  <Characters>20250</Characters>
  <Application>Microsoft Office Word</Application>
  <DocSecurity>0</DocSecurity>
  <Lines>168</Lines>
  <Paragraphs>47</Paragraphs>
  <ScaleCrop>false</ScaleCrop>
  <Company/>
  <LinksUpToDate>false</LinksUpToDate>
  <CharactersWithSpaces>23694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Albert Mircea (2333683)</dc:creator>
  <cp:keywords/>
  <dc:description/>
  <cp:lastModifiedBy>Albert Mircea (2333683)</cp:lastModifiedBy>
  <cp:revision>2</cp:revision>
  <dcterms:created xsi:type="dcterms:W3CDTF">2026-02-13T15:31:00Z</dcterms:created>
  <dcterms:modified xsi:type="dcterms:W3CDTF">2026-02-13T15:31:00Z</dcterms:modified>
</cp:coreProperties>
</file>