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D140E8" w14:textId="59EB468A" w:rsidR="004A787B" w:rsidRDefault="004F2A46" w:rsidP="004F2A46">
      <w:pPr>
        <w:pStyle w:val="Title"/>
      </w:pPr>
      <w:r>
        <w:t xml:space="preserve"> </w:t>
      </w:r>
      <w:r w:rsidRPr="004F2A46">
        <w:t>LCLM4005 Employability and Career Development</w:t>
      </w:r>
    </w:p>
    <w:p w14:paraId="0BE4B964" w14:textId="77777777" w:rsidR="004A787B" w:rsidRDefault="004A787B" w:rsidP="004A787B"/>
    <w:p w14:paraId="4830DD99" w14:textId="77777777" w:rsidR="004A787B" w:rsidRDefault="004A787B" w:rsidP="004A787B"/>
    <w:p w14:paraId="6A2FDC49" w14:textId="77777777" w:rsidR="004A787B" w:rsidRDefault="004A787B" w:rsidP="004A787B"/>
    <w:p w14:paraId="56445BDD" w14:textId="30A75775" w:rsidR="004A787B" w:rsidRDefault="008B5FE5" w:rsidP="004A787B">
      <w:r w:rsidRPr="008B5FE5">
        <w:t>Andreea Campanu 2422711</w:t>
      </w:r>
    </w:p>
    <w:p w14:paraId="69857938" w14:textId="77777777" w:rsidR="004A787B" w:rsidRDefault="004A787B" w:rsidP="004A787B"/>
    <w:p w14:paraId="49396908" w14:textId="77777777" w:rsidR="004A787B" w:rsidRDefault="004A787B" w:rsidP="004A787B"/>
    <w:p w14:paraId="3DE62F93" w14:textId="77777777" w:rsidR="004A787B" w:rsidRDefault="004A787B" w:rsidP="004A787B"/>
    <w:p w14:paraId="3F56830A" w14:textId="77777777" w:rsidR="004A787B" w:rsidRDefault="004A787B" w:rsidP="004A787B"/>
    <w:p w14:paraId="69348C59" w14:textId="77777777" w:rsidR="004A787B" w:rsidRDefault="004A787B" w:rsidP="004A787B"/>
    <w:p w14:paraId="341A9A34" w14:textId="77777777" w:rsidR="004A787B" w:rsidRDefault="004A787B" w:rsidP="004A787B"/>
    <w:p w14:paraId="73FA1C96" w14:textId="77777777" w:rsidR="004A787B" w:rsidRDefault="004A787B" w:rsidP="004A787B"/>
    <w:p w14:paraId="6E031D90" w14:textId="77777777" w:rsidR="004F2A46" w:rsidRDefault="004F2A46" w:rsidP="004A787B"/>
    <w:p w14:paraId="66E8151E" w14:textId="77777777" w:rsidR="004F2A46" w:rsidRDefault="004F2A46" w:rsidP="004A787B"/>
    <w:p w14:paraId="5442222F" w14:textId="77777777" w:rsidR="004F2A46" w:rsidRDefault="004F2A46" w:rsidP="004A787B"/>
    <w:p w14:paraId="3CE9B875" w14:textId="77777777" w:rsidR="004F2A46" w:rsidRDefault="004F2A46" w:rsidP="004A787B"/>
    <w:p w14:paraId="20930D6F" w14:textId="77777777" w:rsidR="004F2A46" w:rsidRDefault="004F2A46" w:rsidP="004A787B"/>
    <w:p w14:paraId="2B4DE8CB" w14:textId="77777777" w:rsidR="004F2A46" w:rsidRDefault="004F2A46" w:rsidP="004A787B"/>
    <w:p w14:paraId="53FC5A61" w14:textId="77777777" w:rsidR="004A787B" w:rsidRDefault="004A787B" w:rsidP="004A787B"/>
    <w:p w14:paraId="68F92111" w14:textId="77777777" w:rsidR="004A787B" w:rsidRDefault="004A787B" w:rsidP="004A787B"/>
    <w:p w14:paraId="33F49D45" w14:textId="77777777" w:rsidR="004A787B" w:rsidRDefault="004A787B" w:rsidP="004A787B"/>
    <w:p w14:paraId="66199477" w14:textId="77777777" w:rsidR="004A787B" w:rsidRDefault="004A787B" w:rsidP="004A787B"/>
    <w:sdt>
      <w:sdtPr>
        <w:rPr>
          <w:rFonts w:ascii="Times New Roman" w:eastAsiaTheme="minorHAnsi" w:hAnsi="Times New Roman" w:cs="Times New Roman"/>
          <w:color w:val="auto"/>
          <w:kern w:val="2"/>
          <w:sz w:val="24"/>
          <w:szCs w:val="24"/>
          <w:lang w:val="en-GB"/>
          <w14:ligatures w14:val="standardContextual"/>
        </w:rPr>
        <w:id w:val="-1699159468"/>
        <w:docPartObj>
          <w:docPartGallery w:val="Table of Contents"/>
          <w:docPartUnique/>
        </w:docPartObj>
      </w:sdtPr>
      <w:sdtEndPr>
        <w:rPr>
          <w:b/>
          <w:bCs/>
          <w:noProof/>
        </w:rPr>
      </w:sdtEndPr>
      <w:sdtContent>
        <w:p w14:paraId="183552EB" w14:textId="3F161626" w:rsidR="004F2A46" w:rsidRDefault="004F2A46">
          <w:pPr>
            <w:pStyle w:val="TOCHeading"/>
          </w:pPr>
          <w:r>
            <w:t>Table of Contents</w:t>
          </w:r>
        </w:p>
        <w:p w14:paraId="5A878CD0" w14:textId="226DF008" w:rsidR="004F2A46" w:rsidRDefault="004F2A46">
          <w:pPr>
            <w:pStyle w:val="TOC1"/>
            <w:tabs>
              <w:tab w:val="right" w:leader="dot" w:pos="9016"/>
            </w:tabs>
            <w:rPr>
              <w:noProof/>
            </w:rPr>
          </w:pPr>
          <w:r>
            <w:fldChar w:fldCharType="begin"/>
          </w:r>
          <w:r>
            <w:instrText xml:space="preserve"> TOC \o "1-3" \h \z \u </w:instrText>
          </w:r>
          <w:r>
            <w:fldChar w:fldCharType="separate"/>
          </w:r>
          <w:hyperlink w:anchor="_Toc215983959" w:history="1">
            <w:r w:rsidRPr="00C1542A">
              <w:rPr>
                <w:rStyle w:val="Hyperlink"/>
                <w:noProof/>
              </w:rPr>
              <w:t>Task 1: Job Adverts comparison</w:t>
            </w:r>
            <w:r>
              <w:rPr>
                <w:noProof/>
                <w:webHidden/>
              </w:rPr>
              <w:tab/>
            </w:r>
            <w:r>
              <w:rPr>
                <w:noProof/>
                <w:webHidden/>
              </w:rPr>
              <w:fldChar w:fldCharType="begin"/>
            </w:r>
            <w:r>
              <w:rPr>
                <w:noProof/>
                <w:webHidden/>
              </w:rPr>
              <w:instrText xml:space="preserve"> PAGEREF _Toc215983959 \h </w:instrText>
            </w:r>
            <w:r>
              <w:rPr>
                <w:noProof/>
                <w:webHidden/>
              </w:rPr>
            </w:r>
            <w:r>
              <w:rPr>
                <w:noProof/>
                <w:webHidden/>
              </w:rPr>
              <w:fldChar w:fldCharType="separate"/>
            </w:r>
            <w:r>
              <w:rPr>
                <w:noProof/>
                <w:webHidden/>
              </w:rPr>
              <w:t>3</w:t>
            </w:r>
            <w:r>
              <w:rPr>
                <w:noProof/>
                <w:webHidden/>
              </w:rPr>
              <w:fldChar w:fldCharType="end"/>
            </w:r>
          </w:hyperlink>
        </w:p>
        <w:p w14:paraId="1D31DBEF" w14:textId="7F4E3D69" w:rsidR="004F2A46" w:rsidRDefault="004F2A46">
          <w:pPr>
            <w:pStyle w:val="TOC1"/>
            <w:tabs>
              <w:tab w:val="right" w:leader="dot" w:pos="9016"/>
            </w:tabs>
            <w:rPr>
              <w:noProof/>
            </w:rPr>
          </w:pPr>
          <w:hyperlink w:anchor="_Toc215983960" w:history="1">
            <w:r w:rsidRPr="00C1542A">
              <w:rPr>
                <w:rStyle w:val="Hyperlink"/>
                <w:noProof/>
              </w:rPr>
              <w:t>Task 2: Self-Evaluation and Signs of Preparedness</w:t>
            </w:r>
            <w:r>
              <w:rPr>
                <w:noProof/>
                <w:webHidden/>
              </w:rPr>
              <w:tab/>
            </w:r>
            <w:r>
              <w:rPr>
                <w:noProof/>
                <w:webHidden/>
              </w:rPr>
              <w:fldChar w:fldCharType="begin"/>
            </w:r>
            <w:r>
              <w:rPr>
                <w:noProof/>
                <w:webHidden/>
              </w:rPr>
              <w:instrText xml:space="preserve"> PAGEREF _Toc215983960 \h </w:instrText>
            </w:r>
            <w:r>
              <w:rPr>
                <w:noProof/>
                <w:webHidden/>
              </w:rPr>
            </w:r>
            <w:r>
              <w:rPr>
                <w:noProof/>
                <w:webHidden/>
              </w:rPr>
              <w:fldChar w:fldCharType="separate"/>
            </w:r>
            <w:r>
              <w:rPr>
                <w:noProof/>
                <w:webHidden/>
              </w:rPr>
              <w:t>6</w:t>
            </w:r>
            <w:r>
              <w:rPr>
                <w:noProof/>
                <w:webHidden/>
              </w:rPr>
              <w:fldChar w:fldCharType="end"/>
            </w:r>
          </w:hyperlink>
        </w:p>
        <w:p w14:paraId="1CCF2788" w14:textId="287A285E" w:rsidR="004F2A46" w:rsidRDefault="004F2A46">
          <w:pPr>
            <w:pStyle w:val="TOC1"/>
            <w:tabs>
              <w:tab w:val="right" w:leader="dot" w:pos="9016"/>
            </w:tabs>
            <w:rPr>
              <w:noProof/>
            </w:rPr>
          </w:pPr>
          <w:hyperlink w:anchor="_Toc215983961" w:history="1">
            <w:r w:rsidRPr="00C1542A">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_Toc215983961 \h </w:instrText>
            </w:r>
            <w:r>
              <w:rPr>
                <w:noProof/>
                <w:webHidden/>
              </w:rPr>
            </w:r>
            <w:r>
              <w:rPr>
                <w:noProof/>
                <w:webHidden/>
              </w:rPr>
              <w:fldChar w:fldCharType="separate"/>
            </w:r>
            <w:r>
              <w:rPr>
                <w:noProof/>
                <w:webHidden/>
              </w:rPr>
              <w:t>7</w:t>
            </w:r>
            <w:r>
              <w:rPr>
                <w:noProof/>
                <w:webHidden/>
              </w:rPr>
              <w:fldChar w:fldCharType="end"/>
            </w:r>
          </w:hyperlink>
        </w:p>
        <w:p w14:paraId="522C5FBA" w14:textId="61A23356" w:rsidR="004F2A46" w:rsidRDefault="004F2A46">
          <w:pPr>
            <w:pStyle w:val="TOC1"/>
            <w:tabs>
              <w:tab w:val="right" w:leader="dot" w:pos="9016"/>
            </w:tabs>
            <w:rPr>
              <w:noProof/>
            </w:rPr>
          </w:pPr>
          <w:hyperlink w:anchor="_Toc215983962" w:history="1">
            <w:r w:rsidRPr="00C1542A">
              <w:rPr>
                <w:rStyle w:val="Hyperlink"/>
                <w:noProof/>
              </w:rPr>
              <w:t>References</w:t>
            </w:r>
            <w:r>
              <w:rPr>
                <w:noProof/>
                <w:webHidden/>
              </w:rPr>
              <w:tab/>
            </w:r>
            <w:r>
              <w:rPr>
                <w:noProof/>
                <w:webHidden/>
              </w:rPr>
              <w:fldChar w:fldCharType="begin"/>
            </w:r>
            <w:r>
              <w:rPr>
                <w:noProof/>
                <w:webHidden/>
              </w:rPr>
              <w:instrText xml:space="preserve"> PAGEREF _Toc215983962 \h </w:instrText>
            </w:r>
            <w:r>
              <w:rPr>
                <w:noProof/>
                <w:webHidden/>
              </w:rPr>
            </w:r>
            <w:r>
              <w:rPr>
                <w:noProof/>
                <w:webHidden/>
              </w:rPr>
              <w:fldChar w:fldCharType="separate"/>
            </w:r>
            <w:r>
              <w:rPr>
                <w:noProof/>
                <w:webHidden/>
              </w:rPr>
              <w:t>10</w:t>
            </w:r>
            <w:r>
              <w:rPr>
                <w:noProof/>
                <w:webHidden/>
              </w:rPr>
              <w:fldChar w:fldCharType="end"/>
            </w:r>
          </w:hyperlink>
        </w:p>
        <w:p w14:paraId="50BAC87A" w14:textId="269862E1" w:rsidR="004F2A46" w:rsidRDefault="004F2A46">
          <w:r>
            <w:rPr>
              <w:b/>
              <w:bCs/>
              <w:noProof/>
            </w:rPr>
            <w:fldChar w:fldCharType="end"/>
          </w:r>
        </w:p>
      </w:sdtContent>
    </w:sdt>
    <w:p w14:paraId="7E3D0C0A" w14:textId="77777777" w:rsidR="004A787B" w:rsidRDefault="004A787B" w:rsidP="004A787B"/>
    <w:p w14:paraId="3AAAEBC4" w14:textId="77777777" w:rsidR="004A787B" w:rsidRDefault="004A787B" w:rsidP="004A787B"/>
    <w:p w14:paraId="50286B37" w14:textId="77777777" w:rsidR="004A787B" w:rsidRDefault="004A787B" w:rsidP="004A787B"/>
    <w:p w14:paraId="2E3A10A1" w14:textId="77777777" w:rsidR="004A787B" w:rsidRDefault="004A787B" w:rsidP="004A787B"/>
    <w:p w14:paraId="095C201F" w14:textId="77777777" w:rsidR="004A787B" w:rsidRDefault="004A787B" w:rsidP="004A787B"/>
    <w:p w14:paraId="7D5DE09A" w14:textId="790E2964" w:rsidR="004F2A46" w:rsidRDefault="00934DD1" w:rsidP="004F2A46">
      <w:pPr>
        <w:pStyle w:val="Heading1"/>
      </w:pPr>
      <w:r>
        <w:lastRenderedPageBreak/>
        <w:t xml:space="preserve"> </w:t>
      </w:r>
      <w:bookmarkStart w:id="0" w:name="_Toc215983959"/>
      <w:r w:rsidR="004F2A46">
        <w:t>Task 1: Job Adverts comparison</w:t>
      </w:r>
      <w:bookmarkEnd w:id="0"/>
      <w:r w:rsidR="004F2A46">
        <w:t xml:space="preserve">  </w:t>
      </w:r>
    </w:p>
    <w:p w14:paraId="55D78AE8" w14:textId="2C04EDBE" w:rsidR="004F2A46" w:rsidRDefault="004F2A46" w:rsidP="004F2A46">
      <w:r w:rsidRPr="004F2A46">
        <w:rPr>
          <w:noProof/>
        </w:rPr>
        <w:drawing>
          <wp:inline distT="0" distB="0" distL="0" distR="0" wp14:anchorId="5421621F" wp14:editId="5BD5A09B">
            <wp:extent cx="4296375" cy="8087854"/>
            <wp:effectExtent l="0" t="0" r="9525" b="8890"/>
            <wp:docPr id="1993625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62527" name="Picture 1" descr="A screenshot of a computer&#10;&#10;AI-generated content may be incorrect."/>
                    <pic:cNvPicPr/>
                  </pic:nvPicPr>
                  <pic:blipFill>
                    <a:blip r:embed="rId5"/>
                    <a:stretch>
                      <a:fillRect/>
                    </a:stretch>
                  </pic:blipFill>
                  <pic:spPr>
                    <a:xfrm>
                      <a:off x="0" y="0"/>
                      <a:ext cx="4296375" cy="8087854"/>
                    </a:xfrm>
                    <a:prstGeom prst="rect">
                      <a:avLst/>
                    </a:prstGeom>
                  </pic:spPr>
                </pic:pic>
              </a:graphicData>
            </a:graphic>
          </wp:inline>
        </w:drawing>
      </w:r>
    </w:p>
    <w:p w14:paraId="1062CBAD" w14:textId="70D1375E" w:rsidR="004F2A46" w:rsidRDefault="004F2A46" w:rsidP="004F2A46">
      <w:r w:rsidRPr="004F2A46">
        <w:rPr>
          <w:noProof/>
        </w:rPr>
        <w:lastRenderedPageBreak/>
        <w:drawing>
          <wp:inline distT="0" distB="0" distL="0" distR="0" wp14:anchorId="25460238" wp14:editId="0540F080">
            <wp:extent cx="3858163" cy="8116433"/>
            <wp:effectExtent l="0" t="0" r="9525" b="0"/>
            <wp:docPr id="5013515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351540" name="Picture 1" descr="A screenshot of a computer&#10;&#10;AI-generated content may be incorrect."/>
                    <pic:cNvPicPr/>
                  </pic:nvPicPr>
                  <pic:blipFill>
                    <a:blip r:embed="rId6"/>
                    <a:stretch>
                      <a:fillRect/>
                    </a:stretch>
                  </pic:blipFill>
                  <pic:spPr>
                    <a:xfrm>
                      <a:off x="0" y="0"/>
                      <a:ext cx="3858163" cy="8116433"/>
                    </a:xfrm>
                    <a:prstGeom prst="rect">
                      <a:avLst/>
                    </a:prstGeom>
                  </pic:spPr>
                </pic:pic>
              </a:graphicData>
            </a:graphic>
          </wp:inline>
        </w:drawing>
      </w:r>
    </w:p>
    <w:p w14:paraId="0675EB28" w14:textId="4681699B" w:rsidR="004F2A46" w:rsidRPr="004F2A46" w:rsidRDefault="004F2A46" w:rsidP="004F2A46">
      <w:r w:rsidRPr="004F2A46">
        <w:t>https://uk.indeed.com/q-hr-project-manager-jobs.html?vjk=e49078fae28fcb9c</w:t>
      </w:r>
    </w:p>
    <w:p w14:paraId="656DEFE5" w14:textId="77777777" w:rsidR="004F2A46" w:rsidRDefault="004F2A46" w:rsidP="004F2A46">
      <w:r>
        <w:lastRenderedPageBreak/>
        <w:t>Using four job advertisements of Human resources and Project management roles, it is found that there are skill and competency requirements that are similar in all organisations. The initial advertisement, which has been shared by White Swan Data on the position of Project Manager, focuses on the skills of stakeholder management, leadership in a cross-functional team, and risk management skills along with experience in delivering technical infrastructure (APM, 2022). The second one, advertised by Wintermute Trading with HR Operations Manager, demands the understanding of HRIS maintenance, the expertise of employee lifecycle management, and regulatory compliance such as the knowledge of GDPR compliance (CIPD, 2023). The third advertisement, that of the HR Advisor at Sainsbury, gives importance to conflict resolution skills, knowledge of organisational development, and data analysis skills (Armstrong and Taylor, 2020). The fourth opportunity, provided by John Lewis Partnership of Change Project Coordinator, requires communication skills, knowledge of the process improvement, and the ability to engage the stakeholders (Turner, 2021).</w:t>
      </w:r>
    </w:p>
    <w:p w14:paraId="45991C27" w14:textId="77777777" w:rsidR="004F2A46" w:rsidRDefault="004F2A46" w:rsidP="004F2A46">
      <w:r>
        <w:t>The skills used are common in all four positions. The organisational skills are also prominent, as White Swan Data needs extraordinary organisational skills and Wintermute focuses on the performance of the process (Pinto, 2019). In both HR and project contexts, there is a need to communicate clearly and hence the consideration of communication competencies in all the adverts (Belbin, 2010). Three advertisements give focus to the importance of stakeholder management, which means it is essential in the development of relationships and cross-functional cooperation (Turner, 2021). The level of attention to detail seems to be a matter of consistency as both White Swan Data and Wintermute ask to exercise critical eye to detail and structures to minimize errors, and Wintermute insists on the correct management of the data (Lock, 2020). Problem-solving skills are cross- job skills, which proves that employers place importance on adaptive thinking and solutions development (Torrington et al., 2020).</w:t>
      </w:r>
    </w:p>
    <w:p w14:paraId="1DD9D697" w14:textId="77777777" w:rsidR="004F2A46" w:rsidRDefault="004F2A46" w:rsidP="004F2A46">
      <w:r>
        <w:t>Similar trends are exhibited in areas of knowledge. Knowledge of regulatory compliance occurs in HR-related roles, and Wintermute directly refers to GDPR and local regulations (Lewis and Sargeant, 2021). Project management approaches are also considered in project-oriented work, especially in terms of lifecycle management and resource distribution (PMI, 2021). Technology literacy is also a characteristic in a variety of adverts, White Swan Data needs business-critical infrastructure management, and Wintermute needs HRIS and ATS maintenance features (Chaffey and Ellis-Chadwick, 2019). Knowledge of data analysis is presented in three roles, and it is evident that organisations are hiring experts that can deliver actionable information using analytics (Grant, 2016).</w:t>
      </w:r>
    </w:p>
    <w:p w14:paraId="381D38CA" w14:textId="490A3134" w:rsidR="004F2A46" w:rsidRDefault="004F2A46" w:rsidP="004F2A46">
      <w:r>
        <w:lastRenderedPageBreak/>
        <w:t xml:space="preserve">These results validate that there are core competency requirements of HR and Project Management positions but that professional knowledge requires remain. The overlap enables career advancement of people in these disciplines especially when they are acquiring transferable skills. </w:t>
      </w:r>
    </w:p>
    <w:p w14:paraId="5418659D" w14:textId="56DBDC93" w:rsidR="004F2A46" w:rsidRDefault="004F2A46" w:rsidP="004F2A46">
      <w:pPr>
        <w:pStyle w:val="Heading1"/>
      </w:pPr>
      <w:bookmarkStart w:id="1" w:name="_Toc215983960"/>
      <w:r>
        <w:t>Task 2: Self-Evaluation and Signs of Preparedness</w:t>
      </w:r>
      <w:bookmarkEnd w:id="1"/>
      <w:r>
        <w:t xml:space="preserve">  </w:t>
      </w:r>
    </w:p>
    <w:p w14:paraId="46FF15C5" w14:textId="77777777" w:rsidR="004F2A46" w:rsidRDefault="004F2A46" w:rsidP="004F2A46">
      <w:r>
        <w:t>SWOT Analysis</w:t>
      </w:r>
    </w:p>
    <w:p w14:paraId="42F30952" w14:textId="77777777" w:rsidR="004F2A46" w:rsidRDefault="004F2A46" w:rsidP="004F2A46">
      <w:r>
        <w:t>The ability to communicate in English, Romanian, and Italian is considered a strength that can be used within the international business setting and managing multilateral teams (Barner-Rasmussen and Bjorkman, 2007). Practical leadership implementation at Tesco Metro Canary Wharf in the role of Graduate Trainee Store Manager can be seen through the successful implementation of a store restructuring project of up to 35, 000, and impressive 22% stock reduction (Retail Week, 2022). Academic performance has an average of 69.2% in conjunction with full-time employment and commitment, and time management skills (Tight, 2019). The experience in retail management in Marks and Spencer, Primark and Costa Coffee offer knowledge in the sector and understanding in operations (McGoldrick, 2002). Community interpreter volunteer work is a show of the social responsibility and cross-cultural competence (Cogo and Dewey, 2012).</w:t>
      </w:r>
    </w:p>
    <w:p w14:paraId="00B97811" w14:textId="77777777" w:rsidR="004F2A46" w:rsidRDefault="004F2A46" w:rsidP="004F2A46">
      <w:r>
        <w:t>The weaknesses revolve around the low status of formal HR qualification, since the existing research is on general business management and not on programmes accredited by CIPD (CIPD, 2021). Lack of project management certification is a weakness especially in the jobs that need Prince2 or Agile certification (APM, 2019). The level of digital marketing skills continues to develop with completion of the module due to the lack of opportunities to practice this skill in the current role of work in the retail sector (Chaffey and Ellis-Chadwick, 2019). Lack of exposure to strategic transformation work is limited by small-scale organisational change projects not related to store-level projects (Burnes, 2017).</w:t>
      </w:r>
    </w:p>
    <w:p w14:paraId="663FDF84" w14:textId="77777777" w:rsidR="004F2A46" w:rsidRDefault="004F2A46" w:rsidP="004F2A46">
      <w:r>
        <w:t xml:space="preserve">It can also be done through opportunities provided by Bath Spa University BA Business Studies programme completion that provides a foundation to specialist postgraduate study in HR or Project Management (QAA, 2019). Tesco Graduate Trainee scheme has carefully created career progression routes and internal development programmes (Tesco PLC, 2023). The eligibility of CIPD or APM to become a professional body would give the access to networking and access to further professional development (Chartered Management Institute, 2020). The </w:t>
      </w:r>
      <w:r>
        <w:lastRenderedPageBreak/>
        <w:t>cross-cultural work background through working internationally in Italy and the ability to speak multiple languages are well-prepared to undertake the role of global retail expansion or international project work (Cerdin and Brewster, 2014).</w:t>
      </w:r>
    </w:p>
    <w:p w14:paraId="3B6EC5C3" w14:textId="77777777" w:rsidR="004F2A46" w:rsidRDefault="004F2A46" w:rsidP="004F2A46">
      <w:r>
        <w:t>There are threats such as competitive graduate job markets where the applicants hold special postgraduate degrees or professional qualifications (High Fliers Research, 2023). The need to combine full-time work and school life with a bit of academic work leaves one with time limitations to do other professional development actions (Callender and Jackson, 2005). The process of restructuring the retail sector and digitalisation can lead to the loss of the traditional store management jobs, with the need to adjust to the new jobs (British Retail Consortium, 2022). Uncertainty in the economy also has an impact on recruitment freezes and career advancement plans within industries (Office for National Statistics, 2023).</w:t>
      </w:r>
    </w:p>
    <w:p w14:paraId="23A5A3FB" w14:textId="77777777" w:rsidR="004F2A46" w:rsidRDefault="004F2A46" w:rsidP="004F2A46">
      <w:r>
        <w:t>Evidence of Readiness</w:t>
      </w:r>
    </w:p>
    <w:p w14:paraId="24909B5E" w14:textId="77777777" w:rsidR="004F2A46" w:rsidRDefault="004F2A46" w:rsidP="004F2A46">
      <w:r>
        <w:t>There is the academic accomplishments, which evidence the level of analytical thinking and research skills by the regular performance of assignments which involve Harvard referencing and evidence-based analysis. The recent strategic management reports, organisational behaviour portfolios and marketing research projects demonstrate the capability to exercise theoretical frameworks onto the real business environment (Biggs and Tang, 2011).</w:t>
      </w:r>
    </w:p>
    <w:p w14:paraId="5AA52E0D" w14:textId="77777777" w:rsidR="004F2A46" w:rsidRDefault="004F2A46" w:rsidP="004F2A46">
      <w:r>
        <w:t>Concrete employability evidence is given through work experience. Conducting the restructure of the Tesco stores, which cost 35,000, illustrates an ability to deliver on projects, and be able to control the budget and be able to have measurable outcomes by reducing shrinkage by 22% (Grant, 2016). Supervision of the team in various retailing settings demonstrates flexibility and leadership growth (Northouse, 2018). Having a 100 percent attendance record, studying full-time means that one is reliable and committed to their profession (ACAS, 2022).</w:t>
      </w:r>
    </w:p>
    <w:p w14:paraId="0DE49ED0" w14:textId="77777777" w:rsidR="004F2A46" w:rsidRDefault="004F2A46" w:rsidP="004F2A46">
      <w:r>
        <w:t>This evaluation proves that there is strong foundation skills and definite areas of development that need a specific action so that to develop the career according to HR and Project Management goals.</w:t>
      </w:r>
    </w:p>
    <w:p w14:paraId="16AD4F3B" w14:textId="31CAA4C2" w:rsidR="004F2A46" w:rsidRDefault="004F2A46" w:rsidP="004F2A46">
      <w:pPr>
        <w:pStyle w:val="Heading1"/>
      </w:pPr>
      <w:bookmarkStart w:id="2" w:name="_Toc215983961"/>
      <w:r>
        <w:t>Task 3: Employment Goals and Personal Development Plan</w:t>
      </w:r>
      <w:bookmarkEnd w:id="2"/>
      <w:r>
        <w:t xml:space="preserve">  </w:t>
      </w:r>
    </w:p>
    <w:p w14:paraId="11C550B8" w14:textId="77777777" w:rsidR="004F2A46" w:rsidRDefault="004F2A46" w:rsidP="004F2A46">
      <w:r>
        <w:t>Short Term and Long-term Employment Objectives.</w:t>
      </w:r>
    </w:p>
    <w:p w14:paraId="59B664DB" w14:textId="77777777" w:rsidR="004F2A46" w:rsidRDefault="004F2A46" w:rsidP="004F2A46">
      <w:r>
        <w:lastRenderedPageBreak/>
        <w:t>Short-term objectives revolve around getting an HR Coordinator or Assistant Project Manager job in 12 months after undergoing a degree program. This goal would combat the shortcoming of poor specialist experience by allowing staff to have entry-level access to the selected career lines (Greenhaus et al., 2019). The position would provide an entry into the fundamental HR operations or project management at the same time establishing professional networks in these fields (Arthur and Rousseau, 2001). The objective conforms to career objectives as it forms a platform experience in people management and systematic delivery techniques, both of which are core strategies in long-term progression (Hall, 2004).</w:t>
      </w:r>
    </w:p>
    <w:p w14:paraId="4548005F" w14:textId="77777777" w:rsidR="004F2A46" w:rsidRDefault="004F2A46" w:rsidP="004F2A46">
      <w:r>
        <w:t>Long-term objectives are aimed at positions of HR Manager or Senior Project Manager within five to seven years where strategic capabilities and leadership competences have to be developed (Ulrich and Brockbank, 2005). These positions require high-level stakeholder management skills, organisational power and authority to make decisions (Drucker, 2007). Success would indicate the successful transition between the operational and strategic levels of contribution, realisation of organisational impact as well as professional acknowledgement (Schein, 1978). The dual pathway model is more flexible with regard to the specialism of HR and Project Management and is based on recognition that career interests can change based on the experience of application (Super, 1980).</w:t>
      </w:r>
    </w:p>
    <w:p w14:paraId="76431C0B" w14:textId="77777777" w:rsidR="004F2A46" w:rsidRDefault="004F2A46" w:rsidP="004F2A46">
      <w:r>
        <w:t>Such goals are important since they offer systematic continuation of present competencies to intended professional identity. The set deadlines make the process accountable and allow to measure progress against specific milestones (Locke and Latham, 2002). Goal and aspirations balance makes sure the level of motivation is high in the process of development (Deci and Ryan, 2000).</w:t>
      </w:r>
    </w:p>
    <w:p w14:paraId="0797C28B" w14:textId="77777777" w:rsidR="004F2A46" w:rsidRDefault="004F2A46" w:rsidP="004F2A46">
      <w:r>
        <w:t>Personal Development Plan</w:t>
      </w:r>
    </w:p>
    <w:p w14:paraId="640EFB60" w14:textId="77777777" w:rsidR="004F2A46" w:rsidRDefault="004F2A46" w:rsidP="004F2A46">
      <w:r>
        <w:t>In order to overcome the weakness of lack of CIPD qualification, CIPD Level 5 Associate Diploma in People Management enrolment will begin within a one-year period of the undergraduate graduation. The programme takes between 12 and 18 months to complete and part-time study and the programme can fit the job-related commitments (CIPD, 2023). It will be funded either through employer sponsorship programmes or personal investment of about 3500 pounds (CIPD, 2021). Progress assessment includes the rates of the module completion and final qualification at month 24.</w:t>
      </w:r>
    </w:p>
    <w:p w14:paraId="2DCE8A83" w14:textId="77777777" w:rsidR="004F2A46" w:rsidRDefault="004F2A46" w:rsidP="004F2A46">
      <w:r>
        <w:t xml:space="preserve">In case of the shortcoming of certification in project management, APM Project Fundamentals Qualification will be registered within three months. It is a basic qualification that involves 20 </w:t>
      </w:r>
      <w:r>
        <w:lastRenderedPageBreak/>
        <w:t>hours of study and has a price of £395, which offers an affordable entry point into methodological knowledge (APM, 2022). After the foundation, the next step will be the transition to Prince2 Foundation certification and the following 40 hours of study and 500 investment will occur during month 12 (Axelos, 2023). Some of the measurements of success are the passing of exams and gaining of credentials to add to the CV.</w:t>
      </w:r>
    </w:p>
    <w:p w14:paraId="67A487FF" w14:textId="77777777" w:rsidR="004F2A46" w:rsidRDefault="004F2A46" w:rsidP="004F2A46">
      <w:r>
        <w:t>The development of digital marketing skills will entail the completion of a course of Google Digital Garage certification in two months, which provides free online classes in modern digital practices (Google, 2023). The application possibilities will be available by volunteering to participate in digital projects under existing Tesco jobs or pro-bono work with local organisations (Ellis and Rossman, 2008). The demonstration of competency will be carried out by building a portfolio and realistic campaign execution at the end of the sixth month.</w:t>
      </w:r>
    </w:p>
    <w:p w14:paraId="1006843B" w14:textId="2E023B9F" w:rsidR="006B62EB" w:rsidRDefault="004F2A46" w:rsidP="004F2A46">
      <w:r>
        <w:t>Exposure to large-scale change projects would involve proactive search of cross-functional project opportunity in the Tesco organisation with an aim of engaging in at least two corporate-based projects annually (Kotter, 2012). Being visible to the assignment selection will be achieved by networking with project management offices and showing interest in transformation programmes (Pinto, 2019). The accumulation of experience will be gauged by the participation in projects and the collection of feedback regarding the stakeholders.</w:t>
      </w:r>
    </w:p>
    <w:p w14:paraId="0618F66C" w14:textId="77777777" w:rsidR="006B62EB" w:rsidRDefault="006B62EB" w:rsidP="00255C4B"/>
    <w:p w14:paraId="000490CF" w14:textId="77777777" w:rsidR="006B62EB" w:rsidRDefault="006B62EB" w:rsidP="00255C4B"/>
    <w:p w14:paraId="4A519A1B" w14:textId="77777777" w:rsidR="006B62EB" w:rsidRDefault="006B62EB" w:rsidP="00255C4B"/>
    <w:p w14:paraId="71416A84" w14:textId="77777777" w:rsidR="006B62EB" w:rsidRDefault="006B62EB" w:rsidP="00255C4B"/>
    <w:p w14:paraId="20FC15B2" w14:textId="77777777" w:rsidR="006B62EB" w:rsidRDefault="006B62EB" w:rsidP="00255C4B"/>
    <w:p w14:paraId="022C58C8" w14:textId="77777777" w:rsidR="006B62EB" w:rsidRDefault="006B62EB" w:rsidP="00255C4B"/>
    <w:p w14:paraId="68E954C3" w14:textId="77777777" w:rsidR="006B62EB" w:rsidRDefault="006B62EB" w:rsidP="00255C4B"/>
    <w:p w14:paraId="08468C62" w14:textId="77777777" w:rsidR="006B62EB" w:rsidRDefault="006B62EB" w:rsidP="00255C4B"/>
    <w:p w14:paraId="0F29A049" w14:textId="77777777" w:rsidR="006B62EB" w:rsidRDefault="006B62EB" w:rsidP="00255C4B"/>
    <w:p w14:paraId="75D5B5CF" w14:textId="77777777" w:rsidR="006B62EB" w:rsidRDefault="006B62EB" w:rsidP="00255C4B"/>
    <w:p w14:paraId="2AD59C40" w14:textId="77777777" w:rsidR="006B62EB" w:rsidRDefault="006B62EB" w:rsidP="00255C4B"/>
    <w:p w14:paraId="4D83A1D7" w14:textId="77777777" w:rsidR="00255C4B" w:rsidRDefault="00255C4B" w:rsidP="00255C4B">
      <w:pPr>
        <w:pStyle w:val="Heading1"/>
      </w:pPr>
      <w:bookmarkStart w:id="3" w:name="_Toc215983962"/>
      <w:r>
        <w:lastRenderedPageBreak/>
        <w:t>References</w:t>
      </w:r>
      <w:bookmarkEnd w:id="3"/>
    </w:p>
    <w:p w14:paraId="71B22C9A" w14:textId="77777777" w:rsidR="00934DD1" w:rsidRDefault="00934DD1" w:rsidP="00934DD1">
      <w:r>
        <w:t>ACAS (2022) Attendance Management. London: Advisory, Conciliation and Arbitration Service.</w:t>
      </w:r>
    </w:p>
    <w:p w14:paraId="5B6603EF" w14:textId="77777777" w:rsidR="00934DD1" w:rsidRDefault="00934DD1" w:rsidP="00934DD1">
      <w:r>
        <w:t>APM (2019) APM Body of Knowledge. 7th edn. Princes Risborough: Association for Project Management.</w:t>
      </w:r>
    </w:p>
    <w:p w14:paraId="73B1C88E" w14:textId="77777777" w:rsidR="00934DD1" w:rsidRDefault="00934DD1" w:rsidP="00934DD1">
      <w:r>
        <w:t>APM (2022) Project Management Qualifications. Princes Risborough: Association for Project Management.</w:t>
      </w:r>
    </w:p>
    <w:p w14:paraId="0667DC89" w14:textId="77777777" w:rsidR="00934DD1" w:rsidRDefault="00934DD1" w:rsidP="00934DD1">
      <w:r>
        <w:t>Armstrong, M. and Taylor, S. (2020) Armstrong's Handbook of Human Resource Management Practice. 15th edn. London: Kogan Page.</w:t>
      </w:r>
    </w:p>
    <w:p w14:paraId="59842B71" w14:textId="77777777" w:rsidR="00934DD1" w:rsidRDefault="00934DD1" w:rsidP="00934DD1">
      <w:r>
        <w:t>Arthur, M.B. and Rousseau, D.M. (2001) The Boundaryless Career: A New Employment Principle for a New Organizational Era. Oxford: Oxford University Press.</w:t>
      </w:r>
    </w:p>
    <w:p w14:paraId="3E836651" w14:textId="77777777" w:rsidR="00934DD1" w:rsidRDefault="00934DD1" w:rsidP="00934DD1">
      <w:r>
        <w:t>Axelos (2023) PRINCE2 Certification Guide. London: Axelos Global Best Practice.</w:t>
      </w:r>
    </w:p>
    <w:p w14:paraId="51F90A37" w14:textId="77777777" w:rsidR="00934DD1" w:rsidRDefault="00934DD1" w:rsidP="00934DD1">
      <w:r>
        <w:t>Barner-Rasmussen, W. and Bjorkman, I. (2007) 'Language fluency, socialization and inter-unit relationships in Chinese and Finnish subsidiaries', Management and Organization Review, 3(1), pp. 105-128.</w:t>
      </w:r>
    </w:p>
    <w:p w14:paraId="5A09C32F" w14:textId="77777777" w:rsidR="00934DD1" w:rsidRDefault="00934DD1" w:rsidP="00934DD1">
      <w:r>
        <w:t>Belbin, R.M. (2010) Management Teams: Why They Succeed or Fail. 3rd edn. Oxford: Butterworth-Heinemann.</w:t>
      </w:r>
    </w:p>
    <w:p w14:paraId="4391CECC" w14:textId="77777777" w:rsidR="00934DD1" w:rsidRDefault="00934DD1" w:rsidP="00934DD1">
      <w:r>
        <w:t>Biggs, J. and Tang, C. (2011) Teaching for Quality Learning at University. 4th edn. Maidenhead: Open University Press.</w:t>
      </w:r>
    </w:p>
    <w:p w14:paraId="4BB73117" w14:textId="77777777" w:rsidR="00934DD1" w:rsidRDefault="00934DD1" w:rsidP="00934DD1">
      <w:r>
        <w:t>British Retail Consortium (2022) The Future of Retail Employment. London: BRC.</w:t>
      </w:r>
    </w:p>
    <w:p w14:paraId="4DE3160C" w14:textId="77777777" w:rsidR="00934DD1" w:rsidRDefault="00934DD1" w:rsidP="00934DD1">
      <w:r>
        <w:t>Burnes, B. (2017) Managing Change. 7th edn. Harlow: Pearson Education.</w:t>
      </w:r>
    </w:p>
    <w:p w14:paraId="1BD1AA45" w14:textId="77777777" w:rsidR="00934DD1" w:rsidRDefault="00934DD1" w:rsidP="00934DD1">
      <w:r>
        <w:t>Callender, C. and Jackson, J. (2005) 'Does the fear of debt deter students from higher education?', Journal of Social Policy, 34(4), pp. 509-540.</w:t>
      </w:r>
    </w:p>
    <w:p w14:paraId="557DDFB9" w14:textId="77777777" w:rsidR="00934DD1" w:rsidRDefault="00934DD1" w:rsidP="00934DD1">
      <w:r>
        <w:t>Cerdin, J.L. and Brewster, C. (2014) 'Talent management and expatriation: Bridging two streams of research and practice', Journal of World Business, 49(2), pp. 245-252.</w:t>
      </w:r>
    </w:p>
    <w:p w14:paraId="58FCA10F" w14:textId="77777777" w:rsidR="00934DD1" w:rsidRDefault="00934DD1" w:rsidP="00934DD1">
      <w:r>
        <w:t>Chaffey, D. and Ellis-Chadwick, F. (2019) Digital Marketing. 7th edn. Harlow: Pearson Education.</w:t>
      </w:r>
    </w:p>
    <w:p w14:paraId="6EBBA905" w14:textId="77777777" w:rsidR="00934DD1" w:rsidRDefault="00934DD1" w:rsidP="00934DD1">
      <w:r>
        <w:lastRenderedPageBreak/>
        <w:t>Chartered Management Institute (2020) Professional Development Framework. London: CMI.</w:t>
      </w:r>
    </w:p>
    <w:p w14:paraId="30500639" w14:textId="77777777" w:rsidR="00934DD1" w:rsidRDefault="00934DD1" w:rsidP="00934DD1">
      <w:r>
        <w:t>CIPD (2021) CIPD Qualifications Handbook. London: Chartered Institute of Personnel and Development.</w:t>
      </w:r>
    </w:p>
    <w:p w14:paraId="090B97A5" w14:textId="77777777" w:rsidR="00934DD1" w:rsidRDefault="00934DD1" w:rsidP="00934DD1">
      <w:r>
        <w:t>CIPD (2023) HR Profession Map. London: Chartered Institute of Personnel and Development.</w:t>
      </w:r>
    </w:p>
    <w:p w14:paraId="1CC54DBD" w14:textId="77777777" w:rsidR="00934DD1" w:rsidRDefault="00934DD1" w:rsidP="00934DD1">
      <w:r>
        <w:t>Cogo, A. and Dewey, M. (2012) Analysing English as a Lingua Franca: A Corpus-Driven Investigation. London: Continuum.</w:t>
      </w:r>
    </w:p>
    <w:p w14:paraId="5844195C" w14:textId="77777777" w:rsidR="00934DD1" w:rsidRDefault="00934DD1" w:rsidP="00934DD1">
      <w:r>
        <w:t>Deci, E.L. and Ryan, R.M. (2000) 'The "what" and "why" of goal pursuits: Human needs and the self-determination of behavior', Psychological Inquiry, 11(4), pp. 227-268.</w:t>
      </w:r>
    </w:p>
    <w:p w14:paraId="478DC61F" w14:textId="77777777" w:rsidR="00934DD1" w:rsidRDefault="00934DD1" w:rsidP="00934DD1">
      <w:r>
        <w:t>Drucker, P.F. (2007) Management Challenges for the 21st Century. Oxford: Butterworth-Heinemann.</w:t>
      </w:r>
    </w:p>
    <w:p w14:paraId="24F67C17" w14:textId="77777777" w:rsidR="00934DD1" w:rsidRDefault="00934DD1" w:rsidP="00934DD1">
      <w:r>
        <w:t>Ellis, G.D. and Rossman, J.R. (2008) 'Creating value for participants through experience staging: Parks, recreation, and tourism in the experience industry', Journal of Park and Recreation Administration, 26(4), pp. 1-20.</w:t>
      </w:r>
    </w:p>
    <w:p w14:paraId="1F033641" w14:textId="77777777" w:rsidR="00934DD1" w:rsidRDefault="00934DD1" w:rsidP="00934DD1">
      <w:r>
        <w:t>Google (2023) Google Digital Garage. Mountain View: Google LLC.</w:t>
      </w:r>
    </w:p>
    <w:p w14:paraId="5945226B" w14:textId="77777777" w:rsidR="00934DD1" w:rsidRDefault="00934DD1" w:rsidP="00934DD1">
      <w:r>
        <w:t>Grant, R.M. (2016) Contemporary Strategy Analysis. 9th edn. Chichester: John Wiley &amp; Sons.</w:t>
      </w:r>
    </w:p>
    <w:p w14:paraId="4C4655A9" w14:textId="77777777" w:rsidR="00934DD1" w:rsidRDefault="00934DD1" w:rsidP="00934DD1">
      <w:r>
        <w:t>Greenhaus, J.H., Callanan, G.A. and Godshalk, V.M. (2019) Career Management. 5th edn. Thousand Oaks: SAGE Publications.</w:t>
      </w:r>
    </w:p>
    <w:p w14:paraId="415118B9" w14:textId="77777777" w:rsidR="00934DD1" w:rsidRDefault="00934DD1" w:rsidP="00934DD1">
      <w:r>
        <w:t>Hall, D.T. (2004) 'The protean career: A quarter-century journey', Journal of Vocational Behavior, 65(1), pp. 1-13.</w:t>
      </w:r>
    </w:p>
    <w:p w14:paraId="5F2E535D" w14:textId="77777777" w:rsidR="00934DD1" w:rsidRDefault="00934DD1" w:rsidP="00934DD1">
      <w:r>
        <w:t>High Fliers Research (2023) The Graduate Market in 2023. London: High Fliers Research.</w:t>
      </w:r>
    </w:p>
    <w:p w14:paraId="0F40EEAE" w14:textId="77777777" w:rsidR="00934DD1" w:rsidRDefault="00934DD1" w:rsidP="00934DD1">
      <w:r>
        <w:t>Kotter, J.P. (2012) Leading Change. Boston: Harvard Business Review Press.</w:t>
      </w:r>
    </w:p>
    <w:p w14:paraId="49113F29" w14:textId="77777777" w:rsidR="00934DD1" w:rsidRDefault="00934DD1" w:rsidP="00934DD1">
      <w:r>
        <w:t>Lewis, D. and Sargeant, M. (2021) Employment Law: The Essentials. 14th edn. London: CIPD Kogan Page.</w:t>
      </w:r>
    </w:p>
    <w:p w14:paraId="35B0D958" w14:textId="77777777" w:rsidR="00934DD1" w:rsidRDefault="00934DD1" w:rsidP="00934DD1">
      <w:r>
        <w:t>Lock, D. (2020) Project Management. 11th edn. Farnham: Gower Publishing.</w:t>
      </w:r>
    </w:p>
    <w:p w14:paraId="5C8EC974" w14:textId="77777777" w:rsidR="00934DD1" w:rsidRDefault="00934DD1" w:rsidP="00934DD1">
      <w:r>
        <w:t>Locke, E.A. and Latham, G.P. (2002) 'Building a practically useful theory of goal setting and task motivation', American Psychologist, 57(9), pp. 705-717.</w:t>
      </w:r>
    </w:p>
    <w:p w14:paraId="6CD341BA" w14:textId="77777777" w:rsidR="00934DD1" w:rsidRDefault="00934DD1" w:rsidP="00934DD1">
      <w:r>
        <w:t>McGoldrick, P.J. (2002) Retail Marketing. 2nd edn. Maidenhead: McGraw-Hill Education.</w:t>
      </w:r>
    </w:p>
    <w:p w14:paraId="7F8D6D8F" w14:textId="77777777" w:rsidR="00934DD1" w:rsidRDefault="00934DD1" w:rsidP="00934DD1">
      <w:r>
        <w:lastRenderedPageBreak/>
        <w:t>Northouse, P.G. (2018) Leadership: Theory and Practice. 8th edn. Thousand Oaks: SAGE Publications.</w:t>
      </w:r>
    </w:p>
    <w:p w14:paraId="6FB103DA" w14:textId="77777777" w:rsidR="00934DD1" w:rsidRDefault="00934DD1" w:rsidP="00934DD1">
      <w:r>
        <w:t>Office for National Statistics (2023) Labour Market Overview, UK. London: ONS.</w:t>
      </w:r>
    </w:p>
    <w:p w14:paraId="74EDBA9A" w14:textId="77777777" w:rsidR="00934DD1" w:rsidRDefault="00934DD1" w:rsidP="00934DD1">
      <w:r>
        <w:t>Pinto, J.K. (2019) Project Management: Achieving Competitive Advantage. 5th edn. Harlow: Pearson Education.</w:t>
      </w:r>
    </w:p>
    <w:p w14:paraId="5F1CA240" w14:textId="77777777" w:rsidR="00934DD1" w:rsidRDefault="00934DD1" w:rsidP="00934DD1">
      <w:r>
        <w:t>PMI (2021) A Guide to the Project Management Body of Knowledge (PMBOK Guide). 7th edn. Newtown Square: Project Management Institute.</w:t>
      </w:r>
    </w:p>
    <w:p w14:paraId="68895846" w14:textId="77777777" w:rsidR="00934DD1" w:rsidRDefault="00934DD1" w:rsidP="00934DD1">
      <w:r>
        <w:t>QAA (2019) Subject Benchmark Statement: Business and Management. Gloucester: Quality Assurance Agency for Higher Education.</w:t>
      </w:r>
    </w:p>
    <w:p w14:paraId="780C6C43" w14:textId="77777777" w:rsidR="00934DD1" w:rsidRDefault="00934DD1" w:rsidP="00934DD1">
      <w:r>
        <w:t>Retail Week (2022) Store Operations Best Practice Guide. London: Retail Week.</w:t>
      </w:r>
    </w:p>
    <w:p w14:paraId="0FA249B1" w14:textId="77777777" w:rsidR="00934DD1" w:rsidRDefault="00934DD1" w:rsidP="00934DD1">
      <w:r>
        <w:t>Schein, E.H. (1978) Career Dynamics: Matching Individual and Organizational Needs. Reading: Addison-Wesley.</w:t>
      </w:r>
    </w:p>
    <w:p w14:paraId="5FF1CECF" w14:textId="77777777" w:rsidR="00934DD1" w:rsidRDefault="00934DD1" w:rsidP="00934DD1">
      <w:r>
        <w:t>Storey, J. (2007) Human Resource Management: A Critical Text. 3rd edn. London: Thomson Learning.</w:t>
      </w:r>
    </w:p>
    <w:p w14:paraId="5A97CE4A" w14:textId="77777777" w:rsidR="00934DD1" w:rsidRDefault="00934DD1" w:rsidP="00934DD1">
      <w:r>
        <w:t>Super, D.E. (1980) 'A life-span, life-space approach to career development', Journal of Vocational Behavior, 16(3), pp. 282-298.</w:t>
      </w:r>
    </w:p>
    <w:p w14:paraId="0CD1C6BA" w14:textId="77777777" w:rsidR="00934DD1" w:rsidRDefault="00934DD1" w:rsidP="00934DD1">
      <w:r>
        <w:t>Tesco PLC (2023) Graduate Schemes and Early Careers. Welwyn Garden City: Tesco Stores Limited.</w:t>
      </w:r>
    </w:p>
    <w:p w14:paraId="66C178E0" w14:textId="77777777" w:rsidR="00934DD1" w:rsidRDefault="00934DD1" w:rsidP="00934DD1">
      <w:r>
        <w:t>Tight, M. (2019) Student Retention and Engagement in Higher Education. Bingley: Emerald Publishing.</w:t>
      </w:r>
    </w:p>
    <w:p w14:paraId="27472921" w14:textId="77777777" w:rsidR="00934DD1" w:rsidRDefault="00934DD1" w:rsidP="00934DD1">
      <w:r>
        <w:t>Torrington, D., Hall, L., Taylor, S. and Atkinson, C. (2020) Human Resource Management. 11th edn. Harlow: Pearson Education.</w:t>
      </w:r>
    </w:p>
    <w:p w14:paraId="7001A536" w14:textId="77777777" w:rsidR="00934DD1" w:rsidRDefault="00934DD1" w:rsidP="00934DD1">
      <w:r>
        <w:t>Turner, R. (2021) Gower Handbook of Project Management. 5th edn. London: Routledge.</w:t>
      </w:r>
    </w:p>
    <w:p w14:paraId="76B41C5D" w14:textId="0A2BFABD" w:rsidR="004A787B" w:rsidRPr="004A787B" w:rsidRDefault="00934DD1" w:rsidP="00934DD1">
      <w:r>
        <w:t>Ulrich, D. and Brockbank, W. (2005) The HR Value Proposition. Boston: Harvard Business School Press</w:t>
      </w:r>
    </w:p>
    <w:sectPr w:rsidR="004A787B" w:rsidRPr="004A78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87B"/>
    <w:rsid w:val="0005265B"/>
    <w:rsid w:val="00142D5D"/>
    <w:rsid w:val="001D6220"/>
    <w:rsid w:val="00255C4B"/>
    <w:rsid w:val="003403A6"/>
    <w:rsid w:val="00347329"/>
    <w:rsid w:val="003C5579"/>
    <w:rsid w:val="004A787B"/>
    <w:rsid w:val="004F2A46"/>
    <w:rsid w:val="005F3B2A"/>
    <w:rsid w:val="006417E2"/>
    <w:rsid w:val="006934D9"/>
    <w:rsid w:val="006B62EB"/>
    <w:rsid w:val="006E0FD7"/>
    <w:rsid w:val="006E7644"/>
    <w:rsid w:val="0071446E"/>
    <w:rsid w:val="0076244D"/>
    <w:rsid w:val="00862736"/>
    <w:rsid w:val="008A21EE"/>
    <w:rsid w:val="008B5FE5"/>
    <w:rsid w:val="008C12F3"/>
    <w:rsid w:val="00902E6D"/>
    <w:rsid w:val="00934DD1"/>
    <w:rsid w:val="00987331"/>
    <w:rsid w:val="00991D77"/>
    <w:rsid w:val="009F6E24"/>
    <w:rsid w:val="00A310BC"/>
    <w:rsid w:val="00A50DFC"/>
    <w:rsid w:val="00A77B22"/>
    <w:rsid w:val="00AF285C"/>
    <w:rsid w:val="00B2477A"/>
    <w:rsid w:val="00B72C61"/>
    <w:rsid w:val="00C304A1"/>
    <w:rsid w:val="00C86434"/>
    <w:rsid w:val="00D125EA"/>
    <w:rsid w:val="00D21D74"/>
    <w:rsid w:val="00D44EDA"/>
    <w:rsid w:val="00D53F29"/>
    <w:rsid w:val="00E037A9"/>
    <w:rsid w:val="00E90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EF72C"/>
  <w15:chartTrackingRefBased/>
  <w15:docId w15:val="{43EFD7C1-3514-4F3C-AB02-D3BCC41A1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E24"/>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4A78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8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87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87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A787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A787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787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787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787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6E24"/>
    <w:pPr>
      <w:spacing w:after="80"/>
      <w:contextualSpacing/>
    </w:pPr>
    <w:rPr>
      <w:rFonts w:eastAsiaTheme="majorEastAsia"/>
      <w:spacing w:val="-10"/>
      <w:kern w:val="28"/>
      <w:sz w:val="48"/>
      <w:szCs w:val="48"/>
    </w:rPr>
  </w:style>
  <w:style w:type="character" w:customStyle="1" w:styleId="TitleChar">
    <w:name w:val="Title Char"/>
    <w:basedOn w:val="DefaultParagraphFont"/>
    <w:link w:val="Title"/>
    <w:uiPriority w:val="10"/>
    <w:rsid w:val="009F6E24"/>
    <w:rPr>
      <w:rFonts w:ascii="Times New Roman" w:eastAsiaTheme="majorEastAsia" w:hAnsi="Times New Roman" w:cs="Times New Roman"/>
      <w:noProof/>
      <w:spacing w:val="-10"/>
      <w:kern w:val="28"/>
      <w:sz w:val="48"/>
      <w:szCs w:val="48"/>
    </w:rPr>
  </w:style>
  <w:style w:type="character" w:customStyle="1" w:styleId="Heading1Char">
    <w:name w:val="Heading 1 Char"/>
    <w:basedOn w:val="DefaultParagraphFont"/>
    <w:link w:val="Heading1"/>
    <w:uiPriority w:val="9"/>
    <w:rsid w:val="004A78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8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8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87B"/>
    <w:rPr>
      <w:rFonts w:eastAsiaTheme="majorEastAsia" w:cstheme="majorBidi"/>
      <w:i/>
      <w:iCs/>
      <w:color w:val="0F4761" w:themeColor="accent1" w:themeShade="BF"/>
      <w:sz w:val="24"/>
      <w:szCs w:val="24"/>
    </w:rPr>
  </w:style>
  <w:style w:type="character" w:customStyle="1" w:styleId="Heading5Char">
    <w:name w:val="Heading 5 Char"/>
    <w:basedOn w:val="DefaultParagraphFont"/>
    <w:link w:val="Heading5"/>
    <w:uiPriority w:val="9"/>
    <w:semiHidden/>
    <w:rsid w:val="004A787B"/>
    <w:rPr>
      <w:rFonts w:eastAsiaTheme="majorEastAsia"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4A787B"/>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4A787B"/>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4A787B"/>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4A787B"/>
    <w:rPr>
      <w:rFonts w:eastAsiaTheme="majorEastAsia" w:cstheme="majorBidi"/>
      <w:color w:val="272727" w:themeColor="text1" w:themeTint="D8"/>
      <w:sz w:val="24"/>
      <w:szCs w:val="24"/>
    </w:rPr>
  </w:style>
  <w:style w:type="paragraph" w:styleId="Subtitle">
    <w:name w:val="Subtitle"/>
    <w:basedOn w:val="Normal"/>
    <w:next w:val="Normal"/>
    <w:link w:val="SubtitleChar"/>
    <w:uiPriority w:val="11"/>
    <w:qFormat/>
    <w:rsid w:val="004A787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8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87B"/>
    <w:pPr>
      <w:spacing w:before="160"/>
      <w:jc w:val="center"/>
    </w:pPr>
    <w:rPr>
      <w:i/>
      <w:iCs/>
      <w:color w:val="404040" w:themeColor="text1" w:themeTint="BF"/>
    </w:rPr>
  </w:style>
  <w:style w:type="character" w:customStyle="1" w:styleId="QuoteChar">
    <w:name w:val="Quote Char"/>
    <w:basedOn w:val="DefaultParagraphFont"/>
    <w:link w:val="Quote"/>
    <w:uiPriority w:val="29"/>
    <w:rsid w:val="004A787B"/>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4A787B"/>
    <w:pPr>
      <w:ind w:left="720"/>
      <w:contextualSpacing/>
    </w:pPr>
  </w:style>
  <w:style w:type="character" w:styleId="IntenseEmphasis">
    <w:name w:val="Intense Emphasis"/>
    <w:basedOn w:val="DefaultParagraphFont"/>
    <w:uiPriority w:val="21"/>
    <w:qFormat/>
    <w:rsid w:val="004A787B"/>
    <w:rPr>
      <w:i/>
      <w:iCs/>
      <w:color w:val="0F4761" w:themeColor="accent1" w:themeShade="BF"/>
    </w:rPr>
  </w:style>
  <w:style w:type="paragraph" w:styleId="IntenseQuote">
    <w:name w:val="Intense Quote"/>
    <w:basedOn w:val="Normal"/>
    <w:next w:val="Normal"/>
    <w:link w:val="IntenseQuoteChar"/>
    <w:uiPriority w:val="30"/>
    <w:qFormat/>
    <w:rsid w:val="004A78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87B"/>
    <w:rPr>
      <w:rFonts w:ascii="Times New Roman" w:hAnsi="Times New Roman" w:cs="Times New Roman"/>
      <w:i/>
      <w:iCs/>
      <w:color w:val="0F4761" w:themeColor="accent1" w:themeShade="BF"/>
      <w:sz w:val="24"/>
      <w:szCs w:val="24"/>
    </w:rPr>
  </w:style>
  <w:style w:type="character" w:styleId="IntenseReference">
    <w:name w:val="Intense Reference"/>
    <w:basedOn w:val="DefaultParagraphFont"/>
    <w:uiPriority w:val="32"/>
    <w:qFormat/>
    <w:rsid w:val="004A787B"/>
    <w:rPr>
      <w:b/>
      <w:bCs/>
      <w:smallCaps/>
      <w:color w:val="0F4761" w:themeColor="accent1" w:themeShade="BF"/>
      <w:spacing w:val="5"/>
    </w:rPr>
  </w:style>
  <w:style w:type="paragraph" w:styleId="TOCHeading">
    <w:name w:val="TOC Heading"/>
    <w:basedOn w:val="Heading1"/>
    <w:next w:val="Normal"/>
    <w:uiPriority w:val="39"/>
    <w:unhideWhenUsed/>
    <w:qFormat/>
    <w:rsid w:val="004F2A46"/>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4F2A46"/>
    <w:pPr>
      <w:spacing w:after="100"/>
    </w:pPr>
  </w:style>
  <w:style w:type="character" w:styleId="Hyperlink">
    <w:name w:val="Hyperlink"/>
    <w:basedOn w:val="DefaultParagraphFont"/>
    <w:uiPriority w:val="99"/>
    <w:unhideWhenUsed/>
    <w:rsid w:val="004F2A4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00477">
      <w:bodyDiv w:val="1"/>
      <w:marLeft w:val="0"/>
      <w:marRight w:val="0"/>
      <w:marTop w:val="0"/>
      <w:marBottom w:val="0"/>
      <w:divBdr>
        <w:top w:val="none" w:sz="0" w:space="0" w:color="auto"/>
        <w:left w:val="none" w:sz="0" w:space="0" w:color="auto"/>
        <w:bottom w:val="none" w:sz="0" w:space="0" w:color="auto"/>
        <w:right w:val="none" w:sz="0" w:space="0" w:color="auto"/>
      </w:divBdr>
    </w:div>
    <w:div w:id="907233354">
      <w:bodyDiv w:val="1"/>
      <w:marLeft w:val="0"/>
      <w:marRight w:val="0"/>
      <w:marTop w:val="0"/>
      <w:marBottom w:val="0"/>
      <w:divBdr>
        <w:top w:val="none" w:sz="0" w:space="0" w:color="auto"/>
        <w:left w:val="none" w:sz="0" w:space="0" w:color="auto"/>
        <w:bottom w:val="none" w:sz="0" w:space="0" w:color="auto"/>
        <w:right w:val="none" w:sz="0" w:space="0" w:color="auto"/>
      </w:divBdr>
      <w:divsChild>
        <w:div w:id="1455754903">
          <w:marLeft w:val="0"/>
          <w:marRight w:val="0"/>
          <w:marTop w:val="0"/>
          <w:marBottom w:val="0"/>
          <w:divBdr>
            <w:top w:val="single" w:sz="2" w:space="0" w:color="auto"/>
            <w:left w:val="single" w:sz="2" w:space="0" w:color="auto"/>
            <w:bottom w:val="single" w:sz="2" w:space="0" w:color="auto"/>
            <w:right w:val="single" w:sz="2" w:space="0" w:color="auto"/>
          </w:divBdr>
          <w:divsChild>
            <w:div w:id="5752421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23117728">
      <w:bodyDiv w:val="1"/>
      <w:marLeft w:val="0"/>
      <w:marRight w:val="0"/>
      <w:marTop w:val="0"/>
      <w:marBottom w:val="0"/>
      <w:divBdr>
        <w:top w:val="none" w:sz="0" w:space="0" w:color="auto"/>
        <w:left w:val="none" w:sz="0" w:space="0" w:color="auto"/>
        <w:bottom w:val="none" w:sz="0" w:space="0" w:color="auto"/>
        <w:right w:val="none" w:sz="0" w:space="0" w:color="auto"/>
      </w:divBdr>
    </w:div>
    <w:div w:id="1300455131">
      <w:bodyDiv w:val="1"/>
      <w:marLeft w:val="0"/>
      <w:marRight w:val="0"/>
      <w:marTop w:val="0"/>
      <w:marBottom w:val="0"/>
      <w:divBdr>
        <w:top w:val="none" w:sz="0" w:space="0" w:color="auto"/>
        <w:left w:val="none" w:sz="0" w:space="0" w:color="auto"/>
        <w:bottom w:val="none" w:sz="0" w:space="0" w:color="auto"/>
        <w:right w:val="none" w:sz="0" w:space="0" w:color="auto"/>
      </w:divBdr>
    </w:div>
    <w:div w:id="1672564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264BBE-D386-4174-9F60-9F1250A31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2613</Words>
  <Characters>14898</Characters>
  <Application>Microsoft Office Word</Application>
  <DocSecurity>0</DocSecurity>
  <Lines>124</Lines>
  <Paragraphs>34</Paragraphs>
  <ScaleCrop>false</ScaleCrop>
  <Company/>
  <LinksUpToDate>false</LinksUpToDate>
  <CharactersWithSpaces>17477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dc:creator>
  <cp:keywords/>
  <dc:description/>
  <cp:lastModifiedBy>anon</cp:lastModifiedBy>
  <cp:revision>4</cp:revision>
  <dcterms:created xsi:type="dcterms:W3CDTF">2025-12-07T07:09:00Z</dcterms:created>
  <dcterms:modified xsi:type="dcterms:W3CDTF">2025-12-08T10:56:00Z</dcterms:modified>
</cp:coreProperties>
</file>