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9AAD52" w14:textId="77777777" w:rsidR="00EF752B" w:rsidRDefault="00EF752B" w:rsidP="00EF752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Pr="008303CF">
        <w:rPr>
          <w:b/>
          <w:bCs/>
          <w:noProof/>
          <w:sz w:val="48"/>
          <w:szCs w:val="48"/>
        </w:rPr>
        <w:drawing>
          <wp:inline distT="0" distB="0" distL="0" distR="0" wp14:anchorId="792DAA5B" wp14:editId="67ED4BEF">
            <wp:extent cx="4241165" cy="1143000"/>
            <wp:effectExtent l="0" t="0" r="6985" b="0"/>
            <wp:docPr id="10019002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55864" cy="1146961"/>
                    </a:xfrm>
                    <a:prstGeom prst="rect">
                      <a:avLst/>
                    </a:prstGeom>
                    <a:noFill/>
                    <a:ln>
                      <a:noFill/>
                    </a:ln>
                  </pic:spPr>
                </pic:pic>
              </a:graphicData>
            </a:graphic>
          </wp:inline>
        </w:drawing>
      </w:r>
    </w:p>
    <w:p w14:paraId="59F7FB6E" w14:textId="77777777" w:rsidR="00EF752B" w:rsidRPr="004378B8" w:rsidRDefault="00EF752B" w:rsidP="00EF752B">
      <w:pPr>
        <w:spacing w:line="360" w:lineRule="auto"/>
        <w:jc w:val="both"/>
        <w:rPr>
          <w:rFonts w:ascii="Times New Roman" w:hAnsi="Times New Roman" w:cs="Times New Roman"/>
          <w:b/>
          <w:bCs/>
          <w:sz w:val="36"/>
          <w:szCs w:val="36"/>
        </w:rPr>
      </w:pPr>
      <w:r>
        <w:rPr>
          <w:rFonts w:ascii="Times New Roman" w:hAnsi="Times New Roman" w:cs="Times New Roman"/>
          <w:b/>
          <w:bCs/>
          <w:sz w:val="36"/>
          <w:szCs w:val="36"/>
        </w:rPr>
        <w:t xml:space="preserve">                 </w:t>
      </w:r>
      <w:r w:rsidRPr="004378B8">
        <w:rPr>
          <w:rFonts w:ascii="Times New Roman" w:hAnsi="Times New Roman" w:cs="Times New Roman"/>
          <w:b/>
          <w:bCs/>
          <w:sz w:val="40"/>
          <w:szCs w:val="40"/>
        </w:rPr>
        <w:t>Master of Business Administration</w:t>
      </w:r>
    </w:p>
    <w:p w14:paraId="1975803B" w14:textId="77777777" w:rsidR="00EF752B" w:rsidRDefault="00EF752B" w:rsidP="00EF752B">
      <w:pPr>
        <w:spacing w:line="360" w:lineRule="auto"/>
        <w:jc w:val="both"/>
        <w:rPr>
          <w:rFonts w:ascii="Times New Roman" w:hAnsi="Times New Roman" w:cs="Times New Roman"/>
          <w:b/>
          <w:bCs/>
          <w:sz w:val="24"/>
          <w:szCs w:val="24"/>
        </w:rPr>
      </w:pPr>
    </w:p>
    <w:p w14:paraId="4BC52608" w14:textId="77777777" w:rsidR="00EF752B" w:rsidRDefault="00EF752B" w:rsidP="00EF752B">
      <w:pPr>
        <w:spacing w:line="360" w:lineRule="auto"/>
        <w:jc w:val="both"/>
        <w:rPr>
          <w:rFonts w:ascii="Times New Roman" w:hAnsi="Times New Roman" w:cs="Times New Roman"/>
          <w:b/>
          <w:bCs/>
          <w:sz w:val="24"/>
          <w:szCs w:val="24"/>
        </w:rPr>
      </w:pPr>
    </w:p>
    <w:p w14:paraId="6550EF80" w14:textId="77777777" w:rsidR="00EF752B" w:rsidRPr="00392899" w:rsidRDefault="00EF752B" w:rsidP="00EF752B">
      <w:pPr>
        <w:spacing w:line="360" w:lineRule="auto"/>
        <w:jc w:val="both"/>
        <w:rPr>
          <w:rFonts w:ascii="Times New Roman" w:hAnsi="Times New Roman" w:cs="Times New Roman"/>
          <w:b/>
          <w:bCs/>
          <w:sz w:val="28"/>
          <w:szCs w:val="28"/>
        </w:rPr>
      </w:pPr>
      <w:r w:rsidRPr="00392899">
        <w:rPr>
          <w:rFonts w:ascii="Times New Roman" w:hAnsi="Times New Roman" w:cs="Times New Roman"/>
          <w:b/>
          <w:bCs/>
          <w:sz w:val="28"/>
          <w:szCs w:val="28"/>
        </w:rPr>
        <w:t xml:space="preserve">Moodle Name: </w:t>
      </w:r>
      <w:r w:rsidRPr="00890C3C">
        <w:rPr>
          <w:rFonts w:ascii="Times New Roman" w:hAnsi="Times New Roman" w:cs="Times New Roman"/>
          <w:b/>
          <w:bCs/>
          <w:sz w:val="28"/>
          <w:szCs w:val="28"/>
        </w:rPr>
        <w:t>Strategic Management</w:t>
      </w:r>
    </w:p>
    <w:p w14:paraId="6D00DF3C" w14:textId="77777777" w:rsidR="00EF752B" w:rsidRPr="00392899" w:rsidRDefault="00EF752B" w:rsidP="00EF752B">
      <w:pPr>
        <w:spacing w:line="360" w:lineRule="auto"/>
        <w:jc w:val="both"/>
        <w:rPr>
          <w:rFonts w:ascii="Times New Roman" w:hAnsi="Times New Roman" w:cs="Times New Roman"/>
          <w:b/>
          <w:bCs/>
          <w:sz w:val="28"/>
          <w:szCs w:val="28"/>
        </w:rPr>
      </w:pPr>
      <w:r w:rsidRPr="00392899">
        <w:rPr>
          <w:rFonts w:ascii="Times New Roman" w:hAnsi="Times New Roman" w:cs="Times New Roman"/>
          <w:b/>
          <w:bCs/>
          <w:sz w:val="28"/>
          <w:szCs w:val="28"/>
        </w:rPr>
        <w:t xml:space="preserve">Moodle Code: </w:t>
      </w:r>
      <w:r w:rsidRPr="00890C3C">
        <w:rPr>
          <w:rFonts w:ascii="Times New Roman" w:hAnsi="Times New Roman" w:cs="Times New Roman"/>
          <w:b/>
          <w:bCs/>
          <w:sz w:val="28"/>
          <w:szCs w:val="28"/>
        </w:rPr>
        <w:t>LCMB7003</w:t>
      </w:r>
    </w:p>
    <w:p w14:paraId="5580E38D" w14:textId="3D5F64A2" w:rsidR="00EF752B" w:rsidRDefault="00EF752B" w:rsidP="00EF752B">
      <w:pPr>
        <w:spacing w:line="360" w:lineRule="auto"/>
        <w:rPr>
          <w:rFonts w:ascii="Times New Roman" w:hAnsi="Times New Roman" w:cs="Times New Roman"/>
          <w:b/>
          <w:bCs/>
          <w:sz w:val="28"/>
          <w:szCs w:val="28"/>
        </w:rPr>
      </w:pPr>
      <w:r w:rsidRPr="00392899">
        <w:rPr>
          <w:rFonts w:ascii="Times New Roman" w:hAnsi="Times New Roman" w:cs="Times New Roman"/>
          <w:b/>
          <w:bCs/>
          <w:sz w:val="28"/>
          <w:szCs w:val="28"/>
        </w:rPr>
        <w:t>Title Of the Assignment</w:t>
      </w:r>
      <w:r>
        <w:rPr>
          <w:rFonts w:ascii="Times New Roman" w:hAnsi="Times New Roman" w:cs="Times New Roman"/>
          <w:b/>
          <w:bCs/>
          <w:sz w:val="28"/>
          <w:szCs w:val="28"/>
        </w:rPr>
        <w:t xml:space="preserve">: </w:t>
      </w:r>
      <w:r w:rsidRPr="00FD48FD">
        <w:rPr>
          <w:rFonts w:ascii="Times New Roman" w:hAnsi="Times New Roman" w:cs="Times New Roman"/>
          <w:b/>
          <w:bCs/>
          <w:sz w:val="28"/>
          <w:szCs w:val="28"/>
        </w:rPr>
        <w:t xml:space="preserve">Strategic Expansion of </w:t>
      </w:r>
      <w:r w:rsidR="00FB0E95">
        <w:rPr>
          <w:rFonts w:ascii="Times New Roman" w:hAnsi="Times New Roman" w:cs="Times New Roman"/>
          <w:b/>
          <w:bCs/>
          <w:sz w:val="28"/>
          <w:szCs w:val="28"/>
        </w:rPr>
        <w:t>Greggs</w:t>
      </w:r>
      <w:r w:rsidRPr="00FD48FD">
        <w:rPr>
          <w:rFonts w:ascii="Times New Roman" w:hAnsi="Times New Roman" w:cs="Times New Roman"/>
          <w:b/>
          <w:bCs/>
          <w:sz w:val="28"/>
          <w:szCs w:val="28"/>
        </w:rPr>
        <w:t xml:space="preserve"> into the Indian</w:t>
      </w:r>
      <w:r w:rsidR="00FB0E95">
        <w:rPr>
          <w:rFonts w:ascii="Times New Roman" w:hAnsi="Times New Roman" w:cs="Times New Roman"/>
          <w:b/>
          <w:bCs/>
          <w:sz w:val="28"/>
          <w:szCs w:val="28"/>
        </w:rPr>
        <w:t xml:space="preserve"> Food</w:t>
      </w:r>
      <w:r w:rsidRPr="00FD48FD">
        <w:rPr>
          <w:rFonts w:ascii="Times New Roman" w:hAnsi="Times New Roman" w:cs="Times New Roman"/>
          <w:b/>
          <w:bCs/>
          <w:sz w:val="28"/>
          <w:szCs w:val="28"/>
        </w:rPr>
        <w:t xml:space="preserve"> Market</w:t>
      </w:r>
    </w:p>
    <w:p w14:paraId="4CA681A5" w14:textId="77777777" w:rsidR="00EF752B" w:rsidRPr="00392899" w:rsidRDefault="00EF752B" w:rsidP="00EF752B">
      <w:pPr>
        <w:spacing w:line="360" w:lineRule="auto"/>
        <w:rPr>
          <w:rFonts w:ascii="Times New Roman" w:hAnsi="Times New Roman" w:cs="Times New Roman"/>
          <w:b/>
          <w:bCs/>
          <w:sz w:val="28"/>
          <w:szCs w:val="28"/>
        </w:rPr>
      </w:pPr>
      <w:r w:rsidRPr="00392899">
        <w:rPr>
          <w:rFonts w:ascii="Times New Roman" w:hAnsi="Times New Roman" w:cs="Times New Roman"/>
          <w:b/>
          <w:bCs/>
          <w:sz w:val="28"/>
          <w:szCs w:val="28"/>
        </w:rPr>
        <w:t>Student Name: Vishwesh Anam</w:t>
      </w:r>
    </w:p>
    <w:p w14:paraId="2AC88696" w14:textId="77777777" w:rsidR="00EF752B" w:rsidRPr="00392899" w:rsidRDefault="00EF752B" w:rsidP="00EF752B">
      <w:pPr>
        <w:spacing w:line="360" w:lineRule="auto"/>
        <w:jc w:val="both"/>
        <w:rPr>
          <w:rFonts w:ascii="Times New Roman" w:hAnsi="Times New Roman" w:cs="Times New Roman"/>
          <w:b/>
          <w:bCs/>
          <w:sz w:val="28"/>
          <w:szCs w:val="28"/>
        </w:rPr>
      </w:pPr>
      <w:r w:rsidRPr="00392899">
        <w:rPr>
          <w:rFonts w:ascii="Times New Roman" w:hAnsi="Times New Roman" w:cs="Times New Roman"/>
          <w:b/>
          <w:bCs/>
          <w:sz w:val="28"/>
          <w:szCs w:val="28"/>
        </w:rPr>
        <w:t>Student ID: 2330742</w:t>
      </w:r>
    </w:p>
    <w:p w14:paraId="69DFF4B1" w14:textId="5660F03F" w:rsidR="00EF752B" w:rsidRPr="00392899" w:rsidRDefault="00EF752B" w:rsidP="00EF752B">
      <w:pPr>
        <w:spacing w:line="360" w:lineRule="auto"/>
        <w:jc w:val="both"/>
        <w:rPr>
          <w:rFonts w:ascii="Times New Roman" w:hAnsi="Times New Roman" w:cs="Times New Roman"/>
          <w:b/>
          <w:bCs/>
          <w:sz w:val="28"/>
          <w:szCs w:val="28"/>
        </w:rPr>
      </w:pPr>
      <w:r w:rsidRPr="00392899">
        <w:rPr>
          <w:rFonts w:ascii="Times New Roman" w:hAnsi="Times New Roman" w:cs="Times New Roman"/>
          <w:b/>
          <w:bCs/>
          <w:sz w:val="28"/>
          <w:szCs w:val="28"/>
        </w:rPr>
        <w:t xml:space="preserve">Name of the Lecturer: </w:t>
      </w:r>
      <w:r>
        <w:rPr>
          <w:rFonts w:ascii="Times New Roman" w:hAnsi="Times New Roman" w:cs="Times New Roman"/>
          <w:b/>
          <w:bCs/>
          <w:sz w:val="28"/>
          <w:szCs w:val="28"/>
        </w:rPr>
        <w:t xml:space="preserve">Dr </w:t>
      </w:r>
      <w:r w:rsidR="0060640E">
        <w:rPr>
          <w:rFonts w:ascii="Times New Roman" w:hAnsi="Times New Roman" w:cs="Times New Roman"/>
          <w:b/>
          <w:bCs/>
          <w:sz w:val="28"/>
          <w:szCs w:val="28"/>
        </w:rPr>
        <w:t>Jaya Gopalakrishnan</w:t>
      </w:r>
    </w:p>
    <w:p w14:paraId="4FBB2016" w14:textId="77777777" w:rsidR="00EF752B" w:rsidRDefault="00EF752B" w:rsidP="00EF752B">
      <w:pPr>
        <w:spacing w:line="360" w:lineRule="auto"/>
        <w:jc w:val="both"/>
        <w:rPr>
          <w:rFonts w:ascii="Times New Roman" w:hAnsi="Times New Roman" w:cs="Times New Roman"/>
          <w:b/>
          <w:bCs/>
          <w:sz w:val="28"/>
          <w:szCs w:val="28"/>
        </w:rPr>
      </w:pPr>
      <w:r w:rsidRPr="00392899">
        <w:rPr>
          <w:rFonts w:ascii="Times New Roman" w:hAnsi="Times New Roman" w:cs="Times New Roman"/>
          <w:b/>
          <w:bCs/>
          <w:sz w:val="28"/>
          <w:szCs w:val="28"/>
        </w:rPr>
        <w:t xml:space="preserve">Date of Submission: </w:t>
      </w:r>
      <w:r w:rsidRPr="00890C3C">
        <w:rPr>
          <w:rFonts w:ascii="Times New Roman" w:hAnsi="Times New Roman" w:cs="Times New Roman"/>
          <w:b/>
          <w:bCs/>
          <w:sz w:val="28"/>
          <w:szCs w:val="28"/>
        </w:rPr>
        <w:t>22nd December 2025</w:t>
      </w:r>
    </w:p>
    <w:p w14:paraId="58CADA83" w14:textId="77777777" w:rsidR="00EF752B" w:rsidRPr="00392899" w:rsidRDefault="00EF752B" w:rsidP="00EF752B">
      <w:pPr>
        <w:spacing w:line="360" w:lineRule="auto"/>
        <w:jc w:val="both"/>
        <w:rPr>
          <w:rFonts w:ascii="Times New Roman" w:hAnsi="Times New Roman" w:cs="Times New Roman"/>
          <w:b/>
          <w:bCs/>
          <w:sz w:val="28"/>
          <w:szCs w:val="28"/>
        </w:rPr>
      </w:pPr>
      <w:r w:rsidRPr="00392899">
        <w:rPr>
          <w:rFonts w:ascii="Times New Roman" w:hAnsi="Times New Roman" w:cs="Times New Roman"/>
          <w:b/>
          <w:bCs/>
          <w:sz w:val="28"/>
          <w:szCs w:val="28"/>
        </w:rPr>
        <w:t>Word Count:</w:t>
      </w:r>
      <w:r>
        <w:rPr>
          <w:rFonts w:ascii="Times New Roman" w:hAnsi="Times New Roman" w:cs="Times New Roman"/>
          <w:b/>
          <w:bCs/>
          <w:sz w:val="28"/>
          <w:szCs w:val="28"/>
        </w:rPr>
        <w:t xml:space="preserve"> 4800</w:t>
      </w:r>
    </w:p>
    <w:p w14:paraId="695E6B61" w14:textId="77777777" w:rsidR="00EF752B" w:rsidRDefault="00EF752B" w:rsidP="00936FE6">
      <w:pPr>
        <w:spacing w:line="360" w:lineRule="auto"/>
        <w:jc w:val="center"/>
        <w:rPr>
          <w:rFonts w:ascii="Times New Roman" w:hAnsi="Times New Roman" w:cs="Times New Roman"/>
          <w:b/>
          <w:bCs/>
          <w:sz w:val="32"/>
          <w:szCs w:val="32"/>
        </w:rPr>
      </w:pPr>
    </w:p>
    <w:p w14:paraId="4E8D149F" w14:textId="77777777" w:rsidR="00EF752B" w:rsidRDefault="00EF752B" w:rsidP="00936FE6">
      <w:pPr>
        <w:spacing w:line="360" w:lineRule="auto"/>
        <w:jc w:val="center"/>
        <w:rPr>
          <w:rFonts w:ascii="Times New Roman" w:hAnsi="Times New Roman" w:cs="Times New Roman"/>
          <w:b/>
          <w:bCs/>
          <w:sz w:val="32"/>
          <w:szCs w:val="32"/>
        </w:rPr>
      </w:pPr>
    </w:p>
    <w:p w14:paraId="5C865B61" w14:textId="77777777" w:rsidR="00EF752B" w:rsidRDefault="00EF752B" w:rsidP="00936FE6">
      <w:pPr>
        <w:spacing w:line="360" w:lineRule="auto"/>
        <w:jc w:val="center"/>
        <w:rPr>
          <w:rFonts w:ascii="Times New Roman" w:hAnsi="Times New Roman" w:cs="Times New Roman"/>
          <w:b/>
          <w:bCs/>
          <w:sz w:val="32"/>
          <w:szCs w:val="32"/>
        </w:rPr>
      </w:pPr>
    </w:p>
    <w:p w14:paraId="408F38DE" w14:textId="77777777" w:rsidR="00EF752B" w:rsidRDefault="00EF752B" w:rsidP="00936FE6">
      <w:pPr>
        <w:spacing w:line="360" w:lineRule="auto"/>
        <w:jc w:val="center"/>
        <w:rPr>
          <w:rFonts w:ascii="Times New Roman" w:hAnsi="Times New Roman" w:cs="Times New Roman"/>
          <w:b/>
          <w:bCs/>
          <w:sz w:val="32"/>
          <w:szCs w:val="32"/>
        </w:rPr>
      </w:pPr>
    </w:p>
    <w:p w14:paraId="09AC193D" w14:textId="77777777" w:rsidR="00EF752B" w:rsidRDefault="00EF752B" w:rsidP="00936FE6">
      <w:pPr>
        <w:spacing w:line="360" w:lineRule="auto"/>
        <w:jc w:val="center"/>
        <w:rPr>
          <w:rFonts w:ascii="Times New Roman" w:hAnsi="Times New Roman" w:cs="Times New Roman"/>
          <w:b/>
          <w:bCs/>
          <w:sz w:val="32"/>
          <w:szCs w:val="32"/>
        </w:rPr>
      </w:pPr>
    </w:p>
    <w:p w14:paraId="48DE0260" w14:textId="77777777" w:rsidR="00EF752B" w:rsidRDefault="00EF752B" w:rsidP="00936FE6">
      <w:pPr>
        <w:spacing w:line="360" w:lineRule="auto"/>
        <w:jc w:val="center"/>
        <w:rPr>
          <w:rFonts w:ascii="Times New Roman" w:hAnsi="Times New Roman" w:cs="Times New Roman"/>
          <w:b/>
          <w:bCs/>
          <w:sz w:val="32"/>
          <w:szCs w:val="32"/>
        </w:rPr>
      </w:pPr>
    </w:p>
    <w:p w14:paraId="7E847005" w14:textId="67EB4C61" w:rsidR="00EF752B" w:rsidRDefault="00EF752B" w:rsidP="00936FE6">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lastRenderedPageBreak/>
        <w:t>Table Of Contents</w:t>
      </w:r>
    </w:p>
    <w:tbl>
      <w:tblPr>
        <w:tblStyle w:val="TableGrid"/>
        <w:tblW w:w="0" w:type="auto"/>
        <w:tblLook w:val="04A0" w:firstRow="1" w:lastRow="0" w:firstColumn="1" w:lastColumn="0" w:noHBand="0" w:noVBand="1"/>
      </w:tblPr>
      <w:tblGrid>
        <w:gridCol w:w="7933"/>
        <w:gridCol w:w="1083"/>
      </w:tblGrid>
      <w:tr w:rsidR="00EF752B" w:rsidRPr="00EF752B" w14:paraId="31378641" w14:textId="77777777" w:rsidTr="00EF752B">
        <w:trPr>
          <w:trHeight w:val="558"/>
        </w:trPr>
        <w:tc>
          <w:tcPr>
            <w:tcW w:w="7933" w:type="dxa"/>
          </w:tcPr>
          <w:p w14:paraId="3623F422" w14:textId="5AA0174A" w:rsidR="00EF752B" w:rsidRPr="00EF752B" w:rsidRDefault="00EF752B" w:rsidP="00251397">
            <w:pPr>
              <w:spacing w:line="360" w:lineRule="auto"/>
              <w:rPr>
                <w:rFonts w:ascii="Times New Roman" w:hAnsi="Times New Roman" w:cs="Times New Roman"/>
                <w:b/>
                <w:bCs/>
                <w:sz w:val="24"/>
                <w:szCs w:val="24"/>
              </w:rPr>
            </w:pPr>
            <w:r>
              <w:rPr>
                <w:rFonts w:ascii="Times New Roman" w:hAnsi="Times New Roman" w:cs="Times New Roman"/>
                <w:b/>
                <w:bCs/>
                <w:sz w:val="24"/>
                <w:szCs w:val="24"/>
              </w:rPr>
              <w:t>Title</w:t>
            </w:r>
          </w:p>
        </w:tc>
        <w:tc>
          <w:tcPr>
            <w:tcW w:w="1083" w:type="dxa"/>
          </w:tcPr>
          <w:p w14:paraId="1C59845C" w14:textId="254C455F" w:rsidR="00EF752B" w:rsidRPr="00EF752B" w:rsidRDefault="00EF752B" w:rsidP="00251397">
            <w:pPr>
              <w:spacing w:line="360" w:lineRule="auto"/>
              <w:rPr>
                <w:rFonts w:ascii="Times New Roman" w:hAnsi="Times New Roman" w:cs="Times New Roman"/>
                <w:b/>
                <w:bCs/>
                <w:sz w:val="24"/>
                <w:szCs w:val="24"/>
              </w:rPr>
            </w:pPr>
            <w:r>
              <w:rPr>
                <w:rFonts w:ascii="Times New Roman" w:hAnsi="Times New Roman" w:cs="Times New Roman"/>
                <w:b/>
                <w:bCs/>
                <w:sz w:val="24"/>
                <w:szCs w:val="24"/>
              </w:rPr>
              <w:t>Page No</w:t>
            </w:r>
          </w:p>
        </w:tc>
      </w:tr>
      <w:tr w:rsidR="00EF752B" w:rsidRPr="00EF752B" w14:paraId="1DFD69E2" w14:textId="77777777" w:rsidTr="00EF752B">
        <w:tc>
          <w:tcPr>
            <w:tcW w:w="7933" w:type="dxa"/>
          </w:tcPr>
          <w:p w14:paraId="3A26345F"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b/>
                <w:bCs/>
                <w:sz w:val="24"/>
                <w:szCs w:val="24"/>
              </w:rPr>
              <w:t>Introduction</w:t>
            </w:r>
          </w:p>
        </w:tc>
        <w:tc>
          <w:tcPr>
            <w:tcW w:w="1083" w:type="dxa"/>
          </w:tcPr>
          <w:p w14:paraId="66B3E24C" w14:textId="080DEE40" w:rsidR="00EF752B" w:rsidRPr="00EF752B" w:rsidRDefault="00EF752B" w:rsidP="00251397">
            <w:pPr>
              <w:spacing w:line="360" w:lineRule="auto"/>
              <w:rPr>
                <w:rFonts w:ascii="Times New Roman" w:hAnsi="Times New Roman" w:cs="Times New Roman"/>
                <w:sz w:val="24"/>
                <w:szCs w:val="24"/>
              </w:rPr>
            </w:pPr>
            <w:r>
              <w:rPr>
                <w:rFonts w:ascii="Times New Roman" w:hAnsi="Times New Roman" w:cs="Times New Roman"/>
                <w:sz w:val="24"/>
                <w:szCs w:val="24"/>
              </w:rPr>
              <w:t>3</w:t>
            </w:r>
          </w:p>
        </w:tc>
      </w:tr>
      <w:tr w:rsidR="00EF752B" w:rsidRPr="00EF752B" w14:paraId="7B8FDAB9" w14:textId="77777777" w:rsidTr="00EF752B">
        <w:tc>
          <w:tcPr>
            <w:tcW w:w="7933" w:type="dxa"/>
          </w:tcPr>
          <w:p w14:paraId="1DD3C8A3"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sz w:val="24"/>
                <w:szCs w:val="24"/>
              </w:rPr>
              <w:t>Background to Greggs</w:t>
            </w:r>
          </w:p>
        </w:tc>
        <w:tc>
          <w:tcPr>
            <w:tcW w:w="1083" w:type="dxa"/>
          </w:tcPr>
          <w:p w14:paraId="60C4DE45" w14:textId="68D5688D" w:rsidR="00EF752B" w:rsidRPr="00EF752B" w:rsidRDefault="00EF752B" w:rsidP="00251397">
            <w:pPr>
              <w:spacing w:line="360" w:lineRule="auto"/>
              <w:rPr>
                <w:rFonts w:ascii="Times New Roman" w:hAnsi="Times New Roman" w:cs="Times New Roman"/>
                <w:sz w:val="24"/>
                <w:szCs w:val="24"/>
              </w:rPr>
            </w:pPr>
            <w:r>
              <w:rPr>
                <w:rFonts w:ascii="Times New Roman" w:hAnsi="Times New Roman" w:cs="Times New Roman"/>
                <w:sz w:val="24"/>
                <w:szCs w:val="24"/>
              </w:rPr>
              <w:t>3</w:t>
            </w:r>
          </w:p>
        </w:tc>
      </w:tr>
      <w:tr w:rsidR="00EF752B" w:rsidRPr="00EF752B" w14:paraId="49508858" w14:textId="77777777" w:rsidTr="00EF752B">
        <w:tc>
          <w:tcPr>
            <w:tcW w:w="7933" w:type="dxa"/>
          </w:tcPr>
          <w:p w14:paraId="58C6ED5B"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sz w:val="24"/>
                <w:szCs w:val="24"/>
              </w:rPr>
              <w:t>Strategic Rationale for International Expansion</w:t>
            </w:r>
          </w:p>
        </w:tc>
        <w:tc>
          <w:tcPr>
            <w:tcW w:w="1083" w:type="dxa"/>
          </w:tcPr>
          <w:p w14:paraId="628CA987" w14:textId="7B3BBDBA" w:rsidR="00EF752B" w:rsidRPr="00EF752B" w:rsidRDefault="00EF752B" w:rsidP="00251397">
            <w:pPr>
              <w:spacing w:line="360" w:lineRule="auto"/>
              <w:rPr>
                <w:rFonts w:ascii="Times New Roman" w:hAnsi="Times New Roman" w:cs="Times New Roman"/>
                <w:sz w:val="24"/>
                <w:szCs w:val="24"/>
              </w:rPr>
            </w:pPr>
            <w:r>
              <w:rPr>
                <w:rFonts w:ascii="Times New Roman" w:hAnsi="Times New Roman" w:cs="Times New Roman"/>
                <w:sz w:val="24"/>
                <w:szCs w:val="24"/>
              </w:rPr>
              <w:t>4</w:t>
            </w:r>
          </w:p>
        </w:tc>
      </w:tr>
      <w:tr w:rsidR="00EF752B" w:rsidRPr="00EF752B" w14:paraId="2DC6A426" w14:textId="77777777" w:rsidTr="00EF752B">
        <w:tc>
          <w:tcPr>
            <w:tcW w:w="7933" w:type="dxa"/>
          </w:tcPr>
          <w:p w14:paraId="318B6BD1"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sz w:val="24"/>
                <w:szCs w:val="24"/>
              </w:rPr>
              <w:t>Purpose Scope and Structure of the Report</w:t>
            </w:r>
          </w:p>
        </w:tc>
        <w:tc>
          <w:tcPr>
            <w:tcW w:w="1083" w:type="dxa"/>
          </w:tcPr>
          <w:p w14:paraId="4CB3EE37" w14:textId="3DEA7538" w:rsidR="00EF752B" w:rsidRPr="00EF752B" w:rsidRDefault="00EF752B" w:rsidP="00251397">
            <w:pPr>
              <w:spacing w:line="360" w:lineRule="auto"/>
              <w:rPr>
                <w:rFonts w:ascii="Times New Roman" w:hAnsi="Times New Roman" w:cs="Times New Roman"/>
                <w:sz w:val="24"/>
                <w:szCs w:val="24"/>
              </w:rPr>
            </w:pPr>
            <w:r>
              <w:rPr>
                <w:rFonts w:ascii="Times New Roman" w:hAnsi="Times New Roman" w:cs="Times New Roman"/>
                <w:sz w:val="24"/>
                <w:szCs w:val="24"/>
              </w:rPr>
              <w:t>5</w:t>
            </w:r>
          </w:p>
        </w:tc>
      </w:tr>
      <w:tr w:rsidR="00EF752B" w:rsidRPr="00EF752B" w14:paraId="6CC56D20" w14:textId="77777777" w:rsidTr="00EF752B">
        <w:tc>
          <w:tcPr>
            <w:tcW w:w="7933" w:type="dxa"/>
          </w:tcPr>
          <w:p w14:paraId="38941C6C"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b/>
                <w:bCs/>
                <w:sz w:val="24"/>
                <w:szCs w:val="24"/>
              </w:rPr>
              <w:t>Section 1: Selection of Organisation and Target Market</w:t>
            </w:r>
          </w:p>
        </w:tc>
        <w:tc>
          <w:tcPr>
            <w:tcW w:w="1083" w:type="dxa"/>
          </w:tcPr>
          <w:p w14:paraId="2513342D" w14:textId="669FA781" w:rsidR="00EF752B" w:rsidRPr="00EF752B" w:rsidRDefault="00EF752B" w:rsidP="00251397">
            <w:pPr>
              <w:spacing w:line="360" w:lineRule="auto"/>
              <w:rPr>
                <w:rFonts w:ascii="Times New Roman" w:hAnsi="Times New Roman" w:cs="Times New Roman"/>
                <w:sz w:val="24"/>
                <w:szCs w:val="24"/>
              </w:rPr>
            </w:pPr>
            <w:r>
              <w:rPr>
                <w:rFonts w:ascii="Times New Roman" w:hAnsi="Times New Roman" w:cs="Times New Roman"/>
                <w:sz w:val="24"/>
                <w:szCs w:val="24"/>
              </w:rPr>
              <w:t>6</w:t>
            </w:r>
          </w:p>
        </w:tc>
      </w:tr>
      <w:tr w:rsidR="00EF752B" w:rsidRPr="00EF752B" w14:paraId="43B60FBA" w14:textId="77777777" w:rsidTr="00EF752B">
        <w:tc>
          <w:tcPr>
            <w:tcW w:w="7933" w:type="dxa"/>
          </w:tcPr>
          <w:p w14:paraId="6CF8491A"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sz w:val="24"/>
                <w:szCs w:val="24"/>
              </w:rPr>
              <w:t>1.1 Overview of Greggs</w:t>
            </w:r>
          </w:p>
        </w:tc>
        <w:tc>
          <w:tcPr>
            <w:tcW w:w="1083" w:type="dxa"/>
          </w:tcPr>
          <w:p w14:paraId="0C195A9E" w14:textId="15E9E89E" w:rsidR="00EF752B" w:rsidRPr="00EF752B" w:rsidRDefault="00EF752B" w:rsidP="00251397">
            <w:pPr>
              <w:spacing w:line="360" w:lineRule="auto"/>
              <w:rPr>
                <w:rFonts w:ascii="Times New Roman" w:hAnsi="Times New Roman" w:cs="Times New Roman"/>
                <w:sz w:val="24"/>
                <w:szCs w:val="24"/>
              </w:rPr>
            </w:pPr>
            <w:r>
              <w:rPr>
                <w:rFonts w:ascii="Times New Roman" w:hAnsi="Times New Roman" w:cs="Times New Roman"/>
                <w:sz w:val="24"/>
                <w:szCs w:val="24"/>
              </w:rPr>
              <w:t>6</w:t>
            </w:r>
          </w:p>
        </w:tc>
      </w:tr>
      <w:tr w:rsidR="00EF752B" w:rsidRPr="00EF752B" w14:paraId="6B957175" w14:textId="77777777" w:rsidTr="00EF752B">
        <w:tc>
          <w:tcPr>
            <w:tcW w:w="7933" w:type="dxa"/>
          </w:tcPr>
          <w:p w14:paraId="3A86327B"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sz w:val="24"/>
                <w:szCs w:val="24"/>
              </w:rPr>
              <w:t>1.2 Overview of the Indian Food Retail Market</w:t>
            </w:r>
          </w:p>
        </w:tc>
        <w:tc>
          <w:tcPr>
            <w:tcW w:w="1083" w:type="dxa"/>
          </w:tcPr>
          <w:p w14:paraId="494B5F57" w14:textId="498DA654" w:rsidR="00EF752B" w:rsidRPr="00EF752B" w:rsidRDefault="00EF752B" w:rsidP="00251397">
            <w:pPr>
              <w:spacing w:line="360" w:lineRule="auto"/>
              <w:rPr>
                <w:rFonts w:ascii="Times New Roman" w:hAnsi="Times New Roman" w:cs="Times New Roman"/>
                <w:sz w:val="24"/>
                <w:szCs w:val="24"/>
              </w:rPr>
            </w:pPr>
            <w:r>
              <w:rPr>
                <w:rFonts w:ascii="Times New Roman" w:hAnsi="Times New Roman" w:cs="Times New Roman"/>
                <w:sz w:val="24"/>
                <w:szCs w:val="24"/>
              </w:rPr>
              <w:t>7</w:t>
            </w:r>
          </w:p>
        </w:tc>
      </w:tr>
      <w:tr w:rsidR="00EF752B" w:rsidRPr="00EF752B" w14:paraId="54EC3981" w14:textId="77777777" w:rsidTr="00EF752B">
        <w:tc>
          <w:tcPr>
            <w:tcW w:w="7933" w:type="dxa"/>
          </w:tcPr>
          <w:p w14:paraId="5F2E8213"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sz w:val="24"/>
                <w:szCs w:val="24"/>
              </w:rPr>
              <w:t>1.3 Strategic Rationale for Selecting India</w:t>
            </w:r>
          </w:p>
        </w:tc>
        <w:tc>
          <w:tcPr>
            <w:tcW w:w="1083" w:type="dxa"/>
          </w:tcPr>
          <w:p w14:paraId="1640F463" w14:textId="5A32AF71" w:rsidR="00EF752B" w:rsidRPr="00EF752B" w:rsidRDefault="00EF752B" w:rsidP="00251397">
            <w:pPr>
              <w:spacing w:line="360" w:lineRule="auto"/>
              <w:rPr>
                <w:rFonts w:ascii="Times New Roman" w:hAnsi="Times New Roman" w:cs="Times New Roman"/>
                <w:sz w:val="24"/>
                <w:szCs w:val="24"/>
              </w:rPr>
            </w:pPr>
            <w:r>
              <w:rPr>
                <w:rFonts w:ascii="Times New Roman" w:hAnsi="Times New Roman" w:cs="Times New Roman"/>
                <w:sz w:val="24"/>
                <w:szCs w:val="24"/>
              </w:rPr>
              <w:t>8</w:t>
            </w:r>
          </w:p>
        </w:tc>
      </w:tr>
      <w:tr w:rsidR="00EF752B" w:rsidRPr="00EF752B" w14:paraId="5BA6C4CF" w14:textId="77777777" w:rsidTr="00EF752B">
        <w:tc>
          <w:tcPr>
            <w:tcW w:w="7933" w:type="dxa"/>
          </w:tcPr>
          <w:p w14:paraId="384D9511"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b/>
                <w:bCs/>
                <w:sz w:val="24"/>
                <w:szCs w:val="24"/>
              </w:rPr>
              <w:t>Section 2: Comprehensive Strategic Analysis</w:t>
            </w:r>
          </w:p>
        </w:tc>
        <w:tc>
          <w:tcPr>
            <w:tcW w:w="1083" w:type="dxa"/>
          </w:tcPr>
          <w:p w14:paraId="135C6BF8" w14:textId="65817477" w:rsidR="00EF752B" w:rsidRPr="00EF752B" w:rsidRDefault="00EF752B" w:rsidP="00251397">
            <w:pPr>
              <w:spacing w:line="360" w:lineRule="auto"/>
              <w:rPr>
                <w:rFonts w:ascii="Times New Roman" w:hAnsi="Times New Roman" w:cs="Times New Roman"/>
                <w:sz w:val="24"/>
                <w:szCs w:val="24"/>
              </w:rPr>
            </w:pPr>
            <w:r>
              <w:rPr>
                <w:rFonts w:ascii="Times New Roman" w:hAnsi="Times New Roman" w:cs="Times New Roman"/>
                <w:sz w:val="24"/>
                <w:szCs w:val="24"/>
              </w:rPr>
              <w:t>9</w:t>
            </w:r>
          </w:p>
        </w:tc>
      </w:tr>
      <w:tr w:rsidR="00EF752B" w:rsidRPr="00EF752B" w14:paraId="12E170C2" w14:textId="77777777" w:rsidTr="00EF752B">
        <w:tc>
          <w:tcPr>
            <w:tcW w:w="7933" w:type="dxa"/>
          </w:tcPr>
          <w:p w14:paraId="27D9307D"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sz w:val="24"/>
                <w:szCs w:val="24"/>
              </w:rPr>
              <w:t>2.1 Macro-Environmental Analysis of India (PESTLE)</w:t>
            </w:r>
          </w:p>
        </w:tc>
        <w:tc>
          <w:tcPr>
            <w:tcW w:w="1083" w:type="dxa"/>
          </w:tcPr>
          <w:p w14:paraId="5225E57B" w14:textId="325DE115" w:rsidR="00EF752B" w:rsidRPr="00EF752B" w:rsidRDefault="00EF752B" w:rsidP="00251397">
            <w:pPr>
              <w:spacing w:line="360" w:lineRule="auto"/>
              <w:rPr>
                <w:rFonts w:ascii="Times New Roman" w:hAnsi="Times New Roman" w:cs="Times New Roman"/>
                <w:sz w:val="24"/>
                <w:szCs w:val="24"/>
              </w:rPr>
            </w:pPr>
            <w:r>
              <w:rPr>
                <w:rFonts w:ascii="Times New Roman" w:hAnsi="Times New Roman" w:cs="Times New Roman"/>
                <w:sz w:val="24"/>
                <w:szCs w:val="24"/>
              </w:rPr>
              <w:t>9</w:t>
            </w:r>
          </w:p>
        </w:tc>
      </w:tr>
      <w:tr w:rsidR="00EF752B" w:rsidRPr="00EF752B" w14:paraId="17CAE5C8" w14:textId="77777777" w:rsidTr="00EF752B">
        <w:tc>
          <w:tcPr>
            <w:tcW w:w="7933" w:type="dxa"/>
          </w:tcPr>
          <w:p w14:paraId="0E12881A"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sz w:val="24"/>
                <w:szCs w:val="24"/>
              </w:rPr>
              <w:t>2.2 Industry and Competitive Analysis (Porter’s Five Forces)</w:t>
            </w:r>
          </w:p>
        </w:tc>
        <w:tc>
          <w:tcPr>
            <w:tcW w:w="1083" w:type="dxa"/>
          </w:tcPr>
          <w:p w14:paraId="77FBF3F5" w14:textId="0830E990" w:rsidR="00EF752B" w:rsidRPr="00EF752B" w:rsidRDefault="00EF752B" w:rsidP="00251397">
            <w:pPr>
              <w:spacing w:line="360" w:lineRule="auto"/>
              <w:rPr>
                <w:rFonts w:ascii="Times New Roman" w:hAnsi="Times New Roman" w:cs="Times New Roman"/>
                <w:sz w:val="24"/>
                <w:szCs w:val="24"/>
              </w:rPr>
            </w:pPr>
            <w:r>
              <w:rPr>
                <w:rFonts w:ascii="Times New Roman" w:hAnsi="Times New Roman" w:cs="Times New Roman"/>
                <w:sz w:val="24"/>
                <w:szCs w:val="24"/>
              </w:rPr>
              <w:t>11</w:t>
            </w:r>
          </w:p>
        </w:tc>
      </w:tr>
      <w:tr w:rsidR="00EF752B" w:rsidRPr="00EF752B" w14:paraId="3AB963DA" w14:textId="77777777" w:rsidTr="00EF752B">
        <w:tc>
          <w:tcPr>
            <w:tcW w:w="7933" w:type="dxa"/>
          </w:tcPr>
          <w:p w14:paraId="59745BD8"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sz w:val="24"/>
                <w:szCs w:val="24"/>
              </w:rPr>
              <w:t>2.3 Internal and Performance Analysis (SWOT)</w:t>
            </w:r>
          </w:p>
        </w:tc>
        <w:tc>
          <w:tcPr>
            <w:tcW w:w="1083" w:type="dxa"/>
          </w:tcPr>
          <w:p w14:paraId="5FF4504C" w14:textId="71973065" w:rsidR="00EF752B" w:rsidRPr="00EF752B" w:rsidRDefault="00EF752B" w:rsidP="00251397">
            <w:pPr>
              <w:spacing w:line="360" w:lineRule="auto"/>
              <w:rPr>
                <w:rFonts w:ascii="Times New Roman" w:hAnsi="Times New Roman" w:cs="Times New Roman"/>
                <w:sz w:val="24"/>
                <w:szCs w:val="24"/>
              </w:rPr>
            </w:pPr>
            <w:r>
              <w:rPr>
                <w:rFonts w:ascii="Times New Roman" w:hAnsi="Times New Roman" w:cs="Times New Roman"/>
                <w:sz w:val="24"/>
                <w:szCs w:val="24"/>
              </w:rPr>
              <w:t>12</w:t>
            </w:r>
          </w:p>
        </w:tc>
      </w:tr>
      <w:tr w:rsidR="00EF752B" w:rsidRPr="00EF752B" w14:paraId="47351BFA" w14:textId="77777777" w:rsidTr="00EF752B">
        <w:tc>
          <w:tcPr>
            <w:tcW w:w="7933" w:type="dxa"/>
          </w:tcPr>
          <w:p w14:paraId="71C1C372"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sz w:val="24"/>
                <w:szCs w:val="24"/>
              </w:rPr>
              <w:t>2.4 Strategic Insights and Implications for Greggs in India</w:t>
            </w:r>
          </w:p>
        </w:tc>
        <w:tc>
          <w:tcPr>
            <w:tcW w:w="1083" w:type="dxa"/>
          </w:tcPr>
          <w:p w14:paraId="3173EC18" w14:textId="3AFDA1F6" w:rsidR="00EF752B" w:rsidRPr="00EF752B" w:rsidRDefault="00EF752B" w:rsidP="00251397">
            <w:pPr>
              <w:spacing w:line="360" w:lineRule="auto"/>
              <w:rPr>
                <w:rFonts w:ascii="Times New Roman" w:hAnsi="Times New Roman" w:cs="Times New Roman"/>
                <w:sz w:val="24"/>
                <w:szCs w:val="24"/>
              </w:rPr>
            </w:pPr>
            <w:r>
              <w:rPr>
                <w:rFonts w:ascii="Times New Roman" w:hAnsi="Times New Roman" w:cs="Times New Roman"/>
                <w:sz w:val="24"/>
                <w:szCs w:val="24"/>
              </w:rPr>
              <w:t>13</w:t>
            </w:r>
          </w:p>
        </w:tc>
      </w:tr>
      <w:tr w:rsidR="00EF752B" w:rsidRPr="00EF752B" w14:paraId="2D2BB683" w14:textId="77777777" w:rsidTr="00EF752B">
        <w:tc>
          <w:tcPr>
            <w:tcW w:w="7933" w:type="dxa"/>
          </w:tcPr>
          <w:p w14:paraId="70CEE71D"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b/>
                <w:bCs/>
                <w:sz w:val="24"/>
                <w:szCs w:val="24"/>
              </w:rPr>
              <w:t>Section 3: Strategy Development and Formulation</w:t>
            </w:r>
          </w:p>
        </w:tc>
        <w:tc>
          <w:tcPr>
            <w:tcW w:w="1083" w:type="dxa"/>
          </w:tcPr>
          <w:p w14:paraId="4C853414" w14:textId="0E87F8D5" w:rsidR="00EF752B" w:rsidRPr="00EF752B" w:rsidRDefault="00EF752B" w:rsidP="00251397">
            <w:pPr>
              <w:spacing w:line="360" w:lineRule="auto"/>
              <w:rPr>
                <w:rFonts w:ascii="Times New Roman" w:hAnsi="Times New Roman" w:cs="Times New Roman"/>
                <w:sz w:val="24"/>
                <w:szCs w:val="24"/>
              </w:rPr>
            </w:pPr>
            <w:r>
              <w:rPr>
                <w:rFonts w:ascii="Times New Roman" w:hAnsi="Times New Roman" w:cs="Times New Roman"/>
                <w:sz w:val="24"/>
                <w:szCs w:val="24"/>
              </w:rPr>
              <w:t>14</w:t>
            </w:r>
          </w:p>
        </w:tc>
      </w:tr>
      <w:tr w:rsidR="00EF752B" w:rsidRPr="00EF752B" w14:paraId="62CA7349" w14:textId="77777777" w:rsidTr="00EF752B">
        <w:tc>
          <w:tcPr>
            <w:tcW w:w="7933" w:type="dxa"/>
          </w:tcPr>
          <w:p w14:paraId="010591DE"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sz w:val="24"/>
                <w:szCs w:val="24"/>
              </w:rPr>
              <w:t>3.1 Strategic Direction and Growth Objectives in India</w:t>
            </w:r>
          </w:p>
        </w:tc>
        <w:tc>
          <w:tcPr>
            <w:tcW w:w="1083" w:type="dxa"/>
          </w:tcPr>
          <w:p w14:paraId="4DB98FB2" w14:textId="6E4BCEBC" w:rsidR="00EF752B" w:rsidRPr="00EF752B" w:rsidRDefault="00EF752B" w:rsidP="00251397">
            <w:pPr>
              <w:spacing w:line="360" w:lineRule="auto"/>
              <w:rPr>
                <w:rFonts w:ascii="Times New Roman" w:hAnsi="Times New Roman" w:cs="Times New Roman"/>
                <w:sz w:val="24"/>
                <w:szCs w:val="24"/>
              </w:rPr>
            </w:pPr>
            <w:r>
              <w:rPr>
                <w:rFonts w:ascii="Times New Roman" w:hAnsi="Times New Roman" w:cs="Times New Roman"/>
                <w:sz w:val="24"/>
                <w:szCs w:val="24"/>
              </w:rPr>
              <w:t>14</w:t>
            </w:r>
          </w:p>
        </w:tc>
      </w:tr>
      <w:tr w:rsidR="00EF752B" w:rsidRPr="00EF752B" w14:paraId="7AB8AB8F" w14:textId="77777777" w:rsidTr="00EF752B">
        <w:tc>
          <w:tcPr>
            <w:tcW w:w="7933" w:type="dxa"/>
          </w:tcPr>
          <w:p w14:paraId="0BB591BD"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sz w:val="24"/>
                <w:szCs w:val="24"/>
              </w:rPr>
              <w:t>3.2 Strategic Growth Model Application (Ansoff Matrix)</w:t>
            </w:r>
          </w:p>
        </w:tc>
        <w:tc>
          <w:tcPr>
            <w:tcW w:w="1083" w:type="dxa"/>
          </w:tcPr>
          <w:p w14:paraId="4FA4A772" w14:textId="3D8D9825" w:rsidR="00EF752B" w:rsidRPr="00EF752B" w:rsidRDefault="00FB0E95" w:rsidP="00251397">
            <w:pPr>
              <w:spacing w:line="360" w:lineRule="auto"/>
              <w:rPr>
                <w:rFonts w:ascii="Times New Roman" w:hAnsi="Times New Roman" w:cs="Times New Roman"/>
                <w:sz w:val="24"/>
                <w:szCs w:val="24"/>
              </w:rPr>
            </w:pPr>
            <w:r>
              <w:rPr>
                <w:rFonts w:ascii="Times New Roman" w:hAnsi="Times New Roman" w:cs="Times New Roman"/>
                <w:sz w:val="24"/>
                <w:szCs w:val="24"/>
              </w:rPr>
              <w:t>15</w:t>
            </w:r>
          </w:p>
        </w:tc>
      </w:tr>
      <w:tr w:rsidR="00EF752B" w:rsidRPr="00EF752B" w14:paraId="7564396E" w14:textId="77777777" w:rsidTr="00EF752B">
        <w:tc>
          <w:tcPr>
            <w:tcW w:w="7933" w:type="dxa"/>
          </w:tcPr>
          <w:p w14:paraId="6AAC67BC"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sz w:val="24"/>
                <w:szCs w:val="24"/>
              </w:rPr>
              <w:t>3.3 Market Entry Mode Selection and Justification</w:t>
            </w:r>
          </w:p>
        </w:tc>
        <w:tc>
          <w:tcPr>
            <w:tcW w:w="1083" w:type="dxa"/>
          </w:tcPr>
          <w:p w14:paraId="731485F7" w14:textId="6E150843" w:rsidR="00EF752B" w:rsidRPr="00EF752B" w:rsidRDefault="00FB0E95" w:rsidP="00251397">
            <w:pPr>
              <w:spacing w:line="360" w:lineRule="auto"/>
              <w:rPr>
                <w:rFonts w:ascii="Times New Roman" w:hAnsi="Times New Roman" w:cs="Times New Roman"/>
                <w:sz w:val="24"/>
                <w:szCs w:val="24"/>
              </w:rPr>
            </w:pPr>
            <w:r>
              <w:rPr>
                <w:rFonts w:ascii="Times New Roman" w:hAnsi="Times New Roman" w:cs="Times New Roman"/>
                <w:sz w:val="24"/>
                <w:szCs w:val="24"/>
              </w:rPr>
              <w:t>16</w:t>
            </w:r>
          </w:p>
        </w:tc>
      </w:tr>
      <w:tr w:rsidR="00EF752B" w:rsidRPr="00EF752B" w14:paraId="7E1681B8" w14:textId="77777777" w:rsidTr="00EF752B">
        <w:tc>
          <w:tcPr>
            <w:tcW w:w="7933" w:type="dxa"/>
          </w:tcPr>
          <w:p w14:paraId="20FC35F6"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sz w:val="24"/>
                <w:szCs w:val="24"/>
              </w:rPr>
              <w:t>3.4 Competitive Positioning Strategy (Porter’s Generic Strategies)</w:t>
            </w:r>
          </w:p>
        </w:tc>
        <w:tc>
          <w:tcPr>
            <w:tcW w:w="1083" w:type="dxa"/>
          </w:tcPr>
          <w:p w14:paraId="06AEE1BB" w14:textId="4814B686" w:rsidR="00EF752B" w:rsidRPr="00EF752B" w:rsidRDefault="00FB0E95" w:rsidP="00251397">
            <w:pPr>
              <w:spacing w:line="360" w:lineRule="auto"/>
              <w:rPr>
                <w:rFonts w:ascii="Times New Roman" w:hAnsi="Times New Roman" w:cs="Times New Roman"/>
                <w:sz w:val="24"/>
                <w:szCs w:val="24"/>
              </w:rPr>
            </w:pPr>
            <w:r>
              <w:rPr>
                <w:rFonts w:ascii="Times New Roman" w:hAnsi="Times New Roman" w:cs="Times New Roman"/>
                <w:sz w:val="24"/>
                <w:szCs w:val="24"/>
              </w:rPr>
              <w:t>16</w:t>
            </w:r>
          </w:p>
        </w:tc>
      </w:tr>
      <w:tr w:rsidR="00EF752B" w:rsidRPr="00EF752B" w14:paraId="4FB0C224" w14:textId="77777777" w:rsidTr="00EF752B">
        <w:tc>
          <w:tcPr>
            <w:tcW w:w="7933" w:type="dxa"/>
          </w:tcPr>
          <w:p w14:paraId="407B784A"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sz w:val="24"/>
                <w:szCs w:val="24"/>
              </w:rPr>
              <w:t>3.5 Strategic Fit and Capability Assessment (VRIO Framework)</w:t>
            </w:r>
          </w:p>
        </w:tc>
        <w:tc>
          <w:tcPr>
            <w:tcW w:w="1083" w:type="dxa"/>
          </w:tcPr>
          <w:p w14:paraId="5BC27FE1" w14:textId="05DB3E31" w:rsidR="00EF752B" w:rsidRPr="00EF752B" w:rsidRDefault="00FB0E95" w:rsidP="00251397">
            <w:pPr>
              <w:spacing w:line="360" w:lineRule="auto"/>
              <w:rPr>
                <w:rFonts w:ascii="Times New Roman" w:hAnsi="Times New Roman" w:cs="Times New Roman"/>
                <w:sz w:val="24"/>
                <w:szCs w:val="24"/>
              </w:rPr>
            </w:pPr>
            <w:r>
              <w:rPr>
                <w:rFonts w:ascii="Times New Roman" w:hAnsi="Times New Roman" w:cs="Times New Roman"/>
                <w:sz w:val="24"/>
                <w:szCs w:val="24"/>
              </w:rPr>
              <w:t>17</w:t>
            </w:r>
          </w:p>
        </w:tc>
      </w:tr>
      <w:tr w:rsidR="00EF752B" w:rsidRPr="00EF752B" w14:paraId="0CA51732" w14:textId="77777777" w:rsidTr="00EF752B">
        <w:tc>
          <w:tcPr>
            <w:tcW w:w="7933" w:type="dxa"/>
          </w:tcPr>
          <w:p w14:paraId="4B14AC07"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sz w:val="24"/>
                <w:szCs w:val="24"/>
              </w:rPr>
              <w:t>3.6 Strategy Implementation Components</w:t>
            </w:r>
          </w:p>
        </w:tc>
        <w:tc>
          <w:tcPr>
            <w:tcW w:w="1083" w:type="dxa"/>
          </w:tcPr>
          <w:p w14:paraId="73187749" w14:textId="21DA0EC1" w:rsidR="00EF752B" w:rsidRPr="00EF752B" w:rsidRDefault="00FB0E95" w:rsidP="00251397">
            <w:pPr>
              <w:spacing w:line="360" w:lineRule="auto"/>
              <w:rPr>
                <w:rFonts w:ascii="Times New Roman" w:hAnsi="Times New Roman" w:cs="Times New Roman"/>
                <w:sz w:val="24"/>
                <w:szCs w:val="24"/>
              </w:rPr>
            </w:pPr>
            <w:r>
              <w:rPr>
                <w:rFonts w:ascii="Times New Roman" w:hAnsi="Times New Roman" w:cs="Times New Roman"/>
                <w:sz w:val="24"/>
                <w:szCs w:val="24"/>
              </w:rPr>
              <w:t>17</w:t>
            </w:r>
          </w:p>
        </w:tc>
      </w:tr>
      <w:tr w:rsidR="00EF752B" w:rsidRPr="00EF752B" w14:paraId="2ABF3A7A" w14:textId="77777777" w:rsidTr="00EF752B">
        <w:tc>
          <w:tcPr>
            <w:tcW w:w="7933" w:type="dxa"/>
          </w:tcPr>
          <w:p w14:paraId="3F4514D3"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sz w:val="24"/>
                <w:szCs w:val="24"/>
              </w:rPr>
              <w:t>3.7 Risk Analysis and Mitigation</w:t>
            </w:r>
          </w:p>
        </w:tc>
        <w:tc>
          <w:tcPr>
            <w:tcW w:w="1083" w:type="dxa"/>
          </w:tcPr>
          <w:p w14:paraId="583CACD5" w14:textId="2A83C6BA" w:rsidR="00EF752B" w:rsidRPr="00EF752B" w:rsidRDefault="00FB0E95" w:rsidP="00251397">
            <w:pPr>
              <w:spacing w:line="360" w:lineRule="auto"/>
              <w:rPr>
                <w:rFonts w:ascii="Times New Roman" w:hAnsi="Times New Roman" w:cs="Times New Roman"/>
                <w:sz w:val="24"/>
                <w:szCs w:val="24"/>
              </w:rPr>
            </w:pPr>
            <w:r>
              <w:rPr>
                <w:rFonts w:ascii="Times New Roman" w:hAnsi="Times New Roman" w:cs="Times New Roman"/>
                <w:sz w:val="24"/>
                <w:szCs w:val="24"/>
              </w:rPr>
              <w:t>18</w:t>
            </w:r>
          </w:p>
        </w:tc>
      </w:tr>
      <w:tr w:rsidR="00EF752B" w:rsidRPr="00EF752B" w14:paraId="26A1087F" w14:textId="77777777" w:rsidTr="00EF752B">
        <w:tc>
          <w:tcPr>
            <w:tcW w:w="7933" w:type="dxa"/>
          </w:tcPr>
          <w:p w14:paraId="5AC2A258"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b/>
                <w:bCs/>
                <w:sz w:val="24"/>
                <w:szCs w:val="24"/>
              </w:rPr>
              <w:t>Section 4: Performance Evaluation Framework</w:t>
            </w:r>
          </w:p>
        </w:tc>
        <w:tc>
          <w:tcPr>
            <w:tcW w:w="1083" w:type="dxa"/>
          </w:tcPr>
          <w:p w14:paraId="77DAF975" w14:textId="654AC39F" w:rsidR="00EF752B" w:rsidRPr="00EF752B" w:rsidRDefault="00FB0E95" w:rsidP="00251397">
            <w:pPr>
              <w:spacing w:line="360" w:lineRule="auto"/>
              <w:rPr>
                <w:rFonts w:ascii="Times New Roman" w:hAnsi="Times New Roman" w:cs="Times New Roman"/>
                <w:sz w:val="24"/>
                <w:szCs w:val="24"/>
              </w:rPr>
            </w:pPr>
            <w:r>
              <w:rPr>
                <w:rFonts w:ascii="Times New Roman" w:hAnsi="Times New Roman" w:cs="Times New Roman"/>
                <w:sz w:val="24"/>
                <w:szCs w:val="24"/>
              </w:rPr>
              <w:t>19</w:t>
            </w:r>
          </w:p>
        </w:tc>
      </w:tr>
      <w:tr w:rsidR="00EF752B" w:rsidRPr="00EF752B" w14:paraId="3EEA1F3A" w14:textId="77777777" w:rsidTr="00EF752B">
        <w:tc>
          <w:tcPr>
            <w:tcW w:w="7933" w:type="dxa"/>
          </w:tcPr>
          <w:p w14:paraId="0ACFC7E2"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sz w:val="24"/>
                <w:szCs w:val="24"/>
              </w:rPr>
              <w:t>4.1 Balanced Scorecard for Greggs India</w:t>
            </w:r>
          </w:p>
        </w:tc>
        <w:tc>
          <w:tcPr>
            <w:tcW w:w="1083" w:type="dxa"/>
          </w:tcPr>
          <w:p w14:paraId="6033D11D" w14:textId="22F0D58A" w:rsidR="00EF752B" w:rsidRPr="00EF752B" w:rsidRDefault="00FB0E95" w:rsidP="00251397">
            <w:pPr>
              <w:spacing w:line="360" w:lineRule="auto"/>
              <w:rPr>
                <w:rFonts w:ascii="Times New Roman" w:hAnsi="Times New Roman" w:cs="Times New Roman"/>
                <w:sz w:val="24"/>
                <w:szCs w:val="24"/>
              </w:rPr>
            </w:pPr>
            <w:r>
              <w:rPr>
                <w:rFonts w:ascii="Times New Roman" w:hAnsi="Times New Roman" w:cs="Times New Roman"/>
                <w:sz w:val="24"/>
                <w:szCs w:val="24"/>
              </w:rPr>
              <w:t>19</w:t>
            </w:r>
          </w:p>
        </w:tc>
      </w:tr>
      <w:tr w:rsidR="00EF752B" w:rsidRPr="00EF752B" w14:paraId="5BDBAE6E" w14:textId="77777777" w:rsidTr="00EF752B">
        <w:tc>
          <w:tcPr>
            <w:tcW w:w="7933" w:type="dxa"/>
          </w:tcPr>
          <w:p w14:paraId="72E3B26A"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sz w:val="24"/>
                <w:szCs w:val="24"/>
              </w:rPr>
              <w:t>4.2 Triple Bottom Line (TBL) Integration</w:t>
            </w:r>
          </w:p>
        </w:tc>
        <w:tc>
          <w:tcPr>
            <w:tcW w:w="1083" w:type="dxa"/>
          </w:tcPr>
          <w:p w14:paraId="24408FDC" w14:textId="121C9992" w:rsidR="00EF752B" w:rsidRPr="00EF752B" w:rsidRDefault="00FB0E95" w:rsidP="00251397">
            <w:pPr>
              <w:spacing w:line="360" w:lineRule="auto"/>
              <w:rPr>
                <w:rFonts w:ascii="Times New Roman" w:hAnsi="Times New Roman" w:cs="Times New Roman"/>
                <w:sz w:val="24"/>
                <w:szCs w:val="24"/>
              </w:rPr>
            </w:pPr>
            <w:r>
              <w:rPr>
                <w:rFonts w:ascii="Times New Roman" w:hAnsi="Times New Roman" w:cs="Times New Roman"/>
                <w:sz w:val="24"/>
                <w:szCs w:val="24"/>
              </w:rPr>
              <w:t>20</w:t>
            </w:r>
          </w:p>
        </w:tc>
      </w:tr>
      <w:tr w:rsidR="00EF752B" w:rsidRPr="00EF752B" w14:paraId="3909D6B3" w14:textId="77777777" w:rsidTr="00EF752B">
        <w:tc>
          <w:tcPr>
            <w:tcW w:w="7933" w:type="dxa"/>
          </w:tcPr>
          <w:p w14:paraId="32BADC2B"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sz w:val="24"/>
                <w:szCs w:val="24"/>
              </w:rPr>
              <w:t>4.3 Governance Monitoring and Control Mechanisms</w:t>
            </w:r>
          </w:p>
        </w:tc>
        <w:tc>
          <w:tcPr>
            <w:tcW w:w="1083" w:type="dxa"/>
          </w:tcPr>
          <w:p w14:paraId="459D27BA" w14:textId="1479257B" w:rsidR="00EF752B" w:rsidRPr="00EF752B" w:rsidRDefault="00FB0E95" w:rsidP="00251397">
            <w:pPr>
              <w:spacing w:line="360" w:lineRule="auto"/>
              <w:rPr>
                <w:rFonts w:ascii="Times New Roman" w:hAnsi="Times New Roman" w:cs="Times New Roman"/>
                <w:sz w:val="24"/>
                <w:szCs w:val="24"/>
              </w:rPr>
            </w:pPr>
            <w:r>
              <w:rPr>
                <w:rFonts w:ascii="Times New Roman" w:hAnsi="Times New Roman" w:cs="Times New Roman"/>
                <w:sz w:val="24"/>
                <w:szCs w:val="24"/>
              </w:rPr>
              <w:t>21</w:t>
            </w:r>
          </w:p>
        </w:tc>
      </w:tr>
      <w:tr w:rsidR="00EF752B" w:rsidRPr="00EF752B" w14:paraId="00CE648D" w14:textId="77777777" w:rsidTr="00EF752B">
        <w:tc>
          <w:tcPr>
            <w:tcW w:w="7933" w:type="dxa"/>
          </w:tcPr>
          <w:p w14:paraId="497E597C"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b/>
                <w:bCs/>
                <w:sz w:val="24"/>
                <w:szCs w:val="24"/>
              </w:rPr>
              <w:t>Conclusion</w:t>
            </w:r>
          </w:p>
        </w:tc>
        <w:tc>
          <w:tcPr>
            <w:tcW w:w="1083" w:type="dxa"/>
          </w:tcPr>
          <w:p w14:paraId="0F3BB654" w14:textId="19D6C738" w:rsidR="00EF752B" w:rsidRPr="00EF752B" w:rsidRDefault="00FB0E95" w:rsidP="00251397">
            <w:pPr>
              <w:spacing w:line="360" w:lineRule="auto"/>
              <w:rPr>
                <w:rFonts w:ascii="Times New Roman" w:hAnsi="Times New Roman" w:cs="Times New Roman"/>
                <w:sz w:val="24"/>
                <w:szCs w:val="24"/>
              </w:rPr>
            </w:pPr>
            <w:r>
              <w:rPr>
                <w:rFonts w:ascii="Times New Roman" w:hAnsi="Times New Roman" w:cs="Times New Roman"/>
                <w:sz w:val="24"/>
                <w:szCs w:val="24"/>
              </w:rPr>
              <w:t>22</w:t>
            </w:r>
          </w:p>
        </w:tc>
      </w:tr>
      <w:tr w:rsidR="00EF752B" w:rsidRPr="00EF752B" w14:paraId="221755BD" w14:textId="77777777" w:rsidTr="00EF752B">
        <w:tc>
          <w:tcPr>
            <w:tcW w:w="7933" w:type="dxa"/>
          </w:tcPr>
          <w:p w14:paraId="08F412E6" w14:textId="77777777" w:rsidR="00EF752B" w:rsidRPr="00EF752B" w:rsidRDefault="00EF752B" w:rsidP="00251397">
            <w:pPr>
              <w:spacing w:line="360" w:lineRule="auto"/>
              <w:rPr>
                <w:rFonts w:ascii="Times New Roman" w:hAnsi="Times New Roman" w:cs="Times New Roman"/>
                <w:sz w:val="24"/>
                <w:szCs w:val="24"/>
              </w:rPr>
            </w:pPr>
            <w:r w:rsidRPr="00EF752B">
              <w:rPr>
                <w:rFonts w:ascii="Times New Roman" w:hAnsi="Times New Roman" w:cs="Times New Roman"/>
                <w:b/>
                <w:bCs/>
                <w:sz w:val="24"/>
                <w:szCs w:val="24"/>
              </w:rPr>
              <w:t>References</w:t>
            </w:r>
          </w:p>
        </w:tc>
        <w:tc>
          <w:tcPr>
            <w:tcW w:w="1083" w:type="dxa"/>
          </w:tcPr>
          <w:p w14:paraId="1685B256" w14:textId="685F51DA" w:rsidR="00EF752B" w:rsidRPr="00EF752B" w:rsidRDefault="00FB0E95" w:rsidP="00251397">
            <w:pPr>
              <w:spacing w:line="360" w:lineRule="auto"/>
              <w:rPr>
                <w:rFonts w:ascii="Times New Roman" w:hAnsi="Times New Roman" w:cs="Times New Roman"/>
                <w:sz w:val="24"/>
                <w:szCs w:val="24"/>
              </w:rPr>
            </w:pPr>
            <w:r>
              <w:rPr>
                <w:rFonts w:ascii="Times New Roman" w:hAnsi="Times New Roman" w:cs="Times New Roman"/>
                <w:sz w:val="24"/>
                <w:szCs w:val="24"/>
              </w:rPr>
              <w:t>23</w:t>
            </w:r>
          </w:p>
        </w:tc>
      </w:tr>
    </w:tbl>
    <w:p w14:paraId="28EFBB28" w14:textId="77777777" w:rsidR="00EF752B" w:rsidRPr="00EF752B" w:rsidRDefault="00EF752B" w:rsidP="00EF752B">
      <w:pPr>
        <w:spacing w:line="360" w:lineRule="auto"/>
        <w:rPr>
          <w:rFonts w:ascii="Times New Roman" w:hAnsi="Times New Roman" w:cs="Times New Roman"/>
          <w:sz w:val="24"/>
          <w:szCs w:val="24"/>
        </w:rPr>
      </w:pPr>
    </w:p>
    <w:p w14:paraId="6B6152A3" w14:textId="77777777" w:rsidR="00EF752B" w:rsidRDefault="00EF752B" w:rsidP="00EF752B">
      <w:pPr>
        <w:spacing w:line="360" w:lineRule="auto"/>
        <w:rPr>
          <w:rFonts w:ascii="Times New Roman" w:hAnsi="Times New Roman" w:cs="Times New Roman"/>
          <w:b/>
          <w:bCs/>
          <w:sz w:val="32"/>
          <w:szCs w:val="32"/>
        </w:rPr>
      </w:pPr>
    </w:p>
    <w:p w14:paraId="71F2336D" w14:textId="47DC3617" w:rsidR="00FD1F4F" w:rsidRPr="00FD1F4F" w:rsidRDefault="00FD1F4F" w:rsidP="00936FE6">
      <w:pPr>
        <w:spacing w:line="360" w:lineRule="auto"/>
        <w:jc w:val="center"/>
        <w:rPr>
          <w:rFonts w:ascii="Times New Roman" w:hAnsi="Times New Roman" w:cs="Times New Roman"/>
          <w:b/>
          <w:bCs/>
          <w:sz w:val="32"/>
          <w:szCs w:val="32"/>
        </w:rPr>
      </w:pPr>
      <w:r w:rsidRPr="00FD1F4F">
        <w:rPr>
          <w:rFonts w:ascii="Times New Roman" w:hAnsi="Times New Roman" w:cs="Times New Roman"/>
          <w:b/>
          <w:bCs/>
          <w:sz w:val="32"/>
          <w:szCs w:val="32"/>
        </w:rPr>
        <w:lastRenderedPageBreak/>
        <w:t>Introduction</w:t>
      </w:r>
    </w:p>
    <w:p w14:paraId="73ABD228" w14:textId="77777777" w:rsidR="00FD1F4F" w:rsidRPr="00FD1F4F" w:rsidRDefault="00FD1F4F" w:rsidP="00FD1F4F">
      <w:pPr>
        <w:spacing w:line="360" w:lineRule="auto"/>
        <w:jc w:val="both"/>
        <w:rPr>
          <w:rFonts w:ascii="Times New Roman" w:hAnsi="Times New Roman" w:cs="Times New Roman"/>
          <w:b/>
          <w:bCs/>
          <w:sz w:val="24"/>
          <w:szCs w:val="24"/>
        </w:rPr>
      </w:pPr>
      <w:r w:rsidRPr="00FD1F4F">
        <w:rPr>
          <w:rFonts w:ascii="Times New Roman" w:hAnsi="Times New Roman" w:cs="Times New Roman"/>
          <w:b/>
          <w:bCs/>
          <w:sz w:val="24"/>
          <w:szCs w:val="24"/>
        </w:rPr>
        <w:t>Background to Greggs</w:t>
      </w:r>
    </w:p>
    <w:p w14:paraId="21AA4896" w14:textId="695867E1" w:rsid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Greggs is one of the United Kingdom’s most recognisable food-on-the-go retailers, with origins dating back to 1939 when it began as a small family-run bakery in Newcastle upon Tyne. Over time, the company evolved from a regional wholesale bakery into a nationwide high-street and travel-hub food retailer</w:t>
      </w:r>
      <w:r w:rsidR="00697039">
        <w:rPr>
          <w:rFonts w:ascii="Times New Roman" w:hAnsi="Times New Roman" w:cs="Times New Roman"/>
          <w:sz w:val="24"/>
          <w:szCs w:val="24"/>
        </w:rPr>
        <w:t xml:space="preserve"> (</w:t>
      </w:r>
      <w:proofErr w:type="spellStart"/>
      <w:r w:rsidR="00697039" w:rsidRPr="007E0A33">
        <w:rPr>
          <w:rFonts w:ascii="Times New Roman" w:hAnsi="Times New Roman" w:cs="Times New Roman"/>
          <w:sz w:val="24"/>
          <w:szCs w:val="24"/>
        </w:rPr>
        <w:t>Hoenink</w:t>
      </w:r>
      <w:proofErr w:type="spellEnd"/>
      <w:r w:rsidR="00697039" w:rsidRPr="007E0A33">
        <w:rPr>
          <w:rFonts w:ascii="Times New Roman" w:hAnsi="Times New Roman" w:cs="Times New Roman"/>
          <w:sz w:val="24"/>
          <w:szCs w:val="24"/>
        </w:rPr>
        <w:t xml:space="preserve">, </w:t>
      </w:r>
      <w:r w:rsidR="00697039">
        <w:rPr>
          <w:rFonts w:ascii="Times New Roman" w:hAnsi="Times New Roman" w:cs="Times New Roman"/>
          <w:sz w:val="24"/>
          <w:szCs w:val="24"/>
        </w:rPr>
        <w:t>2024)</w:t>
      </w:r>
      <w:r w:rsidRPr="00FD1F4F">
        <w:rPr>
          <w:rFonts w:ascii="Times New Roman" w:hAnsi="Times New Roman" w:cs="Times New Roman"/>
          <w:sz w:val="24"/>
          <w:szCs w:val="24"/>
        </w:rPr>
        <w:t>. Greggs operates a vertically integrated business model, retaining control over product development, manufacturing, distribution and retailing. This integrated structure enables cost efficiency, consistent quality and rapid product innovation across its estate</w:t>
      </w:r>
      <w:r w:rsidR="00697039">
        <w:rPr>
          <w:rFonts w:ascii="Times New Roman" w:hAnsi="Times New Roman" w:cs="Times New Roman"/>
          <w:sz w:val="24"/>
          <w:szCs w:val="24"/>
        </w:rPr>
        <w:t xml:space="preserve"> (</w:t>
      </w:r>
      <w:r w:rsidR="00697039" w:rsidRPr="007E0A33">
        <w:rPr>
          <w:rFonts w:ascii="Times New Roman" w:hAnsi="Times New Roman" w:cs="Times New Roman"/>
          <w:sz w:val="24"/>
          <w:szCs w:val="24"/>
        </w:rPr>
        <w:t>Green,</w:t>
      </w:r>
      <w:r w:rsidR="00697039">
        <w:rPr>
          <w:rFonts w:ascii="Times New Roman" w:hAnsi="Times New Roman" w:cs="Times New Roman"/>
          <w:sz w:val="24"/>
          <w:szCs w:val="24"/>
        </w:rPr>
        <w:t xml:space="preserve"> 2024)</w:t>
      </w:r>
      <w:r w:rsidRPr="00FD1F4F">
        <w:rPr>
          <w:rFonts w:ascii="Times New Roman" w:hAnsi="Times New Roman" w:cs="Times New Roman"/>
          <w:sz w:val="24"/>
          <w:szCs w:val="24"/>
        </w:rPr>
        <w:t>.</w:t>
      </w:r>
    </w:p>
    <w:p w14:paraId="7689D8A0" w14:textId="440C52E1" w:rsidR="009B3CF5" w:rsidRDefault="009B3CF5" w:rsidP="00FD1F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03450C46" wp14:editId="258AD843">
            <wp:extent cx="2468880" cy="1851660"/>
            <wp:effectExtent l="0" t="0" r="7620" b="0"/>
            <wp:docPr id="1375070556" name="Picture 25" descr="Greggs HQ to move to Quorum Busine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3" descr="Greggs HQ to move to Quorum Business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68880" cy="1851660"/>
                    </a:xfrm>
                    <a:prstGeom prst="rect">
                      <a:avLst/>
                    </a:prstGeom>
                    <a:noFill/>
                    <a:ln>
                      <a:noFill/>
                    </a:ln>
                  </pic:spPr>
                </pic:pic>
              </a:graphicData>
            </a:graphic>
          </wp:inline>
        </w:drawing>
      </w:r>
    </w:p>
    <w:p w14:paraId="3B7B3ADB" w14:textId="25450AB1" w:rsidR="00740E53" w:rsidRPr="00FD1F4F" w:rsidRDefault="00740E53" w:rsidP="00162B26">
      <w:pPr>
        <w:spacing w:line="360" w:lineRule="auto"/>
        <w:jc w:val="center"/>
        <w:rPr>
          <w:rFonts w:ascii="Times New Roman" w:hAnsi="Times New Roman" w:cs="Times New Roman"/>
          <w:b/>
          <w:bCs/>
          <w:i/>
          <w:iCs/>
          <w:sz w:val="24"/>
          <w:szCs w:val="24"/>
        </w:rPr>
      </w:pPr>
      <w:r w:rsidRPr="00162B26">
        <w:rPr>
          <w:rFonts w:ascii="Times New Roman" w:hAnsi="Times New Roman" w:cs="Times New Roman"/>
          <w:b/>
          <w:bCs/>
          <w:i/>
          <w:iCs/>
          <w:sz w:val="24"/>
          <w:szCs w:val="24"/>
        </w:rPr>
        <w:t xml:space="preserve">Figure 1: </w:t>
      </w:r>
      <w:r w:rsidR="00162B26" w:rsidRPr="00162B26">
        <w:rPr>
          <w:rFonts w:ascii="Times New Roman" w:hAnsi="Times New Roman" w:cs="Times New Roman"/>
          <w:b/>
          <w:bCs/>
          <w:i/>
          <w:iCs/>
          <w:sz w:val="24"/>
          <w:szCs w:val="24"/>
        </w:rPr>
        <w:t xml:space="preserve">Greggs Outlet, </w:t>
      </w:r>
      <w:proofErr w:type="spellStart"/>
      <w:r w:rsidR="00162B26" w:rsidRPr="00162B26">
        <w:rPr>
          <w:rFonts w:ascii="Times New Roman" w:hAnsi="Times New Roman" w:cs="Times New Roman"/>
          <w:b/>
          <w:bCs/>
          <w:i/>
          <w:iCs/>
          <w:sz w:val="24"/>
          <w:szCs w:val="24"/>
        </w:rPr>
        <w:t>Hoenink</w:t>
      </w:r>
      <w:proofErr w:type="spellEnd"/>
      <w:r w:rsidR="00162B26" w:rsidRPr="00162B26">
        <w:rPr>
          <w:rFonts w:ascii="Times New Roman" w:hAnsi="Times New Roman" w:cs="Times New Roman"/>
          <w:b/>
          <w:bCs/>
          <w:i/>
          <w:iCs/>
          <w:sz w:val="24"/>
          <w:szCs w:val="24"/>
        </w:rPr>
        <w:t>, (2024)</w:t>
      </w:r>
    </w:p>
    <w:p w14:paraId="0FF48093" w14:textId="22880FA6"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The company’s core business model centres on value-led, freshly prepared food, with a strong emphasis on own-brand products such as baked goods, savoury snacks and increasingly hot food and beverage offerings. Centralised production facilities supply a dense network of company-owned stores, allowing Greggs to benefit from economies of scale while maintaining price accessibility. In recent years, the model has been strengthened through digital ordering, delivery partnerships and expanded evening trade, reflecting changing consumer eating patterns</w:t>
      </w:r>
      <w:r w:rsidR="00697039">
        <w:rPr>
          <w:rFonts w:ascii="Times New Roman" w:hAnsi="Times New Roman" w:cs="Times New Roman"/>
          <w:sz w:val="24"/>
          <w:szCs w:val="24"/>
        </w:rPr>
        <w:t xml:space="preserve"> (</w:t>
      </w:r>
      <w:r w:rsidR="00697039" w:rsidRPr="007E0A33">
        <w:rPr>
          <w:rFonts w:ascii="Times New Roman" w:hAnsi="Times New Roman" w:cs="Times New Roman"/>
          <w:sz w:val="24"/>
          <w:szCs w:val="24"/>
        </w:rPr>
        <w:t>Frost</w:t>
      </w:r>
      <w:r w:rsidR="00697039">
        <w:rPr>
          <w:rFonts w:ascii="Times New Roman" w:hAnsi="Times New Roman" w:cs="Times New Roman"/>
          <w:sz w:val="24"/>
          <w:szCs w:val="24"/>
        </w:rPr>
        <w:t>,</w:t>
      </w:r>
      <w:r w:rsidR="00697039" w:rsidRPr="007E0A33">
        <w:rPr>
          <w:rFonts w:ascii="Times New Roman" w:hAnsi="Times New Roman" w:cs="Times New Roman"/>
          <w:sz w:val="24"/>
          <w:szCs w:val="24"/>
        </w:rPr>
        <w:t xml:space="preserve"> 2024</w:t>
      </w:r>
      <w:r w:rsidR="00697039">
        <w:rPr>
          <w:rFonts w:ascii="Times New Roman" w:hAnsi="Times New Roman" w:cs="Times New Roman"/>
          <w:sz w:val="24"/>
          <w:szCs w:val="24"/>
        </w:rPr>
        <w:t>)</w:t>
      </w:r>
      <w:r w:rsidRPr="00FD1F4F">
        <w:rPr>
          <w:rFonts w:ascii="Times New Roman" w:hAnsi="Times New Roman" w:cs="Times New Roman"/>
          <w:sz w:val="24"/>
          <w:szCs w:val="24"/>
        </w:rPr>
        <w:t>.</w:t>
      </w:r>
      <w:r w:rsidR="00A7203E">
        <w:rPr>
          <w:rFonts w:ascii="Times New Roman" w:hAnsi="Times New Roman" w:cs="Times New Roman"/>
          <w:sz w:val="24"/>
          <w:szCs w:val="24"/>
        </w:rPr>
        <w:t xml:space="preserve"> </w:t>
      </w:r>
      <w:r w:rsidRPr="00FD1F4F">
        <w:rPr>
          <w:rFonts w:ascii="Times New Roman" w:hAnsi="Times New Roman" w:cs="Times New Roman"/>
          <w:sz w:val="24"/>
          <w:szCs w:val="24"/>
        </w:rPr>
        <w:t>Within the UK market, Greggs occupies a distinctive brand position as an affordable, convenient and trusted everyday food retailer. Unlike premium café chains or international quick-service restaurants, Greggs competes primarily on value-for-money, familiarity and accessibility. Its brand proposition combines speed, affordability and consistency, appealing strongly to commuters, students and price-conscious urban consumers</w:t>
      </w:r>
      <w:r w:rsidR="00697039">
        <w:rPr>
          <w:rFonts w:ascii="Times New Roman" w:hAnsi="Times New Roman" w:cs="Times New Roman"/>
          <w:sz w:val="24"/>
          <w:szCs w:val="24"/>
        </w:rPr>
        <w:t xml:space="preserve"> (</w:t>
      </w:r>
      <w:r w:rsidR="00697039" w:rsidRPr="007E0A33">
        <w:rPr>
          <w:rFonts w:ascii="Times New Roman" w:hAnsi="Times New Roman" w:cs="Times New Roman"/>
          <w:sz w:val="24"/>
          <w:szCs w:val="24"/>
        </w:rPr>
        <w:t>Ford, 2024</w:t>
      </w:r>
      <w:r w:rsidR="00697039">
        <w:rPr>
          <w:rFonts w:ascii="Times New Roman" w:hAnsi="Times New Roman" w:cs="Times New Roman"/>
          <w:sz w:val="24"/>
          <w:szCs w:val="24"/>
        </w:rPr>
        <w:t>)</w:t>
      </w:r>
      <w:r w:rsidRPr="00FD1F4F">
        <w:rPr>
          <w:rFonts w:ascii="Times New Roman" w:hAnsi="Times New Roman" w:cs="Times New Roman"/>
          <w:sz w:val="24"/>
          <w:szCs w:val="24"/>
        </w:rPr>
        <w:t>. This positioning has allowed Greggs to build strong brand loyalty and high footfall, particularly in city centres, transport hubs and high streets.</w:t>
      </w:r>
    </w:p>
    <w:p w14:paraId="2B27F5A6" w14:textId="287209C9" w:rsid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lastRenderedPageBreak/>
        <w:t>Despite this strong domestic position, Greggs faces growing strategic challenges. The UK food retail and food-to-go market is increasingly mature, characterised by intense competition from supermarkets, global QSR brands and independent outlets. Rising input costs, labour shortages and inflationary pressures have increased operational expenses, placing pressure on margins even within a value-led model. In addition, changing consumer expectations around health, sustainability and digital convenience require continuous investment and adaptation</w:t>
      </w:r>
      <w:r w:rsidR="00697039">
        <w:rPr>
          <w:rFonts w:ascii="Times New Roman" w:hAnsi="Times New Roman" w:cs="Times New Roman"/>
          <w:sz w:val="24"/>
          <w:szCs w:val="24"/>
        </w:rPr>
        <w:t xml:space="preserve"> (</w:t>
      </w:r>
      <w:r w:rsidR="00697039" w:rsidRPr="007E0A33">
        <w:rPr>
          <w:rFonts w:ascii="Times New Roman" w:hAnsi="Times New Roman" w:cs="Times New Roman"/>
          <w:sz w:val="24"/>
          <w:szCs w:val="24"/>
        </w:rPr>
        <w:t xml:space="preserve">Brueggemann, </w:t>
      </w:r>
      <w:r w:rsidR="00697039">
        <w:rPr>
          <w:rFonts w:ascii="Times New Roman" w:hAnsi="Times New Roman" w:cs="Times New Roman"/>
          <w:sz w:val="24"/>
          <w:szCs w:val="24"/>
        </w:rPr>
        <w:t>2024)</w:t>
      </w:r>
      <w:r w:rsidRPr="00FD1F4F">
        <w:rPr>
          <w:rFonts w:ascii="Times New Roman" w:hAnsi="Times New Roman" w:cs="Times New Roman"/>
          <w:sz w:val="24"/>
          <w:szCs w:val="24"/>
        </w:rPr>
        <w:t>. These conditions limit long-term growth potential within the domestic market and heighten the importance of identifying new strategic growth avenues.</w:t>
      </w:r>
    </w:p>
    <w:p w14:paraId="10B8B79C" w14:textId="3A735902" w:rsidR="009B3CF5" w:rsidRDefault="009B3CF5" w:rsidP="00FD1F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FD1F4F">
        <w:rPr>
          <w:rFonts w:ascii="Times New Roman" w:hAnsi="Times New Roman" w:cs="Times New Roman"/>
          <w:noProof/>
          <w:sz w:val="24"/>
          <w:szCs w:val="24"/>
        </w:rPr>
        <w:drawing>
          <wp:inline distT="0" distB="0" distL="0" distR="0" wp14:anchorId="6628DBAD" wp14:editId="2BEA52E7">
            <wp:extent cx="2473863" cy="2385060"/>
            <wp:effectExtent l="0" t="0" r="3175" b="0"/>
            <wp:docPr id="122770556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79848" cy="2390830"/>
                    </a:xfrm>
                    <a:prstGeom prst="rect">
                      <a:avLst/>
                    </a:prstGeom>
                    <a:noFill/>
                    <a:ln>
                      <a:noFill/>
                    </a:ln>
                  </pic:spPr>
                </pic:pic>
              </a:graphicData>
            </a:graphic>
          </wp:inline>
        </w:drawing>
      </w:r>
    </w:p>
    <w:p w14:paraId="418309FD" w14:textId="4AA9246B" w:rsidR="009B3CF5" w:rsidRPr="00FD1F4F" w:rsidRDefault="009B3CF5" w:rsidP="00FD1F4F">
      <w:pPr>
        <w:spacing w:line="360" w:lineRule="auto"/>
        <w:jc w:val="both"/>
        <w:rPr>
          <w:rFonts w:ascii="Times New Roman" w:hAnsi="Times New Roman" w:cs="Times New Roman"/>
          <w:b/>
          <w:bCs/>
          <w:i/>
          <w:iCs/>
          <w:sz w:val="24"/>
          <w:szCs w:val="24"/>
        </w:rPr>
      </w:pPr>
      <w:r w:rsidRPr="00162B26">
        <w:rPr>
          <w:rFonts w:ascii="Times New Roman" w:hAnsi="Times New Roman" w:cs="Times New Roman"/>
          <w:b/>
          <w:bCs/>
          <w:i/>
          <w:iCs/>
          <w:sz w:val="24"/>
          <w:szCs w:val="24"/>
        </w:rPr>
        <w:t xml:space="preserve">                             </w:t>
      </w:r>
      <w:r w:rsidR="00162B26" w:rsidRPr="00162B26">
        <w:rPr>
          <w:rFonts w:ascii="Times New Roman" w:hAnsi="Times New Roman" w:cs="Times New Roman"/>
          <w:b/>
          <w:bCs/>
          <w:i/>
          <w:iCs/>
          <w:sz w:val="24"/>
          <w:szCs w:val="24"/>
        </w:rPr>
        <w:t>Figure 2: Greggs Product visibility, Garg, (2023).</w:t>
      </w:r>
    </w:p>
    <w:p w14:paraId="3707AC9C" w14:textId="77777777" w:rsidR="00FD1F4F" w:rsidRPr="00FD1F4F" w:rsidRDefault="00FD1F4F" w:rsidP="00FD1F4F">
      <w:pPr>
        <w:spacing w:line="360" w:lineRule="auto"/>
        <w:jc w:val="both"/>
        <w:rPr>
          <w:rFonts w:ascii="Times New Roman" w:hAnsi="Times New Roman" w:cs="Times New Roman"/>
          <w:b/>
          <w:bCs/>
          <w:sz w:val="24"/>
          <w:szCs w:val="24"/>
        </w:rPr>
      </w:pPr>
      <w:r w:rsidRPr="00FD1F4F">
        <w:rPr>
          <w:rFonts w:ascii="Times New Roman" w:hAnsi="Times New Roman" w:cs="Times New Roman"/>
          <w:b/>
          <w:bCs/>
          <w:sz w:val="24"/>
          <w:szCs w:val="24"/>
        </w:rPr>
        <w:t>Strategic Rationale for International Expansion</w:t>
      </w:r>
    </w:p>
    <w:p w14:paraId="3C75A534" w14:textId="3FC6F669"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The strategic rationale for international expansion is driven by a combination of push and pull factors. From a push perspective, the UK market exhibits clear signs of maturity. Store network expansion opportunities are increasingly incremental, while competition on price and convenience continues to intensify. Cost pressures linked to wages, energy and supply chains further constrain profitability growth</w:t>
      </w:r>
      <w:r w:rsidR="00697039">
        <w:rPr>
          <w:rFonts w:ascii="Times New Roman" w:hAnsi="Times New Roman" w:cs="Times New Roman"/>
          <w:sz w:val="24"/>
          <w:szCs w:val="24"/>
        </w:rPr>
        <w:t xml:space="preserve"> (</w:t>
      </w:r>
      <w:r w:rsidR="00697039" w:rsidRPr="007E0A33">
        <w:rPr>
          <w:rFonts w:ascii="Times New Roman" w:hAnsi="Times New Roman" w:cs="Times New Roman"/>
          <w:sz w:val="24"/>
          <w:szCs w:val="24"/>
        </w:rPr>
        <w:t>Garg, 2023</w:t>
      </w:r>
      <w:r w:rsidR="00697039">
        <w:rPr>
          <w:rFonts w:ascii="Times New Roman" w:hAnsi="Times New Roman" w:cs="Times New Roman"/>
          <w:sz w:val="24"/>
          <w:szCs w:val="24"/>
        </w:rPr>
        <w:t>)</w:t>
      </w:r>
      <w:r w:rsidRPr="00FD1F4F">
        <w:rPr>
          <w:rFonts w:ascii="Times New Roman" w:hAnsi="Times New Roman" w:cs="Times New Roman"/>
          <w:sz w:val="24"/>
          <w:szCs w:val="24"/>
        </w:rPr>
        <w:t>. As a result, reliance on a single domestic market exposes Greggs to concentrated risk and limits its long-term growth trajectory.</w:t>
      </w:r>
    </w:p>
    <w:p w14:paraId="084F8F24" w14:textId="77777777"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From a pull perspective, emerging markets offer structurally different conditions. Many developing economies are experiencing rapid urbanisation, rising disposable incomes and increased demand for affordable food-on-the-go solutions. These markets also offer opportunities to extend proven business models into high-growth environments, enabling revenue diversification beyond the UK. International expansion therefore provides a pathway to balance domestic saturation with exposure to new consumer segments and demand patterns.</w:t>
      </w:r>
    </w:p>
    <w:p w14:paraId="132CC553" w14:textId="2BCD246A"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lastRenderedPageBreak/>
        <w:t>Internationalisation is strategically relevant for Greggs not as a move towards premium global branding but as an opportunity to leverage its operational efficiency, value pricing and scalable store format. Entering selected international markets allows the firm to test the transferability of its model, develop organisational learning and build long-term resilience</w:t>
      </w:r>
      <w:r w:rsidR="00697039">
        <w:rPr>
          <w:rFonts w:ascii="Times New Roman" w:hAnsi="Times New Roman" w:cs="Times New Roman"/>
          <w:sz w:val="24"/>
          <w:szCs w:val="24"/>
        </w:rPr>
        <w:t xml:space="preserve"> (</w:t>
      </w:r>
      <w:r w:rsidR="00697039" w:rsidRPr="007E0A33">
        <w:rPr>
          <w:rFonts w:ascii="Times New Roman" w:hAnsi="Times New Roman" w:cs="Times New Roman"/>
          <w:sz w:val="24"/>
          <w:szCs w:val="24"/>
        </w:rPr>
        <w:t>Socha, 2024</w:t>
      </w:r>
      <w:r w:rsidR="00697039">
        <w:rPr>
          <w:rFonts w:ascii="Times New Roman" w:hAnsi="Times New Roman" w:cs="Times New Roman"/>
          <w:sz w:val="24"/>
          <w:szCs w:val="24"/>
        </w:rPr>
        <w:t>)</w:t>
      </w:r>
      <w:r w:rsidRPr="00FD1F4F">
        <w:rPr>
          <w:rFonts w:ascii="Times New Roman" w:hAnsi="Times New Roman" w:cs="Times New Roman"/>
          <w:sz w:val="24"/>
          <w:szCs w:val="24"/>
        </w:rPr>
        <w:t>. When executed selectively and with appropriate localisation, international expansion can support sustainable growth while reinforcing Greggs’ strategic transformation beyond a purely UK-centric retailer.</w:t>
      </w:r>
    </w:p>
    <w:p w14:paraId="379AAE7C" w14:textId="77777777" w:rsidR="00FD1F4F" w:rsidRPr="00FD1F4F" w:rsidRDefault="00FD1F4F" w:rsidP="00FD1F4F">
      <w:pPr>
        <w:spacing w:line="360" w:lineRule="auto"/>
        <w:jc w:val="both"/>
        <w:rPr>
          <w:rFonts w:ascii="Times New Roman" w:hAnsi="Times New Roman" w:cs="Times New Roman"/>
          <w:b/>
          <w:bCs/>
          <w:sz w:val="24"/>
          <w:szCs w:val="24"/>
        </w:rPr>
      </w:pPr>
      <w:r w:rsidRPr="00FD1F4F">
        <w:rPr>
          <w:rFonts w:ascii="Times New Roman" w:hAnsi="Times New Roman" w:cs="Times New Roman"/>
          <w:b/>
          <w:bCs/>
          <w:sz w:val="24"/>
          <w:szCs w:val="24"/>
        </w:rPr>
        <w:t>Purpose, Scope and Structure of the Report</w:t>
      </w:r>
    </w:p>
    <w:p w14:paraId="2791DA1F" w14:textId="278568B2" w:rsid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The aim of this report is to develop an evidence-based strategic expansion plan for Greggs through entry into an international market. The report evaluates the strategic suitability of overseas expansion and formulates a coherent market entry and growth strategy grounded in established strategic management frameworks.</w:t>
      </w:r>
      <w:r w:rsidR="00697039">
        <w:rPr>
          <w:rFonts w:ascii="Times New Roman" w:hAnsi="Times New Roman" w:cs="Times New Roman"/>
          <w:sz w:val="24"/>
          <w:szCs w:val="24"/>
        </w:rPr>
        <w:t xml:space="preserve"> </w:t>
      </w:r>
      <w:r w:rsidRPr="00FD1F4F">
        <w:rPr>
          <w:rFonts w:ascii="Times New Roman" w:hAnsi="Times New Roman" w:cs="Times New Roman"/>
          <w:sz w:val="24"/>
          <w:szCs w:val="24"/>
        </w:rPr>
        <w:t>The report focuses specifically on India as the target market. India is selected due to its large population, rapid urbanisation, expanding middle class and growing demand for convenient and affordable prepared food. At the same time, the market presents significant institutional, cultural and competitive complexity, making it a suitable context for strategic analysis and disciplined market entry planning.</w:t>
      </w:r>
      <w:r w:rsidR="00697039">
        <w:rPr>
          <w:rFonts w:ascii="Times New Roman" w:hAnsi="Times New Roman" w:cs="Times New Roman"/>
          <w:sz w:val="24"/>
          <w:szCs w:val="24"/>
        </w:rPr>
        <w:t xml:space="preserve"> </w:t>
      </w:r>
      <w:r w:rsidRPr="00FD1F4F">
        <w:rPr>
          <w:rFonts w:ascii="Times New Roman" w:hAnsi="Times New Roman" w:cs="Times New Roman"/>
          <w:sz w:val="24"/>
          <w:szCs w:val="24"/>
        </w:rPr>
        <w:t>The report is structured as follows. Section 1 justifies the selection of Greggs and India as the target market. Section 2 presents a comprehensive strategic analysis, examining the macro-environment, industry conditions and internal capabilities. Section 3 develops and formulates the proposed market entry and competitive strategy. Section 4 outlines a performance evaluation framework incorporating financial, operational and sustainability metrics. The report concludes with a synthesis of findings and strategic implications for Greggs’ long-term growth.</w:t>
      </w:r>
    </w:p>
    <w:p w14:paraId="008FAFA7" w14:textId="77777777" w:rsidR="009B3CF5" w:rsidRDefault="009B3CF5" w:rsidP="00FD1F4F">
      <w:pPr>
        <w:spacing w:line="360" w:lineRule="auto"/>
        <w:jc w:val="both"/>
        <w:rPr>
          <w:rFonts w:ascii="Times New Roman" w:hAnsi="Times New Roman" w:cs="Times New Roman"/>
          <w:sz w:val="24"/>
          <w:szCs w:val="24"/>
        </w:rPr>
      </w:pPr>
    </w:p>
    <w:p w14:paraId="0E26424B" w14:textId="77777777" w:rsidR="009B3CF5" w:rsidRDefault="009B3CF5" w:rsidP="00FD1F4F">
      <w:pPr>
        <w:spacing w:line="360" w:lineRule="auto"/>
        <w:jc w:val="both"/>
        <w:rPr>
          <w:rFonts w:ascii="Times New Roman" w:hAnsi="Times New Roman" w:cs="Times New Roman"/>
          <w:sz w:val="24"/>
          <w:szCs w:val="24"/>
        </w:rPr>
      </w:pPr>
    </w:p>
    <w:p w14:paraId="56CA9BBC" w14:textId="77777777" w:rsidR="009B3CF5" w:rsidRDefault="009B3CF5" w:rsidP="00FD1F4F">
      <w:pPr>
        <w:spacing w:line="360" w:lineRule="auto"/>
        <w:jc w:val="both"/>
        <w:rPr>
          <w:rFonts w:ascii="Times New Roman" w:hAnsi="Times New Roman" w:cs="Times New Roman"/>
          <w:sz w:val="24"/>
          <w:szCs w:val="24"/>
        </w:rPr>
      </w:pPr>
    </w:p>
    <w:p w14:paraId="702BDCB1" w14:textId="77777777" w:rsidR="009B3CF5" w:rsidRDefault="009B3CF5" w:rsidP="00FD1F4F">
      <w:pPr>
        <w:spacing w:line="360" w:lineRule="auto"/>
        <w:jc w:val="both"/>
        <w:rPr>
          <w:rFonts w:ascii="Times New Roman" w:hAnsi="Times New Roman" w:cs="Times New Roman"/>
          <w:sz w:val="24"/>
          <w:szCs w:val="24"/>
        </w:rPr>
      </w:pPr>
    </w:p>
    <w:p w14:paraId="700F68C3" w14:textId="77777777" w:rsidR="00697039" w:rsidRDefault="00697039" w:rsidP="00FD1F4F">
      <w:pPr>
        <w:spacing w:line="360" w:lineRule="auto"/>
        <w:jc w:val="both"/>
        <w:rPr>
          <w:rFonts w:ascii="Times New Roman" w:hAnsi="Times New Roman" w:cs="Times New Roman"/>
          <w:sz w:val="24"/>
          <w:szCs w:val="24"/>
        </w:rPr>
      </w:pPr>
    </w:p>
    <w:p w14:paraId="6D165DCD" w14:textId="77777777" w:rsidR="009B3CF5" w:rsidRDefault="009B3CF5" w:rsidP="00FD1F4F">
      <w:pPr>
        <w:spacing w:line="360" w:lineRule="auto"/>
        <w:jc w:val="both"/>
        <w:rPr>
          <w:rFonts w:ascii="Times New Roman" w:hAnsi="Times New Roman" w:cs="Times New Roman"/>
          <w:sz w:val="24"/>
          <w:szCs w:val="24"/>
        </w:rPr>
      </w:pPr>
    </w:p>
    <w:p w14:paraId="7E8BB553" w14:textId="77777777" w:rsidR="009B3CF5" w:rsidRDefault="009B3CF5" w:rsidP="00FD1F4F">
      <w:pPr>
        <w:spacing w:line="360" w:lineRule="auto"/>
        <w:jc w:val="both"/>
        <w:rPr>
          <w:rFonts w:ascii="Times New Roman" w:hAnsi="Times New Roman" w:cs="Times New Roman"/>
          <w:sz w:val="24"/>
          <w:szCs w:val="24"/>
        </w:rPr>
      </w:pPr>
    </w:p>
    <w:p w14:paraId="4EFC9C22" w14:textId="77777777" w:rsidR="00A7203E" w:rsidRDefault="00A7203E" w:rsidP="00FD1F4F">
      <w:pPr>
        <w:spacing w:line="360" w:lineRule="auto"/>
        <w:jc w:val="both"/>
        <w:rPr>
          <w:rFonts w:ascii="Times New Roman" w:hAnsi="Times New Roman" w:cs="Times New Roman"/>
          <w:sz w:val="24"/>
          <w:szCs w:val="24"/>
        </w:rPr>
      </w:pPr>
    </w:p>
    <w:p w14:paraId="054EE9B7" w14:textId="77777777" w:rsidR="00A7203E" w:rsidRPr="00FD1F4F" w:rsidRDefault="00A7203E" w:rsidP="00FD1F4F">
      <w:pPr>
        <w:spacing w:line="360" w:lineRule="auto"/>
        <w:jc w:val="both"/>
        <w:rPr>
          <w:rFonts w:ascii="Times New Roman" w:hAnsi="Times New Roman" w:cs="Times New Roman"/>
          <w:sz w:val="24"/>
          <w:szCs w:val="24"/>
        </w:rPr>
      </w:pPr>
    </w:p>
    <w:p w14:paraId="2A2EEBEC" w14:textId="77777777" w:rsidR="00FD1F4F" w:rsidRPr="00FD1F4F" w:rsidRDefault="00FD1F4F" w:rsidP="009B3CF5">
      <w:pPr>
        <w:spacing w:line="360" w:lineRule="auto"/>
        <w:jc w:val="center"/>
        <w:rPr>
          <w:rFonts w:ascii="Times New Roman" w:hAnsi="Times New Roman" w:cs="Times New Roman"/>
          <w:b/>
          <w:bCs/>
          <w:sz w:val="32"/>
          <w:szCs w:val="32"/>
        </w:rPr>
      </w:pPr>
      <w:r w:rsidRPr="00FD1F4F">
        <w:rPr>
          <w:rFonts w:ascii="Times New Roman" w:hAnsi="Times New Roman" w:cs="Times New Roman"/>
          <w:b/>
          <w:bCs/>
          <w:sz w:val="32"/>
          <w:szCs w:val="32"/>
        </w:rPr>
        <w:t>Section 1: Selection of Organisation and Target Market</w:t>
      </w:r>
    </w:p>
    <w:p w14:paraId="651D7FB8" w14:textId="77777777" w:rsidR="00FD1F4F" w:rsidRPr="00FD1F4F" w:rsidRDefault="00FD1F4F" w:rsidP="00FD1F4F">
      <w:pPr>
        <w:spacing w:line="360" w:lineRule="auto"/>
        <w:jc w:val="both"/>
        <w:rPr>
          <w:rFonts w:ascii="Times New Roman" w:hAnsi="Times New Roman" w:cs="Times New Roman"/>
          <w:b/>
          <w:bCs/>
          <w:sz w:val="24"/>
          <w:szCs w:val="24"/>
        </w:rPr>
      </w:pPr>
      <w:r w:rsidRPr="00FD1F4F">
        <w:rPr>
          <w:rFonts w:ascii="Times New Roman" w:hAnsi="Times New Roman" w:cs="Times New Roman"/>
          <w:b/>
          <w:bCs/>
          <w:sz w:val="24"/>
          <w:szCs w:val="24"/>
        </w:rPr>
        <w:t>1.1 Overview of Greggs</w:t>
      </w:r>
    </w:p>
    <w:p w14:paraId="7EA176A0" w14:textId="1D40BF21" w:rsidR="00FD1F4F" w:rsidRDefault="009B3CF5" w:rsidP="00FD1F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D1F4F" w:rsidRPr="00FD1F4F">
        <w:rPr>
          <w:rFonts w:ascii="Times New Roman" w:hAnsi="Times New Roman" w:cs="Times New Roman"/>
          <w:noProof/>
          <w:sz w:val="24"/>
          <w:szCs w:val="24"/>
        </w:rPr>
        <w:drawing>
          <wp:inline distT="0" distB="0" distL="0" distR="0" wp14:anchorId="6F78F4C9" wp14:editId="223A26AC">
            <wp:extent cx="3117850" cy="2078452"/>
            <wp:effectExtent l="0" t="0" r="6350" b="0"/>
            <wp:docPr id="17120807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18945" cy="2079182"/>
                    </a:xfrm>
                    <a:prstGeom prst="rect">
                      <a:avLst/>
                    </a:prstGeom>
                    <a:noFill/>
                    <a:ln>
                      <a:noFill/>
                    </a:ln>
                  </pic:spPr>
                </pic:pic>
              </a:graphicData>
            </a:graphic>
          </wp:inline>
        </w:drawing>
      </w:r>
    </w:p>
    <w:p w14:paraId="2B9C0AE8" w14:textId="73BF8273" w:rsidR="00162B26" w:rsidRPr="00FD1F4F" w:rsidRDefault="00162B26" w:rsidP="00162B26">
      <w:pPr>
        <w:spacing w:line="360" w:lineRule="auto"/>
        <w:jc w:val="center"/>
        <w:rPr>
          <w:rFonts w:ascii="Times New Roman" w:hAnsi="Times New Roman" w:cs="Times New Roman"/>
          <w:b/>
          <w:bCs/>
          <w:i/>
          <w:iCs/>
          <w:sz w:val="24"/>
          <w:szCs w:val="24"/>
        </w:rPr>
      </w:pPr>
      <w:r w:rsidRPr="00162B26">
        <w:rPr>
          <w:rFonts w:ascii="Times New Roman" w:hAnsi="Times New Roman" w:cs="Times New Roman"/>
          <w:b/>
          <w:bCs/>
          <w:i/>
          <w:iCs/>
          <w:sz w:val="24"/>
          <w:szCs w:val="24"/>
        </w:rPr>
        <w:t>Figure 3: Greggs Old Model Bakery, Karameros, (2025).</w:t>
      </w:r>
    </w:p>
    <w:p w14:paraId="548E1286" w14:textId="58FF885C" w:rsidR="009B3CF5"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Greggs operates a predominantly private-label, vertically integrated bakery model that distinguishes it from many competitors in the food-to-go sector. The company retains direct control over product development, manufacturing, logistics and retail distribution. Centralised production facilities supply a nationwide network of company-owned outlets, enabling consistency in product quality while supporting high-volume, low-margin operations. This integration allows Greggs to respond quickly to demand patterns, manage costs tightly and introduce new products efficiently</w:t>
      </w:r>
      <w:r w:rsidR="00697039">
        <w:rPr>
          <w:rFonts w:ascii="Times New Roman" w:hAnsi="Times New Roman" w:cs="Times New Roman"/>
          <w:sz w:val="24"/>
          <w:szCs w:val="24"/>
        </w:rPr>
        <w:t xml:space="preserve"> (</w:t>
      </w:r>
      <w:r w:rsidR="00697039" w:rsidRPr="007E0A33">
        <w:rPr>
          <w:rFonts w:ascii="Times New Roman" w:hAnsi="Times New Roman" w:cs="Times New Roman"/>
          <w:sz w:val="24"/>
          <w:szCs w:val="24"/>
        </w:rPr>
        <w:t xml:space="preserve">Karameros, </w:t>
      </w:r>
      <w:r w:rsidR="00697039">
        <w:rPr>
          <w:rFonts w:ascii="Times New Roman" w:hAnsi="Times New Roman" w:cs="Times New Roman"/>
          <w:sz w:val="24"/>
          <w:szCs w:val="24"/>
        </w:rPr>
        <w:t>2025)</w:t>
      </w:r>
      <w:r w:rsidRPr="00FD1F4F">
        <w:rPr>
          <w:rFonts w:ascii="Times New Roman" w:hAnsi="Times New Roman" w:cs="Times New Roman"/>
          <w:sz w:val="24"/>
          <w:szCs w:val="24"/>
        </w:rPr>
        <w:t>.</w:t>
      </w:r>
      <w:r w:rsidR="009B3CF5">
        <w:rPr>
          <w:rFonts w:ascii="Times New Roman" w:hAnsi="Times New Roman" w:cs="Times New Roman"/>
          <w:sz w:val="24"/>
          <w:szCs w:val="24"/>
        </w:rPr>
        <w:t xml:space="preserve"> </w:t>
      </w:r>
      <w:r w:rsidRPr="00FD1F4F">
        <w:rPr>
          <w:rFonts w:ascii="Times New Roman" w:hAnsi="Times New Roman" w:cs="Times New Roman"/>
          <w:sz w:val="24"/>
          <w:szCs w:val="24"/>
        </w:rPr>
        <w:t>Greggs’ core competencies are rooted in value pricing, operational efficiency and brand trust. The brand has built a strong reputation for offering affordable, familiar and reliable food, positioning itself as an everyday option rather than an occasional indulgence. Operational efficiency is reinforced through economies of scale, simplified menus and standardised processes across stores. Over time, this has generated high levels of consumer trust, particularly among price-sensitive urban consumers who associate Greggs with convenience and dependability rather than novelty or premium positioning</w:t>
      </w:r>
      <w:r w:rsidR="00697039">
        <w:rPr>
          <w:rFonts w:ascii="Times New Roman" w:hAnsi="Times New Roman" w:cs="Times New Roman"/>
          <w:sz w:val="24"/>
          <w:szCs w:val="24"/>
        </w:rPr>
        <w:t xml:space="preserve"> (</w:t>
      </w:r>
      <w:r w:rsidR="00697039" w:rsidRPr="007E0A33">
        <w:rPr>
          <w:rFonts w:ascii="Times New Roman" w:hAnsi="Times New Roman" w:cs="Times New Roman"/>
          <w:sz w:val="24"/>
          <w:szCs w:val="24"/>
        </w:rPr>
        <w:t>Smith,</w:t>
      </w:r>
      <w:r w:rsidR="00697039">
        <w:rPr>
          <w:rFonts w:ascii="Times New Roman" w:hAnsi="Times New Roman" w:cs="Times New Roman"/>
          <w:sz w:val="24"/>
          <w:szCs w:val="24"/>
        </w:rPr>
        <w:t xml:space="preserve"> 2025)</w:t>
      </w:r>
      <w:r w:rsidRPr="00FD1F4F">
        <w:rPr>
          <w:rFonts w:ascii="Times New Roman" w:hAnsi="Times New Roman" w:cs="Times New Roman"/>
          <w:sz w:val="24"/>
          <w:szCs w:val="24"/>
        </w:rPr>
        <w:t>.</w:t>
      </w:r>
    </w:p>
    <w:p w14:paraId="0A34B2B4" w14:textId="1E2AB536"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In terms of international exposure, Greggs has historically remained overwhelmingly UK-focused. Unlike many global QSR brands, it has not pursued aggressive overseas expansion and has limited experience operating in international markets. While this reflects a historically domestic growth strategy, it also means that Greggs enters internationalisation without legacy constraints from underperforming foreign operations</w:t>
      </w:r>
      <w:r w:rsidR="00697039">
        <w:rPr>
          <w:rFonts w:ascii="Times New Roman" w:hAnsi="Times New Roman" w:cs="Times New Roman"/>
          <w:sz w:val="24"/>
          <w:szCs w:val="24"/>
        </w:rPr>
        <w:t xml:space="preserve"> (</w:t>
      </w:r>
      <w:r w:rsidR="00697039" w:rsidRPr="007E0A33">
        <w:rPr>
          <w:rFonts w:ascii="Times New Roman" w:hAnsi="Times New Roman" w:cs="Times New Roman"/>
          <w:sz w:val="24"/>
          <w:szCs w:val="24"/>
        </w:rPr>
        <w:t>Hastings</w:t>
      </w:r>
      <w:r w:rsidR="00697039">
        <w:rPr>
          <w:rFonts w:ascii="Times New Roman" w:hAnsi="Times New Roman" w:cs="Times New Roman"/>
          <w:sz w:val="24"/>
          <w:szCs w:val="24"/>
        </w:rPr>
        <w:t xml:space="preserve"> </w:t>
      </w:r>
      <w:r w:rsidR="00697039" w:rsidRPr="007E0A33">
        <w:rPr>
          <w:rFonts w:ascii="Times New Roman" w:hAnsi="Times New Roman" w:cs="Times New Roman"/>
          <w:sz w:val="24"/>
          <w:szCs w:val="24"/>
        </w:rPr>
        <w:t>and Denning,</w:t>
      </w:r>
      <w:r w:rsidR="00697039">
        <w:rPr>
          <w:rFonts w:ascii="Times New Roman" w:hAnsi="Times New Roman" w:cs="Times New Roman"/>
          <w:sz w:val="24"/>
          <w:szCs w:val="24"/>
        </w:rPr>
        <w:t xml:space="preserve"> </w:t>
      </w:r>
      <w:r w:rsidR="00697039" w:rsidRPr="007E0A33">
        <w:rPr>
          <w:rFonts w:ascii="Times New Roman" w:hAnsi="Times New Roman" w:cs="Times New Roman"/>
          <w:sz w:val="24"/>
          <w:szCs w:val="24"/>
        </w:rPr>
        <w:t>2024</w:t>
      </w:r>
      <w:r w:rsidR="00697039">
        <w:rPr>
          <w:rFonts w:ascii="Times New Roman" w:hAnsi="Times New Roman" w:cs="Times New Roman"/>
          <w:sz w:val="24"/>
          <w:szCs w:val="24"/>
        </w:rPr>
        <w:t>)</w:t>
      </w:r>
      <w:r w:rsidRPr="00FD1F4F">
        <w:rPr>
          <w:rFonts w:ascii="Times New Roman" w:hAnsi="Times New Roman" w:cs="Times New Roman"/>
          <w:sz w:val="24"/>
          <w:szCs w:val="24"/>
        </w:rPr>
        <w:t xml:space="preserve">. This </w:t>
      </w:r>
      <w:r w:rsidRPr="00FD1F4F">
        <w:rPr>
          <w:rFonts w:ascii="Times New Roman" w:hAnsi="Times New Roman" w:cs="Times New Roman"/>
          <w:sz w:val="24"/>
          <w:szCs w:val="24"/>
        </w:rPr>
        <w:lastRenderedPageBreak/>
        <w:t>creates both a challenge, in terms of limited international learning, and an opportunity to design a more disciplined, context-specific expansion strategy from the outset.</w:t>
      </w:r>
    </w:p>
    <w:p w14:paraId="449B1112" w14:textId="7FABBE4E" w:rsidR="00FD1F4F" w:rsidRDefault="00FD1F4F" w:rsidP="00FD1F4F">
      <w:pPr>
        <w:spacing w:line="360" w:lineRule="auto"/>
        <w:jc w:val="both"/>
        <w:rPr>
          <w:rFonts w:ascii="Times New Roman" w:hAnsi="Times New Roman" w:cs="Times New Roman"/>
          <w:b/>
          <w:bCs/>
          <w:sz w:val="24"/>
          <w:szCs w:val="24"/>
        </w:rPr>
      </w:pPr>
      <w:r w:rsidRPr="00FD1F4F">
        <w:rPr>
          <w:rFonts w:ascii="Times New Roman" w:hAnsi="Times New Roman" w:cs="Times New Roman"/>
          <w:b/>
          <w:bCs/>
          <w:sz w:val="24"/>
          <w:szCs w:val="24"/>
        </w:rPr>
        <w:t>1.2 Overview of the Indian Food Retail Market</w:t>
      </w:r>
    </w:p>
    <w:p w14:paraId="079B8255" w14:textId="7928B59A" w:rsidR="00162B26" w:rsidRPr="00FD1F4F" w:rsidRDefault="00162B26" w:rsidP="00FD1F4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Pr>
          <w:noProof/>
        </w:rPr>
        <w:drawing>
          <wp:inline distT="0" distB="0" distL="0" distR="0" wp14:anchorId="551CA826" wp14:editId="11A5FB25">
            <wp:extent cx="3551944" cy="3341016"/>
            <wp:effectExtent l="0" t="0" r="0" b="0"/>
            <wp:docPr id="952270412" name="Picture 34" descr="Online Indian supermarket in UK – Lakshmi Store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4" descr="Online Indian supermarket in UK – Lakshmi Stores UK"/>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65894" cy="3354137"/>
                    </a:xfrm>
                    <a:prstGeom prst="rect">
                      <a:avLst/>
                    </a:prstGeom>
                    <a:noFill/>
                    <a:ln>
                      <a:noFill/>
                    </a:ln>
                  </pic:spPr>
                </pic:pic>
              </a:graphicData>
            </a:graphic>
          </wp:inline>
        </w:drawing>
      </w:r>
    </w:p>
    <w:p w14:paraId="0BEAAE24" w14:textId="66D26827" w:rsidR="00FD1F4F" w:rsidRPr="00FD1F4F" w:rsidRDefault="009B3CF5" w:rsidP="00FD1F4F">
      <w:pPr>
        <w:spacing w:line="360" w:lineRule="auto"/>
        <w:jc w:val="both"/>
        <w:rPr>
          <w:rFonts w:ascii="Times New Roman" w:hAnsi="Times New Roman" w:cs="Times New Roman"/>
          <w:b/>
          <w:bCs/>
          <w:i/>
          <w:iCs/>
          <w:sz w:val="24"/>
          <w:szCs w:val="24"/>
        </w:rPr>
      </w:pPr>
      <w:r w:rsidRPr="00162B26">
        <w:rPr>
          <w:rFonts w:ascii="Times New Roman" w:hAnsi="Times New Roman" w:cs="Times New Roman"/>
          <w:b/>
          <w:bCs/>
          <w:i/>
          <w:iCs/>
          <w:sz w:val="24"/>
          <w:szCs w:val="24"/>
        </w:rPr>
        <w:t xml:space="preserve">                     </w:t>
      </w:r>
      <w:r w:rsidR="00162B26">
        <w:rPr>
          <w:rFonts w:ascii="Times New Roman" w:hAnsi="Times New Roman" w:cs="Times New Roman"/>
          <w:b/>
          <w:bCs/>
          <w:i/>
          <w:iCs/>
          <w:sz w:val="24"/>
          <w:szCs w:val="24"/>
        </w:rPr>
        <w:t xml:space="preserve">       </w:t>
      </w:r>
      <w:r w:rsidRPr="00162B26">
        <w:rPr>
          <w:rFonts w:ascii="Times New Roman" w:hAnsi="Times New Roman" w:cs="Times New Roman"/>
          <w:b/>
          <w:bCs/>
          <w:i/>
          <w:iCs/>
          <w:sz w:val="24"/>
          <w:szCs w:val="24"/>
        </w:rPr>
        <w:t xml:space="preserve">  </w:t>
      </w:r>
      <w:r w:rsidR="00162B26" w:rsidRPr="00162B26">
        <w:rPr>
          <w:rFonts w:ascii="Times New Roman" w:hAnsi="Times New Roman" w:cs="Times New Roman"/>
          <w:b/>
          <w:bCs/>
          <w:i/>
          <w:iCs/>
          <w:sz w:val="24"/>
          <w:szCs w:val="24"/>
        </w:rPr>
        <w:t>Figure 4: India Bakery Market, Gagliano, (2022).</w:t>
      </w:r>
    </w:p>
    <w:p w14:paraId="388C9C0A" w14:textId="33DBA0F7" w:rsidR="009B3CF5"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India represents one of the fastest-growing food retail markets globally, with particularly strong expansion in the quick-service restaurant (QSR) and organised bakery segments. Rising disposable incomes, increased workforce participation and lifestyle shifts in urban centres have accelerated demand for affordable prepared food. While traditional street food remains dominant, organised food retail has grown rapidly in metropolitan areas, driven by changing consumer expectations around hygiene, consistency and convenience</w:t>
      </w:r>
      <w:r w:rsidR="00697039">
        <w:rPr>
          <w:rFonts w:ascii="Times New Roman" w:hAnsi="Times New Roman" w:cs="Times New Roman"/>
          <w:sz w:val="24"/>
          <w:szCs w:val="24"/>
        </w:rPr>
        <w:t xml:space="preserve"> (</w:t>
      </w:r>
      <w:r w:rsidR="00697039" w:rsidRPr="007E0A33">
        <w:rPr>
          <w:rFonts w:ascii="Times New Roman" w:hAnsi="Times New Roman" w:cs="Times New Roman"/>
          <w:sz w:val="24"/>
          <w:szCs w:val="24"/>
        </w:rPr>
        <w:t>Gagliano, 2022</w:t>
      </w:r>
      <w:r w:rsidR="00697039">
        <w:rPr>
          <w:rFonts w:ascii="Times New Roman" w:hAnsi="Times New Roman" w:cs="Times New Roman"/>
          <w:sz w:val="24"/>
          <w:szCs w:val="24"/>
        </w:rPr>
        <w:t>)</w:t>
      </w:r>
      <w:r w:rsidRPr="00FD1F4F">
        <w:rPr>
          <w:rFonts w:ascii="Times New Roman" w:hAnsi="Times New Roman" w:cs="Times New Roman"/>
          <w:sz w:val="24"/>
          <w:szCs w:val="24"/>
        </w:rPr>
        <w:t>.</w:t>
      </w:r>
      <w:r w:rsidR="009B3CF5">
        <w:rPr>
          <w:rFonts w:ascii="Times New Roman" w:hAnsi="Times New Roman" w:cs="Times New Roman"/>
          <w:sz w:val="24"/>
          <w:szCs w:val="24"/>
        </w:rPr>
        <w:t xml:space="preserve"> </w:t>
      </w:r>
      <w:r w:rsidRPr="00FD1F4F">
        <w:rPr>
          <w:rFonts w:ascii="Times New Roman" w:hAnsi="Times New Roman" w:cs="Times New Roman"/>
          <w:sz w:val="24"/>
          <w:szCs w:val="24"/>
        </w:rPr>
        <w:t xml:space="preserve">Urbanisation and demographics play a central role in shaping this market. India has a young population, with a large proportion under the age of 35, concentrated increasingly in cities. </w:t>
      </w:r>
    </w:p>
    <w:p w14:paraId="5DED7C8A" w14:textId="29B7F274"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This cohort demonstrates higher frequency of eating outside the home, strong adoption of food delivery platforms and growing openness to branded food formats. Eating-out culture is therefore shifting from occasional family dining to routine consumption of quick, affordable meals, particularly among students and young professionals.</w:t>
      </w:r>
      <w:r w:rsidR="009B3CF5">
        <w:rPr>
          <w:rFonts w:ascii="Times New Roman" w:hAnsi="Times New Roman" w:cs="Times New Roman"/>
          <w:sz w:val="24"/>
          <w:szCs w:val="24"/>
        </w:rPr>
        <w:t xml:space="preserve"> </w:t>
      </w:r>
      <w:r w:rsidRPr="00FD1F4F">
        <w:rPr>
          <w:rFonts w:ascii="Times New Roman" w:hAnsi="Times New Roman" w:cs="Times New Roman"/>
          <w:sz w:val="24"/>
          <w:szCs w:val="24"/>
        </w:rPr>
        <w:t>Despite its growth potential, the Indian food retail market is structurally complex</w:t>
      </w:r>
      <w:r w:rsidR="00697039">
        <w:rPr>
          <w:rFonts w:ascii="Times New Roman" w:hAnsi="Times New Roman" w:cs="Times New Roman"/>
          <w:sz w:val="24"/>
          <w:szCs w:val="24"/>
        </w:rPr>
        <w:t xml:space="preserve"> (</w:t>
      </w:r>
      <w:r w:rsidR="00697039" w:rsidRPr="007E0A33">
        <w:rPr>
          <w:rFonts w:ascii="Times New Roman" w:hAnsi="Times New Roman" w:cs="Times New Roman"/>
          <w:sz w:val="24"/>
          <w:szCs w:val="24"/>
        </w:rPr>
        <w:t>Lemley,</w:t>
      </w:r>
      <w:r w:rsidR="00697039">
        <w:rPr>
          <w:rFonts w:ascii="Times New Roman" w:hAnsi="Times New Roman" w:cs="Times New Roman"/>
          <w:sz w:val="24"/>
          <w:szCs w:val="24"/>
        </w:rPr>
        <w:t xml:space="preserve"> 2025)</w:t>
      </w:r>
      <w:r w:rsidRPr="00FD1F4F">
        <w:rPr>
          <w:rFonts w:ascii="Times New Roman" w:hAnsi="Times New Roman" w:cs="Times New Roman"/>
          <w:sz w:val="24"/>
          <w:szCs w:val="24"/>
        </w:rPr>
        <w:t xml:space="preserve">. The sector is fragmented, combining informal vendors, domestic chains and international brands. Regulatory frameworks vary across states, covering food safety, labour standards and foreign investment </w:t>
      </w:r>
      <w:r w:rsidRPr="00FD1F4F">
        <w:rPr>
          <w:rFonts w:ascii="Times New Roman" w:hAnsi="Times New Roman" w:cs="Times New Roman"/>
          <w:sz w:val="24"/>
          <w:szCs w:val="24"/>
        </w:rPr>
        <w:lastRenderedPageBreak/>
        <w:t>conditions. Supply chains can be inconsistent, and cost structures are sensitive to inflation and agricultural volatility. These features create high entry barriers for international firms without local adaptation and robust operational control.</w:t>
      </w:r>
    </w:p>
    <w:p w14:paraId="7ACF9BD6" w14:textId="77777777" w:rsidR="00FD1F4F" w:rsidRPr="00FD1F4F" w:rsidRDefault="00FD1F4F" w:rsidP="00FD1F4F">
      <w:pPr>
        <w:spacing w:line="360" w:lineRule="auto"/>
        <w:jc w:val="both"/>
        <w:rPr>
          <w:rFonts w:ascii="Times New Roman" w:hAnsi="Times New Roman" w:cs="Times New Roman"/>
          <w:b/>
          <w:bCs/>
          <w:sz w:val="24"/>
          <w:szCs w:val="24"/>
        </w:rPr>
      </w:pPr>
      <w:r w:rsidRPr="00FD1F4F">
        <w:rPr>
          <w:rFonts w:ascii="Times New Roman" w:hAnsi="Times New Roman" w:cs="Times New Roman"/>
          <w:b/>
          <w:bCs/>
          <w:sz w:val="24"/>
          <w:szCs w:val="24"/>
        </w:rPr>
        <w:t>1.3 Strategic Rationale for Selecting India</w:t>
      </w:r>
    </w:p>
    <w:p w14:paraId="099A5B8E" w14:textId="77777777" w:rsidR="00FD1F4F" w:rsidRPr="00FD1F4F" w:rsidRDefault="00FD1F4F" w:rsidP="00FD1F4F">
      <w:pPr>
        <w:spacing w:line="360" w:lineRule="auto"/>
        <w:jc w:val="both"/>
        <w:rPr>
          <w:rFonts w:ascii="Times New Roman" w:hAnsi="Times New Roman" w:cs="Times New Roman"/>
          <w:b/>
          <w:bCs/>
          <w:sz w:val="24"/>
          <w:szCs w:val="24"/>
        </w:rPr>
      </w:pPr>
      <w:r w:rsidRPr="00FD1F4F">
        <w:rPr>
          <w:rFonts w:ascii="Times New Roman" w:hAnsi="Times New Roman" w:cs="Times New Roman"/>
          <w:b/>
          <w:bCs/>
          <w:sz w:val="24"/>
          <w:szCs w:val="24"/>
        </w:rPr>
        <w:t>Market Attractiveness</w:t>
      </w:r>
    </w:p>
    <w:p w14:paraId="01B6FEFA" w14:textId="339A6A02"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India’s attractiveness lies in its long-term growth trajectory rather than short-term profitability. Rapid urban expansion, rising demand for convenience food and increasing acceptance of branded outlets create favourable conditions for sustained growth. Eating habits are evolving, with urban consumers seeking quick, affordable and hygienic food options that fit busy lifestyles</w:t>
      </w:r>
      <w:r w:rsidR="00697039">
        <w:rPr>
          <w:rFonts w:ascii="Times New Roman" w:hAnsi="Times New Roman" w:cs="Times New Roman"/>
          <w:sz w:val="24"/>
          <w:szCs w:val="24"/>
        </w:rPr>
        <w:t xml:space="preserve"> (</w:t>
      </w:r>
      <w:r w:rsidR="00697039" w:rsidRPr="007E0A33">
        <w:rPr>
          <w:rFonts w:ascii="Times New Roman" w:hAnsi="Times New Roman" w:cs="Times New Roman"/>
          <w:sz w:val="24"/>
          <w:szCs w:val="24"/>
        </w:rPr>
        <w:t xml:space="preserve">Kaur, </w:t>
      </w:r>
      <w:r w:rsidR="00697039">
        <w:rPr>
          <w:rFonts w:ascii="Times New Roman" w:hAnsi="Times New Roman" w:cs="Times New Roman"/>
          <w:sz w:val="24"/>
          <w:szCs w:val="24"/>
        </w:rPr>
        <w:t>2024)</w:t>
      </w:r>
      <w:r w:rsidRPr="00FD1F4F">
        <w:rPr>
          <w:rFonts w:ascii="Times New Roman" w:hAnsi="Times New Roman" w:cs="Times New Roman"/>
          <w:sz w:val="24"/>
          <w:szCs w:val="24"/>
        </w:rPr>
        <w:t>. These trends indicate strong underlying demand for food-on-the-go formats rather than premium dining experiences.</w:t>
      </w:r>
    </w:p>
    <w:p w14:paraId="64606C9F" w14:textId="77777777" w:rsidR="00FD1F4F" w:rsidRPr="00FD1F4F" w:rsidRDefault="00FD1F4F" w:rsidP="00FD1F4F">
      <w:pPr>
        <w:spacing w:line="360" w:lineRule="auto"/>
        <w:jc w:val="both"/>
        <w:rPr>
          <w:rFonts w:ascii="Times New Roman" w:hAnsi="Times New Roman" w:cs="Times New Roman"/>
          <w:b/>
          <w:bCs/>
          <w:sz w:val="24"/>
          <w:szCs w:val="24"/>
        </w:rPr>
      </w:pPr>
      <w:r w:rsidRPr="00FD1F4F">
        <w:rPr>
          <w:rFonts w:ascii="Times New Roman" w:hAnsi="Times New Roman" w:cs="Times New Roman"/>
          <w:b/>
          <w:bCs/>
          <w:sz w:val="24"/>
          <w:szCs w:val="24"/>
        </w:rPr>
        <w:t>Strategic Fit with Greggs’ Capabilities</w:t>
      </w:r>
    </w:p>
    <w:p w14:paraId="62340B9E" w14:textId="0E727838"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India shows a strong strategic fit with Greggs’ core capabilities. The company’s emphasis on affordability aligns closely with the price sensitivity of Indian consumers. Its grab-and-go format resonates with urban eating patterns where speed and convenience are valued. Greggs’ vertically integrated model also supports operational scalability, allowing cost control and quality consistency in a market where supply-chain reliability is a key concern</w:t>
      </w:r>
      <w:r w:rsidR="00697039">
        <w:rPr>
          <w:rFonts w:ascii="Times New Roman" w:hAnsi="Times New Roman" w:cs="Times New Roman"/>
          <w:sz w:val="24"/>
          <w:szCs w:val="24"/>
        </w:rPr>
        <w:t xml:space="preserve"> (</w:t>
      </w:r>
      <w:r w:rsidR="00697039" w:rsidRPr="007E0A33">
        <w:rPr>
          <w:rFonts w:ascii="Times New Roman" w:hAnsi="Times New Roman" w:cs="Times New Roman"/>
          <w:sz w:val="24"/>
          <w:szCs w:val="24"/>
        </w:rPr>
        <w:t>Cha</w:t>
      </w:r>
      <w:r w:rsidR="00697039">
        <w:rPr>
          <w:rFonts w:ascii="Times New Roman" w:hAnsi="Times New Roman" w:cs="Times New Roman"/>
          <w:sz w:val="24"/>
          <w:szCs w:val="24"/>
        </w:rPr>
        <w:t xml:space="preserve"> </w:t>
      </w:r>
      <w:r w:rsidR="00697039" w:rsidRPr="007E0A33">
        <w:rPr>
          <w:rFonts w:ascii="Times New Roman" w:hAnsi="Times New Roman" w:cs="Times New Roman"/>
          <w:sz w:val="24"/>
          <w:szCs w:val="24"/>
        </w:rPr>
        <w:t>and Hyun,</w:t>
      </w:r>
      <w:r w:rsidR="00697039">
        <w:rPr>
          <w:rFonts w:ascii="Times New Roman" w:hAnsi="Times New Roman" w:cs="Times New Roman"/>
          <w:sz w:val="24"/>
          <w:szCs w:val="24"/>
        </w:rPr>
        <w:t xml:space="preserve"> </w:t>
      </w:r>
      <w:r w:rsidR="00697039" w:rsidRPr="007E0A33">
        <w:rPr>
          <w:rFonts w:ascii="Times New Roman" w:hAnsi="Times New Roman" w:cs="Times New Roman"/>
          <w:sz w:val="24"/>
          <w:szCs w:val="24"/>
        </w:rPr>
        <w:t>2024</w:t>
      </w:r>
      <w:r w:rsidR="00697039">
        <w:rPr>
          <w:rFonts w:ascii="Times New Roman" w:hAnsi="Times New Roman" w:cs="Times New Roman"/>
          <w:sz w:val="24"/>
          <w:szCs w:val="24"/>
        </w:rPr>
        <w:t>)</w:t>
      </w:r>
      <w:r w:rsidRPr="00FD1F4F">
        <w:rPr>
          <w:rFonts w:ascii="Times New Roman" w:hAnsi="Times New Roman" w:cs="Times New Roman"/>
          <w:sz w:val="24"/>
          <w:szCs w:val="24"/>
        </w:rPr>
        <w:t>. With appropriate localisation of menu and formats, the model is transferable without undermining brand fundamentals.</w:t>
      </w:r>
    </w:p>
    <w:p w14:paraId="01AEA6E9" w14:textId="77777777" w:rsidR="00FD1F4F" w:rsidRPr="00FD1F4F" w:rsidRDefault="00FD1F4F" w:rsidP="00FD1F4F">
      <w:pPr>
        <w:spacing w:line="360" w:lineRule="auto"/>
        <w:jc w:val="both"/>
        <w:rPr>
          <w:rFonts w:ascii="Times New Roman" w:hAnsi="Times New Roman" w:cs="Times New Roman"/>
          <w:b/>
          <w:bCs/>
          <w:sz w:val="24"/>
          <w:szCs w:val="24"/>
        </w:rPr>
      </w:pPr>
      <w:r w:rsidRPr="00FD1F4F">
        <w:rPr>
          <w:rFonts w:ascii="Times New Roman" w:hAnsi="Times New Roman" w:cs="Times New Roman"/>
          <w:b/>
          <w:bCs/>
          <w:sz w:val="24"/>
          <w:szCs w:val="24"/>
        </w:rPr>
        <w:t>Alignment with Long-Term Growth Objectives</w:t>
      </w:r>
    </w:p>
    <w:p w14:paraId="769812DF" w14:textId="30F292CF" w:rsidR="00697039"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Expansion into India aligns with Greggs’ long-term objectives of sustainable growth, risk diversification and gradual brand extension beyond the UK. Rather than pursuing rapid globalisation, India offers a platform for learning-led internationalisation in a high-growth environment. Entering a large emerging market reduces reliance on a mature domestic base while enabling Greggs to test its business model in a structurally different context</w:t>
      </w:r>
      <w:r w:rsidR="00697039">
        <w:rPr>
          <w:rFonts w:ascii="Times New Roman" w:hAnsi="Times New Roman" w:cs="Times New Roman"/>
          <w:sz w:val="24"/>
          <w:szCs w:val="24"/>
        </w:rPr>
        <w:t xml:space="preserve"> (</w:t>
      </w:r>
      <w:proofErr w:type="spellStart"/>
      <w:r w:rsidR="00697039" w:rsidRPr="007E0A33">
        <w:rPr>
          <w:rFonts w:ascii="Times New Roman" w:hAnsi="Times New Roman" w:cs="Times New Roman"/>
          <w:sz w:val="24"/>
          <w:szCs w:val="24"/>
        </w:rPr>
        <w:t>Arowosafe</w:t>
      </w:r>
      <w:proofErr w:type="spellEnd"/>
      <w:r w:rsidR="00697039" w:rsidRPr="007E0A33">
        <w:rPr>
          <w:rFonts w:ascii="Times New Roman" w:hAnsi="Times New Roman" w:cs="Times New Roman"/>
          <w:sz w:val="24"/>
          <w:szCs w:val="24"/>
        </w:rPr>
        <w:t>,</w:t>
      </w:r>
      <w:r w:rsidR="00697039">
        <w:rPr>
          <w:rFonts w:ascii="Times New Roman" w:hAnsi="Times New Roman" w:cs="Times New Roman"/>
          <w:sz w:val="24"/>
          <w:szCs w:val="24"/>
        </w:rPr>
        <w:t xml:space="preserve"> 2022)</w:t>
      </w:r>
      <w:r w:rsidRPr="00FD1F4F">
        <w:rPr>
          <w:rFonts w:ascii="Times New Roman" w:hAnsi="Times New Roman" w:cs="Times New Roman"/>
          <w:sz w:val="24"/>
          <w:szCs w:val="24"/>
        </w:rPr>
        <w:t>. This supports long-term resilience and positions the firm for future international opportunities if the model proves scalable and adaptable.</w:t>
      </w:r>
    </w:p>
    <w:p w14:paraId="6ED2BC40" w14:textId="77777777" w:rsidR="00162B26" w:rsidRDefault="00162B26" w:rsidP="00FD1F4F">
      <w:pPr>
        <w:spacing w:line="360" w:lineRule="auto"/>
        <w:jc w:val="both"/>
        <w:rPr>
          <w:rFonts w:ascii="Times New Roman" w:hAnsi="Times New Roman" w:cs="Times New Roman"/>
          <w:sz w:val="24"/>
          <w:szCs w:val="24"/>
        </w:rPr>
      </w:pPr>
    </w:p>
    <w:p w14:paraId="28972F8B" w14:textId="77777777" w:rsidR="00162B26" w:rsidRPr="00FD1F4F" w:rsidRDefault="00162B26" w:rsidP="00FD1F4F">
      <w:pPr>
        <w:spacing w:line="360" w:lineRule="auto"/>
        <w:jc w:val="both"/>
        <w:rPr>
          <w:rFonts w:ascii="Times New Roman" w:hAnsi="Times New Roman" w:cs="Times New Roman"/>
          <w:sz w:val="24"/>
          <w:szCs w:val="24"/>
        </w:rPr>
      </w:pPr>
    </w:p>
    <w:p w14:paraId="761B5ABB" w14:textId="77777777" w:rsidR="00FD1F4F" w:rsidRPr="00FD1F4F" w:rsidRDefault="00FD1F4F" w:rsidP="009B3CF5">
      <w:pPr>
        <w:spacing w:line="360" w:lineRule="auto"/>
        <w:jc w:val="center"/>
        <w:rPr>
          <w:rFonts w:ascii="Times New Roman" w:hAnsi="Times New Roman" w:cs="Times New Roman"/>
          <w:b/>
          <w:bCs/>
          <w:sz w:val="32"/>
          <w:szCs w:val="32"/>
        </w:rPr>
      </w:pPr>
      <w:r w:rsidRPr="00FD1F4F">
        <w:rPr>
          <w:rFonts w:ascii="Times New Roman" w:hAnsi="Times New Roman" w:cs="Times New Roman"/>
          <w:b/>
          <w:bCs/>
          <w:sz w:val="32"/>
          <w:szCs w:val="32"/>
        </w:rPr>
        <w:lastRenderedPageBreak/>
        <w:t>Section 2: Comprehensive Strategic Analysis</w:t>
      </w:r>
    </w:p>
    <w:p w14:paraId="0678FE89" w14:textId="5B586654" w:rsidR="00FD1F4F" w:rsidRPr="00FD1F4F" w:rsidRDefault="00FD1F4F" w:rsidP="00FD1F4F">
      <w:pPr>
        <w:spacing w:line="360" w:lineRule="auto"/>
        <w:jc w:val="both"/>
        <w:rPr>
          <w:rFonts w:ascii="Times New Roman" w:hAnsi="Times New Roman" w:cs="Times New Roman"/>
          <w:b/>
          <w:bCs/>
          <w:sz w:val="24"/>
          <w:szCs w:val="24"/>
        </w:rPr>
      </w:pPr>
      <w:r w:rsidRPr="00FD1F4F">
        <w:rPr>
          <w:rFonts w:ascii="Times New Roman" w:hAnsi="Times New Roman" w:cs="Times New Roman"/>
          <w:b/>
          <w:bCs/>
          <w:sz w:val="24"/>
          <w:szCs w:val="24"/>
        </w:rPr>
        <w:t>2.1 Macro-Environmental Analysis of India</w:t>
      </w:r>
    </w:p>
    <w:p w14:paraId="79C38642" w14:textId="77777777" w:rsidR="009B3CF5"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Political and legal factors</w:t>
      </w:r>
    </w:p>
    <w:p w14:paraId="6AC97C39" w14:textId="31BCE469" w:rsid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India’s political environment is broadly stable with sustained policy emphasis on economic growth urban development and digitalisation. For food service and bakery retail the regulatory landscape is shaped primarily by food safety laws administered by the Food Safety and Standards Authority of India (FSSAI). Compliance with licensing labelling hygiene and traceability standards is mandatory and enforcement intensity varies by state. While foreign direct investment rules are relatively liberal for single-brand retail and food services regulatory fragmentation at state and municipal levels increases compliance complexity</w:t>
      </w:r>
      <w:r w:rsidR="00697039">
        <w:rPr>
          <w:rFonts w:ascii="Times New Roman" w:hAnsi="Times New Roman" w:cs="Times New Roman"/>
          <w:sz w:val="24"/>
          <w:szCs w:val="24"/>
        </w:rPr>
        <w:t xml:space="preserve"> (</w:t>
      </w:r>
      <w:r w:rsidR="00697039" w:rsidRPr="007E0A33">
        <w:rPr>
          <w:rFonts w:ascii="Times New Roman" w:hAnsi="Times New Roman" w:cs="Times New Roman"/>
          <w:sz w:val="24"/>
          <w:szCs w:val="24"/>
        </w:rPr>
        <w:t>Niu, 2022</w:t>
      </w:r>
      <w:r w:rsidR="00697039">
        <w:rPr>
          <w:rFonts w:ascii="Times New Roman" w:hAnsi="Times New Roman" w:cs="Times New Roman"/>
          <w:sz w:val="24"/>
          <w:szCs w:val="24"/>
        </w:rPr>
        <w:t>)</w:t>
      </w:r>
      <w:r w:rsidRPr="00FD1F4F">
        <w:rPr>
          <w:rFonts w:ascii="Times New Roman" w:hAnsi="Times New Roman" w:cs="Times New Roman"/>
          <w:sz w:val="24"/>
          <w:szCs w:val="24"/>
        </w:rPr>
        <w:t>. For an entrant such as Greggs this necessitates local legal expertise and structured governance to ensure consistent compliance across locations.</w:t>
      </w:r>
    </w:p>
    <w:p w14:paraId="188A5F1C" w14:textId="15B86321" w:rsidR="009B3CF5" w:rsidRDefault="009B3CF5" w:rsidP="00FD1F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FD1F4F">
        <w:rPr>
          <w:rFonts w:ascii="Times New Roman" w:hAnsi="Times New Roman" w:cs="Times New Roman"/>
          <w:noProof/>
          <w:sz w:val="24"/>
          <w:szCs w:val="24"/>
        </w:rPr>
        <w:drawing>
          <wp:inline distT="0" distB="0" distL="0" distR="0" wp14:anchorId="508950B9" wp14:editId="362230E1">
            <wp:extent cx="2736850" cy="2008519"/>
            <wp:effectExtent l="0" t="0" r="6350" b="0"/>
            <wp:docPr id="6975171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21346" b="26745"/>
                    <a:stretch>
                      <a:fillRect/>
                    </a:stretch>
                  </pic:blipFill>
                  <pic:spPr bwMode="auto">
                    <a:xfrm>
                      <a:off x="0" y="0"/>
                      <a:ext cx="2748788" cy="2017280"/>
                    </a:xfrm>
                    <a:prstGeom prst="rect">
                      <a:avLst/>
                    </a:prstGeom>
                    <a:noFill/>
                    <a:ln>
                      <a:noFill/>
                    </a:ln>
                    <a:extLst>
                      <a:ext uri="{53640926-AAD7-44D8-BBD7-CCE9431645EC}">
                        <a14:shadowObscured xmlns:a14="http://schemas.microsoft.com/office/drawing/2010/main"/>
                      </a:ext>
                    </a:extLst>
                  </pic:spPr>
                </pic:pic>
              </a:graphicData>
            </a:graphic>
          </wp:inline>
        </w:drawing>
      </w:r>
    </w:p>
    <w:p w14:paraId="03C76F76" w14:textId="3BC06BBE" w:rsidR="00162B26" w:rsidRPr="00FD1F4F" w:rsidRDefault="00162B26" w:rsidP="00FD1F4F">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                                        </w:t>
      </w:r>
      <w:r w:rsidRPr="00162B26">
        <w:rPr>
          <w:rFonts w:ascii="Times New Roman" w:hAnsi="Times New Roman" w:cs="Times New Roman"/>
          <w:b/>
          <w:bCs/>
          <w:i/>
          <w:iCs/>
          <w:sz w:val="24"/>
          <w:szCs w:val="24"/>
        </w:rPr>
        <w:t>Figure 5: FSSAI Rules, (2022)</w:t>
      </w:r>
    </w:p>
    <w:p w14:paraId="01922A0F" w14:textId="77777777" w:rsidR="009B3CF5"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Economic factors</w:t>
      </w:r>
    </w:p>
    <w:p w14:paraId="4EAF8839" w14:textId="5C20FBD7"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India is one of the fastest-growing large economies supported by rising disposable incomes and an expanding urban middle class. However income distribution remains uneven and price sensitivity is high particularly outside premium urban clusters. Inflationary pressures and volatility in agricultural input prices directly affect food service margins. These conditions favour value-oriented operators with efficient cost structures rather than premium pricing strategies which aligns with Greggs’ value-led proposition</w:t>
      </w:r>
      <w:r w:rsidR="00697039">
        <w:rPr>
          <w:rFonts w:ascii="Times New Roman" w:hAnsi="Times New Roman" w:cs="Times New Roman"/>
          <w:sz w:val="24"/>
          <w:szCs w:val="24"/>
        </w:rPr>
        <w:t xml:space="preserve"> (</w:t>
      </w:r>
      <w:r w:rsidR="00697039" w:rsidRPr="007E0A33">
        <w:rPr>
          <w:rFonts w:ascii="Times New Roman" w:hAnsi="Times New Roman" w:cs="Times New Roman"/>
          <w:sz w:val="24"/>
          <w:szCs w:val="24"/>
        </w:rPr>
        <w:t>Kolte,</w:t>
      </w:r>
      <w:r w:rsidR="00697039">
        <w:rPr>
          <w:rFonts w:ascii="Times New Roman" w:hAnsi="Times New Roman" w:cs="Times New Roman"/>
          <w:sz w:val="24"/>
          <w:szCs w:val="24"/>
        </w:rPr>
        <w:t xml:space="preserve"> 2021)</w:t>
      </w:r>
      <w:r w:rsidRPr="00FD1F4F">
        <w:rPr>
          <w:rFonts w:ascii="Times New Roman" w:hAnsi="Times New Roman" w:cs="Times New Roman"/>
          <w:sz w:val="24"/>
          <w:szCs w:val="24"/>
        </w:rPr>
        <w:t>.</w:t>
      </w:r>
    </w:p>
    <w:p w14:paraId="4E94561F" w14:textId="77777777" w:rsidR="009B3CF5"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Sociocultural factors</w:t>
      </w:r>
    </w:p>
    <w:p w14:paraId="3F09D3BD" w14:textId="28BF9DC2"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lastRenderedPageBreak/>
        <w:t>Food consumption in India is deeply influenced by cultural religious and regional norms. Vegetarianism is widespread and even non-vegetarian consumers often prefer vegetarian options when eating out. Taste preferences vary significantly across regions and consumers show strong attachment to local flavours. At the same time urban youth demonstrate growing acceptance of branded quick-service formats provided products are affordable culturally appropriate and perceived as hygienic</w:t>
      </w:r>
      <w:r w:rsidR="00697039">
        <w:rPr>
          <w:rFonts w:ascii="Times New Roman" w:hAnsi="Times New Roman" w:cs="Times New Roman"/>
          <w:sz w:val="24"/>
          <w:szCs w:val="24"/>
        </w:rPr>
        <w:t xml:space="preserve"> (</w:t>
      </w:r>
      <w:r w:rsidR="00697039" w:rsidRPr="007E0A33">
        <w:rPr>
          <w:rFonts w:ascii="Times New Roman" w:hAnsi="Times New Roman" w:cs="Times New Roman"/>
          <w:sz w:val="24"/>
          <w:szCs w:val="24"/>
        </w:rPr>
        <w:t>Narayanan</w:t>
      </w:r>
      <w:r w:rsidR="00697039">
        <w:rPr>
          <w:rFonts w:ascii="Times New Roman" w:hAnsi="Times New Roman" w:cs="Times New Roman"/>
          <w:sz w:val="24"/>
          <w:szCs w:val="24"/>
        </w:rPr>
        <w:t xml:space="preserve"> </w:t>
      </w:r>
      <w:r w:rsidR="00697039" w:rsidRPr="007E0A33">
        <w:rPr>
          <w:rFonts w:ascii="Times New Roman" w:hAnsi="Times New Roman" w:cs="Times New Roman"/>
          <w:sz w:val="24"/>
          <w:szCs w:val="24"/>
        </w:rPr>
        <w:t>and Saha, 2021</w:t>
      </w:r>
      <w:r w:rsidR="00697039">
        <w:rPr>
          <w:rFonts w:ascii="Times New Roman" w:hAnsi="Times New Roman" w:cs="Times New Roman"/>
          <w:sz w:val="24"/>
          <w:szCs w:val="24"/>
        </w:rPr>
        <w:t>)</w:t>
      </w:r>
      <w:r w:rsidRPr="00FD1F4F">
        <w:rPr>
          <w:rFonts w:ascii="Times New Roman" w:hAnsi="Times New Roman" w:cs="Times New Roman"/>
          <w:sz w:val="24"/>
          <w:szCs w:val="24"/>
        </w:rPr>
        <w:t>. Successful bakery and QSR concepts therefore require extensive localisation rather than direct transfer of Western menus.</w:t>
      </w:r>
    </w:p>
    <w:p w14:paraId="3983B276" w14:textId="77777777" w:rsidR="009B3CF5"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Technological factors</w:t>
      </w:r>
    </w:p>
    <w:p w14:paraId="770CDC1D" w14:textId="3DB18C3B"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Rapid growth in smartphone penetration digital payments and food delivery platforms has transformed India’s food retail sector. Aggregators such as delivery apps have become central to customer access brand discovery and demand generation. Technology also plays a growing role in inventory management demand forecasting and customer engagement</w:t>
      </w:r>
      <w:r w:rsidR="00697039">
        <w:rPr>
          <w:rFonts w:ascii="Times New Roman" w:hAnsi="Times New Roman" w:cs="Times New Roman"/>
          <w:sz w:val="24"/>
          <w:szCs w:val="24"/>
        </w:rPr>
        <w:t xml:space="preserve"> (</w:t>
      </w:r>
      <w:proofErr w:type="spellStart"/>
      <w:r w:rsidR="00697039" w:rsidRPr="007E0A33">
        <w:rPr>
          <w:rFonts w:ascii="Times New Roman" w:hAnsi="Times New Roman" w:cs="Times New Roman"/>
          <w:sz w:val="24"/>
          <w:szCs w:val="24"/>
        </w:rPr>
        <w:t>Despoudi</w:t>
      </w:r>
      <w:proofErr w:type="spellEnd"/>
      <w:r w:rsidR="00697039" w:rsidRPr="007E0A33">
        <w:rPr>
          <w:rFonts w:ascii="Times New Roman" w:hAnsi="Times New Roman" w:cs="Times New Roman"/>
          <w:sz w:val="24"/>
          <w:szCs w:val="24"/>
        </w:rPr>
        <w:t>,</w:t>
      </w:r>
      <w:r w:rsidR="00697039">
        <w:rPr>
          <w:rFonts w:ascii="Times New Roman" w:hAnsi="Times New Roman" w:cs="Times New Roman"/>
          <w:sz w:val="24"/>
          <w:szCs w:val="24"/>
        </w:rPr>
        <w:t xml:space="preserve"> 2025)</w:t>
      </w:r>
      <w:r w:rsidRPr="00FD1F4F">
        <w:rPr>
          <w:rFonts w:ascii="Times New Roman" w:hAnsi="Times New Roman" w:cs="Times New Roman"/>
          <w:sz w:val="24"/>
          <w:szCs w:val="24"/>
        </w:rPr>
        <w:t>. For food service retailers digital integration is no longer optional but essential for competitiveness in urban markets.</w:t>
      </w:r>
    </w:p>
    <w:p w14:paraId="09E943CE" w14:textId="77777777" w:rsidR="009B3CF5"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Environmental factors</w:t>
      </w:r>
    </w:p>
    <w:p w14:paraId="1D2DADE1" w14:textId="5D055C5B" w:rsid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Environmental concerns around food waste packaging and resource use are becoming increasingly prominent particularly among urban consumers and regulators. India faces acute challenges related to waste management and water scarcity which heighten scrutiny of food production and disposal practices. Sustainable sourcing waste reduction and responsible packaging are therefore strategic as well as ethical considerations for international food retailers</w:t>
      </w:r>
      <w:r w:rsidR="00697039">
        <w:rPr>
          <w:rFonts w:ascii="Times New Roman" w:hAnsi="Times New Roman" w:cs="Times New Roman"/>
          <w:sz w:val="24"/>
          <w:szCs w:val="24"/>
        </w:rPr>
        <w:t xml:space="preserve"> </w:t>
      </w:r>
      <w:r w:rsidR="00A61D1B">
        <w:rPr>
          <w:rFonts w:ascii="Times New Roman" w:hAnsi="Times New Roman" w:cs="Times New Roman"/>
          <w:sz w:val="24"/>
          <w:szCs w:val="24"/>
        </w:rPr>
        <w:t>(</w:t>
      </w:r>
      <w:r w:rsidR="00A61D1B" w:rsidRPr="007E0A33">
        <w:rPr>
          <w:rFonts w:ascii="Times New Roman" w:hAnsi="Times New Roman" w:cs="Times New Roman"/>
          <w:sz w:val="24"/>
          <w:szCs w:val="24"/>
        </w:rPr>
        <w:t xml:space="preserve">Roy, </w:t>
      </w:r>
      <w:r w:rsidR="00A61D1B">
        <w:rPr>
          <w:rFonts w:ascii="Times New Roman" w:hAnsi="Times New Roman" w:cs="Times New Roman"/>
          <w:sz w:val="24"/>
          <w:szCs w:val="24"/>
        </w:rPr>
        <w:t>2022)</w:t>
      </w:r>
      <w:r w:rsidRPr="00FD1F4F">
        <w:rPr>
          <w:rFonts w:ascii="Times New Roman" w:hAnsi="Times New Roman" w:cs="Times New Roman"/>
          <w:sz w:val="24"/>
          <w:szCs w:val="24"/>
        </w:rPr>
        <w:t>.</w:t>
      </w:r>
    </w:p>
    <w:p w14:paraId="22EED373" w14:textId="716DCB95" w:rsidR="00A7203E" w:rsidRDefault="00A7203E" w:rsidP="00FD1F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62B26">
        <w:rPr>
          <w:rFonts w:ascii="Times New Roman" w:hAnsi="Times New Roman" w:cs="Times New Roman"/>
          <w:sz w:val="24"/>
          <w:szCs w:val="24"/>
        </w:rPr>
        <w:t xml:space="preserve">       </w:t>
      </w:r>
      <w:r>
        <w:rPr>
          <w:rFonts w:ascii="Times New Roman" w:hAnsi="Times New Roman" w:cs="Times New Roman"/>
          <w:sz w:val="24"/>
          <w:szCs w:val="24"/>
        </w:rPr>
        <w:t xml:space="preserve">        </w:t>
      </w:r>
      <w:r>
        <w:rPr>
          <w:noProof/>
        </w:rPr>
        <w:drawing>
          <wp:inline distT="0" distB="0" distL="0" distR="0" wp14:anchorId="67EE0413" wp14:editId="4364EB5C">
            <wp:extent cx="2269807" cy="2194560"/>
            <wp:effectExtent l="0" t="0" r="0" b="0"/>
            <wp:docPr id="2137632196" name="Picture 27" descr="PESTEL analysis. Source: the author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2" descr="PESTEL analysis. Source: the authors. | Download Scientific Diagra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01269" cy="2224979"/>
                    </a:xfrm>
                    <a:prstGeom prst="rect">
                      <a:avLst/>
                    </a:prstGeom>
                    <a:noFill/>
                    <a:ln>
                      <a:noFill/>
                    </a:ln>
                  </pic:spPr>
                </pic:pic>
              </a:graphicData>
            </a:graphic>
          </wp:inline>
        </w:drawing>
      </w:r>
    </w:p>
    <w:p w14:paraId="385DC4A3" w14:textId="00D6BA2C" w:rsidR="00A7203E" w:rsidRPr="00FD1F4F" w:rsidRDefault="00162B26" w:rsidP="00FD1F4F">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                                </w:t>
      </w:r>
      <w:r w:rsidR="00A7203E" w:rsidRPr="00162B26">
        <w:rPr>
          <w:rFonts w:ascii="Times New Roman" w:hAnsi="Times New Roman" w:cs="Times New Roman"/>
          <w:b/>
          <w:bCs/>
          <w:i/>
          <w:iCs/>
          <w:sz w:val="24"/>
          <w:szCs w:val="24"/>
        </w:rPr>
        <w:t xml:space="preserve">Figure </w:t>
      </w:r>
      <w:r w:rsidRPr="00162B26">
        <w:rPr>
          <w:rFonts w:ascii="Times New Roman" w:hAnsi="Times New Roman" w:cs="Times New Roman"/>
          <w:b/>
          <w:bCs/>
          <w:i/>
          <w:iCs/>
          <w:sz w:val="24"/>
          <w:szCs w:val="24"/>
        </w:rPr>
        <w:t>6: PESTEL Framework, Sahoo, (2024).</w:t>
      </w:r>
    </w:p>
    <w:p w14:paraId="41F961DC" w14:textId="51704349" w:rsidR="00FD1F4F" w:rsidRPr="00FD1F4F" w:rsidRDefault="00FD1F4F" w:rsidP="00FD1F4F">
      <w:pPr>
        <w:spacing w:line="360" w:lineRule="auto"/>
        <w:jc w:val="both"/>
        <w:rPr>
          <w:rFonts w:ascii="Times New Roman" w:hAnsi="Times New Roman" w:cs="Times New Roman"/>
          <w:b/>
          <w:bCs/>
          <w:sz w:val="24"/>
          <w:szCs w:val="24"/>
        </w:rPr>
      </w:pPr>
      <w:r w:rsidRPr="00FD1F4F">
        <w:rPr>
          <w:rFonts w:ascii="Times New Roman" w:hAnsi="Times New Roman" w:cs="Times New Roman"/>
          <w:b/>
          <w:bCs/>
          <w:sz w:val="24"/>
          <w:szCs w:val="24"/>
        </w:rPr>
        <w:lastRenderedPageBreak/>
        <w:t>2.2 Industry and Competitive Analysis (Porter’s Five Forces)</w:t>
      </w:r>
    </w:p>
    <w:p w14:paraId="05850CB4" w14:textId="77777777" w:rsidR="009B3CF5"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Threat of new entrants</w:t>
      </w:r>
    </w:p>
    <w:p w14:paraId="172C1309" w14:textId="035F1928"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The threat of new entrants in the Indian food service and bakery sector is moderate to high. Capital requirements for small-scale entry are low and informal vendors can enter easily. However achieving scale brand recognition and compliance with food safety standards presents higher barriers. International entrants face additional regulatory and cultural challenges which partially protect established domestic players</w:t>
      </w:r>
      <w:r w:rsidR="00A61D1B">
        <w:rPr>
          <w:rFonts w:ascii="Times New Roman" w:hAnsi="Times New Roman" w:cs="Times New Roman"/>
          <w:sz w:val="24"/>
          <w:szCs w:val="24"/>
        </w:rPr>
        <w:t xml:space="preserve"> (</w:t>
      </w:r>
      <w:r w:rsidR="00A61D1B" w:rsidRPr="007E0A33">
        <w:rPr>
          <w:rFonts w:ascii="Times New Roman" w:hAnsi="Times New Roman" w:cs="Times New Roman"/>
          <w:sz w:val="24"/>
          <w:szCs w:val="24"/>
        </w:rPr>
        <w:t>Sahoo,</w:t>
      </w:r>
      <w:r w:rsidR="00A61D1B">
        <w:rPr>
          <w:rFonts w:ascii="Times New Roman" w:hAnsi="Times New Roman" w:cs="Times New Roman"/>
          <w:sz w:val="24"/>
          <w:szCs w:val="24"/>
        </w:rPr>
        <w:t xml:space="preserve"> 2024)</w:t>
      </w:r>
      <w:r w:rsidRPr="00FD1F4F">
        <w:rPr>
          <w:rFonts w:ascii="Times New Roman" w:hAnsi="Times New Roman" w:cs="Times New Roman"/>
          <w:sz w:val="24"/>
          <w:szCs w:val="24"/>
        </w:rPr>
        <w:t>.</w:t>
      </w:r>
    </w:p>
    <w:p w14:paraId="625127FE" w14:textId="77777777" w:rsidR="009B3CF5"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Bargaining power of suppliers</w:t>
      </w:r>
    </w:p>
    <w:p w14:paraId="10E2F925" w14:textId="0D0CF3EA"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Supplier power varies across categories. Basic ingredients such as flour vegetables and dairy are widely available which limits supplier bargaining power. However quality consistency and food safety compliance narrow the effective supplier base for organised chains. Volatility in agricultural prices can increase cost uncertainty. Vertically integrated or centrally managed supply chains can mitigate these risks but require local adaptation</w:t>
      </w:r>
      <w:r w:rsidR="00A61D1B">
        <w:rPr>
          <w:rFonts w:ascii="Times New Roman" w:hAnsi="Times New Roman" w:cs="Times New Roman"/>
          <w:sz w:val="24"/>
          <w:szCs w:val="24"/>
        </w:rPr>
        <w:t xml:space="preserve"> (</w:t>
      </w:r>
      <w:r w:rsidR="00A61D1B" w:rsidRPr="007E0A33">
        <w:rPr>
          <w:rFonts w:ascii="Times New Roman" w:hAnsi="Times New Roman" w:cs="Times New Roman"/>
          <w:sz w:val="24"/>
          <w:szCs w:val="24"/>
        </w:rPr>
        <w:t>Pai, 2023</w:t>
      </w:r>
      <w:r w:rsidR="00A61D1B">
        <w:rPr>
          <w:rFonts w:ascii="Times New Roman" w:hAnsi="Times New Roman" w:cs="Times New Roman"/>
          <w:sz w:val="24"/>
          <w:szCs w:val="24"/>
        </w:rPr>
        <w:t>)</w:t>
      </w:r>
      <w:r w:rsidRPr="00FD1F4F">
        <w:rPr>
          <w:rFonts w:ascii="Times New Roman" w:hAnsi="Times New Roman" w:cs="Times New Roman"/>
          <w:sz w:val="24"/>
          <w:szCs w:val="24"/>
        </w:rPr>
        <w:t>.</w:t>
      </w:r>
    </w:p>
    <w:p w14:paraId="18FECC54" w14:textId="77777777" w:rsidR="00936FE6"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Bargaining power of buyers</w:t>
      </w:r>
    </w:p>
    <w:p w14:paraId="6E7CAEBF" w14:textId="2CA11923"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Buyer power is high. Indian consumers have abundant alternatives including street food local bakeries cafés and global QSR brands. Switching costs are minimal and purchasing decisions are highly price sensitive. This places pressure on value perception and limits pricing flexibility. Strong brand trust and consistent quality are therefore essential to retain customers</w:t>
      </w:r>
      <w:r w:rsidR="00A61D1B">
        <w:rPr>
          <w:rFonts w:ascii="Times New Roman" w:hAnsi="Times New Roman" w:cs="Times New Roman"/>
          <w:sz w:val="24"/>
          <w:szCs w:val="24"/>
        </w:rPr>
        <w:t xml:space="preserve"> (</w:t>
      </w:r>
      <w:r w:rsidR="00A61D1B" w:rsidRPr="007E0A33">
        <w:rPr>
          <w:rFonts w:ascii="Times New Roman" w:hAnsi="Times New Roman" w:cs="Times New Roman"/>
          <w:sz w:val="24"/>
          <w:szCs w:val="24"/>
        </w:rPr>
        <w:t>D'Silva, 2021</w:t>
      </w:r>
      <w:r w:rsidR="00A61D1B">
        <w:rPr>
          <w:rFonts w:ascii="Times New Roman" w:hAnsi="Times New Roman" w:cs="Times New Roman"/>
          <w:sz w:val="24"/>
          <w:szCs w:val="24"/>
        </w:rPr>
        <w:t>)</w:t>
      </w:r>
      <w:r w:rsidRPr="00FD1F4F">
        <w:rPr>
          <w:rFonts w:ascii="Times New Roman" w:hAnsi="Times New Roman" w:cs="Times New Roman"/>
          <w:sz w:val="24"/>
          <w:szCs w:val="24"/>
        </w:rPr>
        <w:t>.</w:t>
      </w:r>
    </w:p>
    <w:p w14:paraId="77A0F667" w14:textId="77777777" w:rsidR="00936FE6"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Threat of substitutes</w:t>
      </w:r>
    </w:p>
    <w:p w14:paraId="4048B8F7" w14:textId="31C29A57"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The threat of substitutes is very strong. Traditional street food remains deeply embedded in daily consumption patterns offering low prices and local flavours. Supermarkets ready-to-eat foods and home cooking also act as substitutes. Organised bakery and QSR formats must therefore compete not only with similar chains but with fundamentally different food consumption options</w:t>
      </w:r>
      <w:r w:rsidR="00A61D1B">
        <w:rPr>
          <w:rFonts w:ascii="Times New Roman" w:hAnsi="Times New Roman" w:cs="Times New Roman"/>
          <w:sz w:val="24"/>
          <w:szCs w:val="24"/>
        </w:rPr>
        <w:t xml:space="preserve"> (</w:t>
      </w:r>
      <w:r w:rsidR="00A61D1B" w:rsidRPr="007E0A33">
        <w:rPr>
          <w:rFonts w:ascii="Times New Roman" w:hAnsi="Times New Roman" w:cs="Times New Roman"/>
          <w:sz w:val="24"/>
          <w:szCs w:val="24"/>
        </w:rPr>
        <w:t>Mokaya, 2022</w:t>
      </w:r>
      <w:r w:rsidR="00A61D1B">
        <w:rPr>
          <w:rFonts w:ascii="Times New Roman" w:hAnsi="Times New Roman" w:cs="Times New Roman"/>
          <w:sz w:val="24"/>
          <w:szCs w:val="24"/>
        </w:rPr>
        <w:t>)</w:t>
      </w:r>
      <w:r w:rsidRPr="00FD1F4F">
        <w:rPr>
          <w:rFonts w:ascii="Times New Roman" w:hAnsi="Times New Roman" w:cs="Times New Roman"/>
          <w:sz w:val="24"/>
          <w:szCs w:val="24"/>
        </w:rPr>
        <w:t>.</w:t>
      </w:r>
    </w:p>
    <w:p w14:paraId="5EF89C7E" w14:textId="77777777" w:rsidR="00936FE6"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Competitive rivalry</w:t>
      </w:r>
    </w:p>
    <w:p w14:paraId="564E9912" w14:textId="25C53E6A" w:rsid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 xml:space="preserve">Competitive rivalry in urban India is intense. Domestic QSR chains international fast-food brands cafés and independent bakeries compete aggressively on price location and delivery presence. Competition is particularly strong in high-footfall urban areas where growth potential </w:t>
      </w:r>
      <w:r w:rsidRPr="00FD1F4F">
        <w:rPr>
          <w:rFonts w:ascii="Times New Roman" w:hAnsi="Times New Roman" w:cs="Times New Roman"/>
          <w:sz w:val="24"/>
          <w:szCs w:val="24"/>
        </w:rPr>
        <w:lastRenderedPageBreak/>
        <w:t>is highest. Differentiation based purely on menu variety is difficult making operational efficiency and brand clarity critical</w:t>
      </w:r>
      <w:r w:rsidR="00A61D1B">
        <w:rPr>
          <w:rFonts w:ascii="Times New Roman" w:hAnsi="Times New Roman" w:cs="Times New Roman"/>
          <w:sz w:val="24"/>
          <w:szCs w:val="24"/>
        </w:rPr>
        <w:t xml:space="preserve"> (</w:t>
      </w:r>
      <w:proofErr w:type="spellStart"/>
      <w:r w:rsidR="00A61D1B" w:rsidRPr="007E0A33">
        <w:rPr>
          <w:rFonts w:ascii="Times New Roman" w:hAnsi="Times New Roman" w:cs="Times New Roman"/>
          <w:sz w:val="24"/>
          <w:szCs w:val="24"/>
        </w:rPr>
        <w:t>Madivoli</w:t>
      </w:r>
      <w:proofErr w:type="spellEnd"/>
      <w:r w:rsidR="00A61D1B" w:rsidRPr="007E0A33">
        <w:rPr>
          <w:rFonts w:ascii="Times New Roman" w:hAnsi="Times New Roman" w:cs="Times New Roman"/>
          <w:sz w:val="24"/>
          <w:szCs w:val="24"/>
        </w:rPr>
        <w:t>,</w:t>
      </w:r>
      <w:r w:rsidR="00A61D1B">
        <w:rPr>
          <w:rFonts w:ascii="Times New Roman" w:hAnsi="Times New Roman" w:cs="Times New Roman"/>
          <w:sz w:val="24"/>
          <w:szCs w:val="24"/>
        </w:rPr>
        <w:t xml:space="preserve"> 2025)</w:t>
      </w:r>
      <w:r w:rsidRPr="00FD1F4F">
        <w:rPr>
          <w:rFonts w:ascii="Times New Roman" w:hAnsi="Times New Roman" w:cs="Times New Roman"/>
          <w:sz w:val="24"/>
          <w:szCs w:val="24"/>
        </w:rPr>
        <w:t>.</w:t>
      </w:r>
    </w:p>
    <w:p w14:paraId="10D5CEBE" w14:textId="2E0C1B40" w:rsidR="00A7203E" w:rsidRDefault="00A7203E" w:rsidP="00FD1F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41CE356E" wp14:editId="5FED855D">
            <wp:extent cx="2727960" cy="2727960"/>
            <wp:effectExtent l="0" t="0" r="0" b="0"/>
            <wp:docPr id="1911916260" name="Picture 28" descr="Porter's Five Forces Analysis: Assessing The Competitive Environment -  Planium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4" descr="Porter's Five Forces Analysis: Assessing The Competitive Environment -  Planium Pro"/>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27960" cy="2727960"/>
                    </a:xfrm>
                    <a:prstGeom prst="rect">
                      <a:avLst/>
                    </a:prstGeom>
                    <a:noFill/>
                    <a:ln>
                      <a:noFill/>
                    </a:ln>
                  </pic:spPr>
                </pic:pic>
              </a:graphicData>
            </a:graphic>
          </wp:inline>
        </w:drawing>
      </w:r>
    </w:p>
    <w:p w14:paraId="4A02FA2B" w14:textId="0877F51E" w:rsidR="00740E53" w:rsidRPr="00FD1F4F" w:rsidRDefault="00162B26" w:rsidP="00FD1F4F">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                          </w:t>
      </w:r>
      <w:r w:rsidRPr="00162B26">
        <w:rPr>
          <w:rFonts w:ascii="Times New Roman" w:hAnsi="Times New Roman" w:cs="Times New Roman"/>
          <w:b/>
          <w:bCs/>
          <w:i/>
          <w:iCs/>
          <w:sz w:val="24"/>
          <w:szCs w:val="24"/>
        </w:rPr>
        <w:t>Figure 7: Porter’s Five forces, D'Silva, (2021).</w:t>
      </w:r>
    </w:p>
    <w:p w14:paraId="20531BFC" w14:textId="77777777" w:rsidR="00FD1F4F" w:rsidRPr="00FD1F4F" w:rsidRDefault="00FD1F4F" w:rsidP="00FD1F4F">
      <w:pPr>
        <w:spacing w:line="360" w:lineRule="auto"/>
        <w:jc w:val="both"/>
        <w:rPr>
          <w:rFonts w:ascii="Times New Roman" w:hAnsi="Times New Roman" w:cs="Times New Roman"/>
          <w:b/>
          <w:bCs/>
          <w:sz w:val="24"/>
          <w:szCs w:val="24"/>
        </w:rPr>
      </w:pPr>
      <w:r w:rsidRPr="00FD1F4F">
        <w:rPr>
          <w:rFonts w:ascii="Times New Roman" w:hAnsi="Times New Roman" w:cs="Times New Roman"/>
          <w:b/>
          <w:bCs/>
          <w:sz w:val="24"/>
          <w:szCs w:val="24"/>
        </w:rPr>
        <w:t>2.3 Internal and Performance Analysis (SWOT)</w:t>
      </w:r>
    </w:p>
    <w:p w14:paraId="2F656139" w14:textId="56A2758C"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Strengths</w:t>
      </w:r>
      <w:r w:rsidRPr="00FD1F4F">
        <w:rPr>
          <w:rFonts w:ascii="Times New Roman" w:hAnsi="Times New Roman" w:cs="Times New Roman"/>
          <w:sz w:val="24"/>
          <w:szCs w:val="24"/>
        </w:rPr>
        <w:br/>
        <w:t>Greggs’ core strengths lie in its value pricing model operational efficiency and strong brand trust built around affordability and consistency. Its private-label vertically integrated structure allows control over quality cost and product innovation. These capabilities are particularly valuable in a price-sensitive market where reliability and hygiene are key consumer concerns</w:t>
      </w:r>
      <w:r w:rsidR="00A61D1B">
        <w:rPr>
          <w:rFonts w:ascii="Times New Roman" w:hAnsi="Times New Roman" w:cs="Times New Roman"/>
          <w:sz w:val="24"/>
          <w:szCs w:val="24"/>
        </w:rPr>
        <w:t xml:space="preserve"> (</w:t>
      </w:r>
      <w:proofErr w:type="spellStart"/>
      <w:r w:rsidR="00A61D1B" w:rsidRPr="007E0A33">
        <w:rPr>
          <w:rFonts w:ascii="Times New Roman" w:hAnsi="Times New Roman" w:cs="Times New Roman"/>
          <w:sz w:val="24"/>
          <w:szCs w:val="24"/>
        </w:rPr>
        <w:t>Rethinam</w:t>
      </w:r>
      <w:proofErr w:type="spellEnd"/>
      <w:r w:rsidR="00A61D1B">
        <w:rPr>
          <w:rFonts w:ascii="Times New Roman" w:hAnsi="Times New Roman" w:cs="Times New Roman"/>
          <w:sz w:val="24"/>
          <w:szCs w:val="24"/>
        </w:rPr>
        <w:t xml:space="preserve"> </w:t>
      </w:r>
      <w:r w:rsidR="00A61D1B" w:rsidRPr="007E0A33">
        <w:rPr>
          <w:rFonts w:ascii="Times New Roman" w:hAnsi="Times New Roman" w:cs="Times New Roman"/>
          <w:sz w:val="24"/>
          <w:szCs w:val="24"/>
        </w:rPr>
        <w:t>and Krishnakumar, 2022</w:t>
      </w:r>
      <w:r w:rsidR="00A61D1B">
        <w:rPr>
          <w:rFonts w:ascii="Times New Roman" w:hAnsi="Times New Roman" w:cs="Times New Roman"/>
          <w:sz w:val="24"/>
          <w:szCs w:val="24"/>
        </w:rPr>
        <w:t>)</w:t>
      </w:r>
      <w:r w:rsidRPr="00FD1F4F">
        <w:rPr>
          <w:rFonts w:ascii="Times New Roman" w:hAnsi="Times New Roman" w:cs="Times New Roman"/>
          <w:sz w:val="24"/>
          <w:szCs w:val="24"/>
        </w:rPr>
        <w:t>.</w:t>
      </w:r>
    </w:p>
    <w:p w14:paraId="5F4F96E8" w14:textId="3A3213A1"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Weaknesses</w:t>
      </w:r>
      <w:r w:rsidRPr="00FD1F4F">
        <w:rPr>
          <w:rFonts w:ascii="Times New Roman" w:hAnsi="Times New Roman" w:cs="Times New Roman"/>
          <w:sz w:val="24"/>
          <w:szCs w:val="24"/>
        </w:rPr>
        <w:br/>
        <w:t>Greggs has limited international experience and minimal exposure to culturally diverse food markets. Its existing product portfolio is heavily oriented towards Western bakery preferences which may not translate directly to Indian tastes. Dependence on a narrow value proposition also increases vulnerability if cost pressures rise or localisation is insufficient</w:t>
      </w:r>
      <w:r w:rsidR="00A61D1B">
        <w:rPr>
          <w:rFonts w:ascii="Times New Roman" w:hAnsi="Times New Roman" w:cs="Times New Roman"/>
          <w:sz w:val="24"/>
          <w:szCs w:val="24"/>
        </w:rPr>
        <w:t xml:space="preserve"> (</w:t>
      </w:r>
      <w:r w:rsidR="00A61D1B" w:rsidRPr="007E0A33">
        <w:rPr>
          <w:rFonts w:ascii="Times New Roman" w:hAnsi="Times New Roman" w:cs="Times New Roman"/>
          <w:sz w:val="24"/>
          <w:szCs w:val="24"/>
        </w:rPr>
        <w:t>WAMBUA,</w:t>
      </w:r>
      <w:r w:rsidR="00A61D1B">
        <w:rPr>
          <w:rFonts w:ascii="Times New Roman" w:hAnsi="Times New Roman" w:cs="Times New Roman"/>
          <w:sz w:val="24"/>
          <w:szCs w:val="24"/>
        </w:rPr>
        <w:t xml:space="preserve"> </w:t>
      </w:r>
      <w:r w:rsidR="00A61D1B" w:rsidRPr="007E0A33">
        <w:rPr>
          <w:rFonts w:ascii="Times New Roman" w:hAnsi="Times New Roman" w:cs="Times New Roman"/>
          <w:sz w:val="24"/>
          <w:szCs w:val="24"/>
        </w:rPr>
        <w:t>2023</w:t>
      </w:r>
      <w:r w:rsidR="00A61D1B">
        <w:rPr>
          <w:rFonts w:ascii="Times New Roman" w:hAnsi="Times New Roman" w:cs="Times New Roman"/>
          <w:sz w:val="24"/>
          <w:szCs w:val="24"/>
        </w:rPr>
        <w:t>)</w:t>
      </w:r>
      <w:r w:rsidRPr="00FD1F4F">
        <w:rPr>
          <w:rFonts w:ascii="Times New Roman" w:hAnsi="Times New Roman" w:cs="Times New Roman"/>
          <w:sz w:val="24"/>
          <w:szCs w:val="24"/>
        </w:rPr>
        <w:t>.</w:t>
      </w:r>
    </w:p>
    <w:p w14:paraId="0B5D1BE6" w14:textId="483DEA7A"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Opportunities</w:t>
      </w:r>
      <w:r w:rsidRPr="00FD1F4F">
        <w:rPr>
          <w:rFonts w:ascii="Times New Roman" w:hAnsi="Times New Roman" w:cs="Times New Roman"/>
          <w:sz w:val="24"/>
          <w:szCs w:val="24"/>
        </w:rPr>
        <w:br/>
        <w:t>India offers substantial opportunities driven by urbanisation youth demographics and growing demand for affordable food-on-the-go. Expansion of delivery platforms increases market reach without immediate large-scale physical investment. With appropriate menu adaptation Greggs can position itself as a hygienic value alternative to informal food vendors</w:t>
      </w:r>
      <w:r w:rsidR="00A61D1B">
        <w:rPr>
          <w:rFonts w:ascii="Times New Roman" w:hAnsi="Times New Roman" w:cs="Times New Roman"/>
          <w:sz w:val="24"/>
          <w:szCs w:val="24"/>
        </w:rPr>
        <w:t xml:space="preserve"> (</w:t>
      </w:r>
      <w:proofErr w:type="spellStart"/>
      <w:r w:rsidR="00A61D1B" w:rsidRPr="007E0A33">
        <w:rPr>
          <w:rFonts w:ascii="Times New Roman" w:hAnsi="Times New Roman" w:cs="Times New Roman"/>
          <w:sz w:val="24"/>
          <w:szCs w:val="24"/>
        </w:rPr>
        <w:t>Ntleki</w:t>
      </w:r>
      <w:proofErr w:type="spellEnd"/>
      <w:r w:rsidR="00A61D1B" w:rsidRPr="007E0A33">
        <w:rPr>
          <w:rFonts w:ascii="Times New Roman" w:hAnsi="Times New Roman" w:cs="Times New Roman"/>
          <w:sz w:val="24"/>
          <w:szCs w:val="24"/>
        </w:rPr>
        <w:t>, 2025</w:t>
      </w:r>
      <w:r w:rsidR="00A61D1B">
        <w:rPr>
          <w:rFonts w:ascii="Times New Roman" w:hAnsi="Times New Roman" w:cs="Times New Roman"/>
          <w:sz w:val="24"/>
          <w:szCs w:val="24"/>
        </w:rPr>
        <w:t>)</w:t>
      </w:r>
      <w:r w:rsidRPr="00FD1F4F">
        <w:rPr>
          <w:rFonts w:ascii="Times New Roman" w:hAnsi="Times New Roman" w:cs="Times New Roman"/>
          <w:sz w:val="24"/>
          <w:szCs w:val="24"/>
        </w:rPr>
        <w:t>.</w:t>
      </w:r>
    </w:p>
    <w:p w14:paraId="0E040353" w14:textId="6B3B238E"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lastRenderedPageBreak/>
        <w:t>Threats</w:t>
      </w:r>
      <w:r w:rsidRPr="00FD1F4F">
        <w:rPr>
          <w:rFonts w:ascii="Times New Roman" w:hAnsi="Times New Roman" w:cs="Times New Roman"/>
          <w:sz w:val="24"/>
          <w:szCs w:val="24"/>
        </w:rPr>
        <w:br/>
        <w:t>Key threats include intense competition high buyer price sensitivity regulatory complexity and cultural misalignment. Failure to accommodate dietary norms particularly vegetarian preferences could limit acceptance. Supply-chain disruptions food inflation and reputational risk linked to food safety also pose significant challenges</w:t>
      </w:r>
      <w:r w:rsidR="00A61D1B">
        <w:rPr>
          <w:rFonts w:ascii="Times New Roman" w:hAnsi="Times New Roman" w:cs="Times New Roman"/>
          <w:sz w:val="24"/>
          <w:szCs w:val="24"/>
        </w:rPr>
        <w:t xml:space="preserve"> (</w:t>
      </w:r>
      <w:r w:rsidR="00A61D1B" w:rsidRPr="007E0A33">
        <w:rPr>
          <w:rFonts w:ascii="Times New Roman" w:hAnsi="Times New Roman" w:cs="Times New Roman"/>
          <w:sz w:val="24"/>
          <w:szCs w:val="24"/>
        </w:rPr>
        <w:t>Niu, 2022</w:t>
      </w:r>
      <w:r w:rsidR="00A61D1B">
        <w:rPr>
          <w:rFonts w:ascii="Times New Roman" w:hAnsi="Times New Roman" w:cs="Times New Roman"/>
          <w:sz w:val="24"/>
          <w:szCs w:val="24"/>
        </w:rPr>
        <w:t>)</w:t>
      </w:r>
      <w:r w:rsidRPr="00FD1F4F">
        <w:rPr>
          <w:rFonts w:ascii="Times New Roman" w:hAnsi="Times New Roman" w:cs="Times New Roman"/>
          <w:sz w:val="24"/>
          <w:szCs w:val="24"/>
        </w:rPr>
        <w:t>.</w:t>
      </w:r>
    </w:p>
    <w:p w14:paraId="4B00468B" w14:textId="62726B24" w:rsidR="00FD1F4F" w:rsidRDefault="00740E53" w:rsidP="00FD1F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191CEAFC" wp14:editId="705B6101">
            <wp:extent cx="3590290" cy="2210817"/>
            <wp:effectExtent l="0" t="0" r="0" b="0"/>
            <wp:docPr id="713602551" name="Picture 29" descr="What is SWOT Analysis | How to Do a SWOT Analysis | Exeed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6" descr="What is SWOT Analysis | How to Do a SWOT Analysis | Exeed Colle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94799" cy="2213593"/>
                    </a:xfrm>
                    <a:prstGeom prst="rect">
                      <a:avLst/>
                    </a:prstGeom>
                    <a:noFill/>
                    <a:ln>
                      <a:noFill/>
                    </a:ln>
                  </pic:spPr>
                </pic:pic>
              </a:graphicData>
            </a:graphic>
          </wp:inline>
        </w:drawing>
      </w:r>
    </w:p>
    <w:p w14:paraId="01747D6B" w14:textId="10FE217B" w:rsidR="00162B26" w:rsidRPr="00FD1F4F" w:rsidRDefault="00162B26" w:rsidP="00FD1F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8: SWOT Analysis, </w:t>
      </w:r>
      <w:proofErr w:type="spellStart"/>
      <w:r w:rsidRPr="007E0A33">
        <w:rPr>
          <w:rFonts w:ascii="Times New Roman" w:hAnsi="Times New Roman" w:cs="Times New Roman"/>
          <w:sz w:val="24"/>
          <w:szCs w:val="24"/>
        </w:rPr>
        <w:t>Despoudi</w:t>
      </w:r>
      <w:proofErr w:type="spellEnd"/>
      <w:r w:rsidRPr="007E0A33">
        <w:rPr>
          <w:rFonts w:ascii="Times New Roman" w:hAnsi="Times New Roman" w:cs="Times New Roman"/>
          <w:sz w:val="24"/>
          <w:szCs w:val="24"/>
        </w:rPr>
        <w:t xml:space="preserve">, </w:t>
      </w:r>
      <w:r>
        <w:rPr>
          <w:rFonts w:ascii="Times New Roman" w:hAnsi="Times New Roman" w:cs="Times New Roman"/>
          <w:sz w:val="24"/>
          <w:szCs w:val="24"/>
        </w:rPr>
        <w:t>(2025).</w:t>
      </w:r>
    </w:p>
    <w:p w14:paraId="649F0F98" w14:textId="77777777" w:rsidR="00FD1F4F" w:rsidRPr="00FD1F4F" w:rsidRDefault="00FD1F4F" w:rsidP="00FD1F4F">
      <w:pPr>
        <w:spacing w:line="360" w:lineRule="auto"/>
        <w:jc w:val="both"/>
        <w:rPr>
          <w:rFonts w:ascii="Times New Roman" w:hAnsi="Times New Roman" w:cs="Times New Roman"/>
          <w:b/>
          <w:bCs/>
          <w:sz w:val="24"/>
          <w:szCs w:val="24"/>
        </w:rPr>
      </w:pPr>
      <w:r w:rsidRPr="00FD1F4F">
        <w:rPr>
          <w:rFonts w:ascii="Times New Roman" w:hAnsi="Times New Roman" w:cs="Times New Roman"/>
          <w:b/>
          <w:bCs/>
          <w:sz w:val="24"/>
          <w:szCs w:val="24"/>
        </w:rPr>
        <w:t>2.4 Strategic Insights and Implications for Greggs in India</w:t>
      </w:r>
    </w:p>
    <w:p w14:paraId="577C22B2" w14:textId="77777777" w:rsidR="00936FE6"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Opportunities versus constraints</w:t>
      </w:r>
    </w:p>
    <w:p w14:paraId="452636E6" w14:textId="11DFF30E"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The analysis highlights strong growth potential in India’s urban food service market supported by demographic and lifestyle shifts. However this opportunity is constrained by extreme price sensitivity intense competition and low switching costs. A value-led positioning is necessary but insufficient on its own without strong localisation and cost discipline.</w:t>
      </w:r>
    </w:p>
    <w:p w14:paraId="74C9665E" w14:textId="77777777" w:rsidR="00936FE6"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Institutional and cultural considerations</w:t>
      </w:r>
    </w:p>
    <w:p w14:paraId="6614F8FC" w14:textId="441A966A"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Cultural alignment is critical. Menu design must prioritise vegetarian offerings local flavours and culturally acceptable formats. Store operations and marketing communication must reflect local norms rather than imported brand narratives. Institutional complexity further reinforces the need for local partnerships and adaptive governance structures</w:t>
      </w:r>
      <w:r w:rsidR="00A61D1B">
        <w:rPr>
          <w:rFonts w:ascii="Times New Roman" w:hAnsi="Times New Roman" w:cs="Times New Roman"/>
          <w:sz w:val="24"/>
          <w:szCs w:val="24"/>
        </w:rPr>
        <w:t xml:space="preserve"> (</w:t>
      </w:r>
      <w:r w:rsidR="00A61D1B" w:rsidRPr="007E0A33">
        <w:rPr>
          <w:rFonts w:ascii="Times New Roman" w:hAnsi="Times New Roman" w:cs="Times New Roman"/>
          <w:sz w:val="24"/>
          <w:szCs w:val="24"/>
        </w:rPr>
        <w:t>Sahoo,</w:t>
      </w:r>
      <w:r w:rsidR="00A61D1B">
        <w:rPr>
          <w:rFonts w:ascii="Times New Roman" w:hAnsi="Times New Roman" w:cs="Times New Roman"/>
          <w:sz w:val="24"/>
          <w:szCs w:val="24"/>
        </w:rPr>
        <w:t xml:space="preserve"> 2024)</w:t>
      </w:r>
      <w:r w:rsidRPr="00FD1F4F">
        <w:rPr>
          <w:rFonts w:ascii="Times New Roman" w:hAnsi="Times New Roman" w:cs="Times New Roman"/>
          <w:sz w:val="24"/>
          <w:szCs w:val="24"/>
        </w:rPr>
        <w:t>.</w:t>
      </w:r>
    </w:p>
    <w:p w14:paraId="0F087075" w14:textId="77777777" w:rsidR="00936FE6"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Sustainability and regulatory pressure</w:t>
      </w:r>
    </w:p>
    <w:p w14:paraId="4DA0B6CF" w14:textId="5CA494D4"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 xml:space="preserve">Food safety compliance responsible sourcing and waste management are central to long-term viability. Regulatory scrutiny combined with rising consumer awareness increases the cost of non-compliance. For Greggs sustainability should therefore be embedded operationally rather </w:t>
      </w:r>
      <w:r w:rsidRPr="00FD1F4F">
        <w:rPr>
          <w:rFonts w:ascii="Times New Roman" w:hAnsi="Times New Roman" w:cs="Times New Roman"/>
          <w:sz w:val="24"/>
          <w:szCs w:val="24"/>
        </w:rPr>
        <w:lastRenderedPageBreak/>
        <w:t>than treated as a branding add-on. Alignment with ESG expectations can strengthen legitimacy and support sustainable growth</w:t>
      </w:r>
      <w:r w:rsidR="00A61D1B">
        <w:rPr>
          <w:rFonts w:ascii="Times New Roman" w:hAnsi="Times New Roman" w:cs="Times New Roman"/>
          <w:sz w:val="24"/>
          <w:szCs w:val="24"/>
        </w:rPr>
        <w:t xml:space="preserve"> (</w:t>
      </w:r>
      <w:proofErr w:type="spellStart"/>
      <w:r w:rsidR="00A61D1B" w:rsidRPr="007E0A33">
        <w:rPr>
          <w:rFonts w:ascii="Times New Roman" w:hAnsi="Times New Roman" w:cs="Times New Roman"/>
          <w:sz w:val="24"/>
          <w:szCs w:val="24"/>
        </w:rPr>
        <w:t>Despoudi</w:t>
      </w:r>
      <w:proofErr w:type="spellEnd"/>
      <w:r w:rsidR="00A61D1B" w:rsidRPr="007E0A33">
        <w:rPr>
          <w:rFonts w:ascii="Times New Roman" w:hAnsi="Times New Roman" w:cs="Times New Roman"/>
          <w:sz w:val="24"/>
          <w:szCs w:val="24"/>
        </w:rPr>
        <w:t xml:space="preserve">, </w:t>
      </w:r>
      <w:r w:rsidR="00A61D1B">
        <w:rPr>
          <w:rFonts w:ascii="Times New Roman" w:hAnsi="Times New Roman" w:cs="Times New Roman"/>
          <w:sz w:val="24"/>
          <w:szCs w:val="24"/>
        </w:rPr>
        <w:t>2025)</w:t>
      </w:r>
      <w:r w:rsidRPr="00FD1F4F">
        <w:rPr>
          <w:rFonts w:ascii="Times New Roman" w:hAnsi="Times New Roman" w:cs="Times New Roman"/>
          <w:sz w:val="24"/>
          <w:szCs w:val="24"/>
        </w:rPr>
        <w:t>.</w:t>
      </w:r>
    </w:p>
    <w:p w14:paraId="2992062E" w14:textId="77777777" w:rsid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Taken together the strategic analysis suggests that India represents a high-potential but execution-intensive market. Success for Greggs depends on disciplined entry selective positioning deep localisation and robust operational control. These insights provide a clear foundation for strategy development and formulation in the next section.</w:t>
      </w:r>
    </w:p>
    <w:p w14:paraId="40580C5A" w14:textId="77777777" w:rsidR="00740E53" w:rsidRDefault="00740E53" w:rsidP="00FD1F4F">
      <w:pPr>
        <w:spacing w:line="360" w:lineRule="auto"/>
        <w:jc w:val="both"/>
        <w:rPr>
          <w:rFonts w:ascii="Times New Roman" w:hAnsi="Times New Roman" w:cs="Times New Roman"/>
          <w:sz w:val="24"/>
          <w:szCs w:val="24"/>
        </w:rPr>
      </w:pPr>
    </w:p>
    <w:p w14:paraId="0B877F1E" w14:textId="77777777" w:rsidR="00936FE6" w:rsidRPr="00FD1F4F" w:rsidRDefault="00936FE6" w:rsidP="00FD1F4F">
      <w:pPr>
        <w:spacing w:line="360" w:lineRule="auto"/>
        <w:jc w:val="both"/>
        <w:rPr>
          <w:rFonts w:ascii="Times New Roman" w:hAnsi="Times New Roman" w:cs="Times New Roman"/>
          <w:sz w:val="24"/>
          <w:szCs w:val="24"/>
        </w:rPr>
      </w:pPr>
    </w:p>
    <w:p w14:paraId="7A8F979E" w14:textId="77777777" w:rsidR="00FD1F4F" w:rsidRPr="00FD1F4F" w:rsidRDefault="00FD1F4F" w:rsidP="00936FE6">
      <w:pPr>
        <w:spacing w:line="360" w:lineRule="auto"/>
        <w:jc w:val="center"/>
        <w:rPr>
          <w:rFonts w:ascii="Times New Roman" w:hAnsi="Times New Roman" w:cs="Times New Roman"/>
          <w:b/>
          <w:bCs/>
          <w:sz w:val="32"/>
          <w:szCs w:val="32"/>
        </w:rPr>
      </w:pPr>
      <w:r w:rsidRPr="00FD1F4F">
        <w:rPr>
          <w:rFonts w:ascii="Times New Roman" w:hAnsi="Times New Roman" w:cs="Times New Roman"/>
          <w:b/>
          <w:bCs/>
          <w:sz w:val="32"/>
          <w:szCs w:val="32"/>
        </w:rPr>
        <w:t>Section 3: Strategy Development and Formulation</w:t>
      </w:r>
    </w:p>
    <w:p w14:paraId="71B887A0" w14:textId="77777777" w:rsidR="00FD1F4F" w:rsidRPr="00FD1F4F" w:rsidRDefault="00FD1F4F" w:rsidP="00FD1F4F">
      <w:pPr>
        <w:spacing w:line="360" w:lineRule="auto"/>
        <w:jc w:val="both"/>
        <w:rPr>
          <w:rFonts w:ascii="Times New Roman" w:hAnsi="Times New Roman" w:cs="Times New Roman"/>
          <w:b/>
          <w:bCs/>
          <w:sz w:val="24"/>
          <w:szCs w:val="24"/>
        </w:rPr>
      </w:pPr>
      <w:r w:rsidRPr="00FD1F4F">
        <w:rPr>
          <w:rFonts w:ascii="Times New Roman" w:hAnsi="Times New Roman" w:cs="Times New Roman"/>
          <w:b/>
          <w:bCs/>
          <w:sz w:val="24"/>
          <w:szCs w:val="24"/>
        </w:rPr>
        <w:t>3.1 Strategic Direction and Growth Objectives in India</w:t>
      </w:r>
    </w:p>
    <w:p w14:paraId="4F37EF73" w14:textId="17902A42"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The strategic direction for Greggs in India should prioritise disciplined entry and long-term viability rather than rapid footprint expansion. Given the institutional complexity, cultural diversity and intense competition within India’s food service sector, a focused urban entry strategy is most appropriate. Initial operations should be concentrated in tier-one metropolitan cities such as Mumbai, Delhi NCR and Bengaluru where consumer purchasing power, exposure to organised food retail and demand for convenient food-on-the-go are strongest. This targeted approach reduces execution risk while enabling clearer brand positioning</w:t>
      </w:r>
      <w:r w:rsidR="00A61D1B">
        <w:rPr>
          <w:rFonts w:ascii="Times New Roman" w:hAnsi="Times New Roman" w:cs="Times New Roman"/>
          <w:sz w:val="24"/>
          <w:szCs w:val="24"/>
        </w:rPr>
        <w:t xml:space="preserve"> (</w:t>
      </w:r>
      <w:proofErr w:type="spellStart"/>
      <w:r w:rsidR="00A61D1B" w:rsidRPr="007E0A33">
        <w:rPr>
          <w:rFonts w:ascii="Times New Roman" w:hAnsi="Times New Roman" w:cs="Times New Roman"/>
          <w:sz w:val="24"/>
          <w:szCs w:val="24"/>
        </w:rPr>
        <w:t>Arowosafe</w:t>
      </w:r>
      <w:proofErr w:type="spellEnd"/>
      <w:r w:rsidR="00A61D1B" w:rsidRPr="007E0A33">
        <w:rPr>
          <w:rFonts w:ascii="Times New Roman" w:hAnsi="Times New Roman" w:cs="Times New Roman"/>
          <w:sz w:val="24"/>
          <w:szCs w:val="24"/>
        </w:rPr>
        <w:t>,</w:t>
      </w:r>
      <w:r w:rsidR="00A61D1B">
        <w:rPr>
          <w:rFonts w:ascii="Times New Roman" w:hAnsi="Times New Roman" w:cs="Times New Roman"/>
          <w:sz w:val="24"/>
          <w:szCs w:val="24"/>
        </w:rPr>
        <w:t xml:space="preserve"> 2022)</w:t>
      </w:r>
      <w:r w:rsidRPr="00FD1F4F">
        <w:rPr>
          <w:rFonts w:ascii="Times New Roman" w:hAnsi="Times New Roman" w:cs="Times New Roman"/>
          <w:sz w:val="24"/>
          <w:szCs w:val="24"/>
        </w:rPr>
        <w:t>.</w:t>
      </w:r>
    </w:p>
    <w:p w14:paraId="2FE9DF07" w14:textId="7A943439"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Learning-led expansion should underpin this strategy. Early-stage operations should be designed as learning platforms, allowing Greggs to test menu adaptations, pricing thresholds, store formats and delivery partnerships. Insights generated from customer behaviour, sales patterns and operational performance should inform subsequent decisions rather than committing prematurely to large-scale rollout</w:t>
      </w:r>
      <w:r w:rsidR="00A61D1B">
        <w:rPr>
          <w:rFonts w:ascii="Times New Roman" w:hAnsi="Times New Roman" w:cs="Times New Roman"/>
          <w:sz w:val="24"/>
          <w:szCs w:val="24"/>
        </w:rPr>
        <w:t xml:space="preserve"> (</w:t>
      </w:r>
      <w:r w:rsidR="00A61D1B" w:rsidRPr="007E0A33">
        <w:rPr>
          <w:rFonts w:ascii="Times New Roman" w:hAnsi="Times New Roman" w:cs="Times New Roman"/>
          <w:sz w:val="24"/>
          <w:szCs w:val="24"/>
        </w:rPr>
        <w:t>Gagliano, 2022</w:t>
      </w:r>
      <w:r w:rsidR="00A61D1B">
        <w:rPr>
          <w:rFonts w:ascii="Times New Roman" w:hAnsi="Times New Roman" w:cs="Times New Roman"/>
          <w:sz w:val="24"/>
          <w:szCs w:val="24"/>
        </w:rPr>
        <w:t>)</w:t>
      </w:r>
      <w:r w:rsidRPr="00FD1F4F">
        <w:rPr>
          <w:rFonts w:ascii="Times New Roman" w:hAnsi="Times New Roman" w:cs="Times New Roman"/>
          <w:sz w:val="24"/>
          <w:szCs w:val="24"/>
        </w:rPr>
        <w:t>. This approach aligns with Greggs’ limited international experience and mitigates the risk of misaligned replication of the UK model.</w:t>
      </w:r>
    </w:p>
    <w:p w14:paraId="3A1DD7A0" w14:textId="5BB7D432"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Profitability before scale is a central objective. Rather than prioritising store count growth, Greggs should aim to achieve unit-level profitability and operational stability in initial locations. Establishing cost discipline, supply-chain reliability and local acceptance creates a stronger foundation for future expansion and avoids the financial strain often associated with rapid internationalisation in price-sensitive markets</w:t>
      </w:r>
      <w:r w:rsidR="00A61D1B">
        <w:rPr>
          <w:rFonts w:ascii="Times New Roman" w:hAnsi="Times New Roman" w:cs="Times New Roman"/>
          <w:sz w:val="24"/>
          <w:szCs w:val="24"/>
        </w:rPr>
        <w:t xml:space="preserve"> (</w:t>
      </w:r>
      <w:proofErr w:type="spellStart"/>
      <w:r w:rsidR="00A61D1B" w:rsidRPr="007E0A33">
        <w:rPr>
          <w:rFonts w:ascii="Times New Roman" w:hAnsi="Times New Roman" w:cs="Times New Roman"/>
          <w:sz w:val="24"/>
          <w:szCs w:val="24"/>
        </w:rPr>
        <w:t>Foroudi</w:t>
      </w:r>
      <w:proofErr w:type="spellEnd"/>
      <w:r w:rsidR="00A61D1B" w:rsidRPr="007E0A33">
        <w:rPr>
          <w:rFonts w:ascii="Times New Roman" w:hAnsi="Times New Roman" w:cs="Times New Roman"/>
          <w:sz w:val="24"/>
          <w:szCs w:val="24"/>
        </w:rPr>
        <w:t>, 2024</w:t>
      </w:r>
      <w:r w:rsidR="00A61D1B">
        <w:rPr>
          <w:rFonts w:ascii="Times New Roman" w:hAnsi="Times New Roman" w:cs="Times New Roman"/>
          <w:sz w:val="24"/>
          <w:szCs w:val="24"/>
        </w:rPr>
        <w:t>)</w:t>
      </w:r>
      <w:r w:rsidRPr="00FD1F4F">
        <w:rPr>
          <w:rFonts w:ascii="Times New Roman" w:hAnsi="Times New Roman" w:cs="Times New Roman"/>
          <w:sz w:val="24"/>
          <w:szCs w:val="24"/>
        </w:rPr>
        <w:t>.</w:t>
      </w:r>
    </w:p>
    <w:p w14:paraId="25E5E4ED" w14:textId="68244B7B" w:rsidR="00FD1F4F" w:rsidRPr="00FD1F4F" w:rsidRDefault="00FD1F4F" w:rsidP="00FD1F4F">
      <w:pPr>
        <w:spacing w:line="360" w:lineRule="auto"/>
        <w:jc w:val="both"/>
        <w:rPr>
          <w:rFonts w:ascii="Times New Roman" w:hAnsi="Times New Roman" w:cs="Times New Roman"/>
          <w:sz w:val="24"/>
          <w:szCs w:val="24"/>
        </w:rPr>
      </w:pPr>
    </w:p>
    <w:p w14:paraId="7F8C1CBA" w14:textId="77777777" w:rsidR="00FD1F4F" w:rsidRPr="00FD1F4F" w:rsidRDefault="00FD1F4F" w:rsidP="00FD1F4F">
      <w:pPr>
        <w:spacing w:line="360" w:lineRule="auto"/>
        <w:jc w:val="both"/>
        <w:rPr>
          <w:rFonts w:ascii="Times New Roman" w:hAnsi="Times New Roman" w:cs="Times New Roman"/>
          <w:b/>
          <w:bCs/>
          <w:sz w:val="24"/>
          <w:szCs w:val="24"/>
        </w:rPr>
      </w:pPr>
      <w:r w:rsidRPr="00FD1F4F">
        <w:rPr>
          <w:rFonts w:ascii="Times New Roman" w:hAnsi="Times New Roman" w:cs="Times New Roman"/>
          <w:b/>
          <w:bCs/>
          <w:sz w:val="24"/>
          <w:szCs w:val="24"/>
        </w:rPr>
        <w:lastRenderedPageBreak/>
        <w:t>3.2 Strategic Growth Model Application (Ansoff Matrix)</w:t>
      </w:r>
    </w:p>
    <w:p w14:paraId="6C5C8BB5" w14:textId="77777777" w:rsidR="00936FE6"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Market development strategy</w:t>
      </w:r>
    </w:p>
    <w:p w14:paraId="3D371A76" w14:textId="71EDCF70"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Within the Ansoff Matrix, market development represents the primary growth pathway. This involves introducing Greggs’ existing core value proposition into a new geographic market rather than creating entirely new product categories. The firm’s experience in high-volume, low-margin food retail provides transferable capabilities that can be leveraged in India, particularly in urban contexts where demand for affordable convenience food is growing</w:t>
      </w:r>
      <w:r w:rsidR="00A61D1B">
        <w:rPr>
          <w:rFonts w:ascii="Times New Roman" w:hAnsi="Times New Roman" w:cs="Times New Roman"/>
          <w:sz w:val="24"/>
          <w:szCs w:val="24"/>
        </w:rPr>
        <w:t xml:space="preserve"> (</w:t>
      </w:r>
      <w:r w:rsidR="00A61D1B" w:rsidRPr="007E0A33">
        <w:rPr>
          <w:rFonts w:ascii="Times New Roman" w:hAnsi="Times New Roman" w:cs="Times New Roman"/>
          <w:sz w:val="24"/>
          <w:szCs w:val="24"/>
        </w:rPr>
        <w:t>Brueggemann,</w:t>
      </w:r>
      <w:r w:rsidR="00A61D1B">
        <w:rPr>
          <w:rFonts w:ascii="Times New Roman" w:hAnsi="Times New Roman" w:cs="Times New Roman"/>
          <w:sz w:val="24"/>
          <w:szCs w:val="24"/>
        </w:rPr>
        <w:t xml:space="preserve"> 2024)</w:t>
      </w:r>
      <w:r w:rsidRPr="00FD1F4F">
        <w:rPr>
          <w:rFonts w:ascii="Times New Roman" w:hAnsi="Times New Roman" w:cs="Times New Roman"/>
          <w:sz w:val="24"/>
          <w:szCs w:val="24"/>
        </w:rPr>
        <w:t>.</w:t>
      </w:r>
    </w:p>
    <w:p w14:paraId="40ED2A1A" w14:textId="77777777" w:rsidR="00936FE6"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Product development adaptation</w:t>
      </w:r>
    </w:p>
    <w:p w14:paraId="05FEE355" w14:textId="454473D4"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Market development must be supported by selective product development through localisation. While the underlying bakery model remains unchanged, menu offerings should be adapted to reflect Indian dietary norms, flavour preferences and consumption habits. A strong emphasis on vegetarian products, regionally inspired flavours and lighter snack formats is essential. Portion sizes, spice profiles and ingredient choices should be tailored to local expectations without diluting the brand’s value-led identity</w:t>
      </w:r>
      <w:r w:rsidR="00A61D1B">
        <w:rPr>
          <w:rFonts w:ascii="Times New Roman" w:hAnsi="Times New Roman" w:cs="Times New Roman"/>
          <w:sz w:val="24"/>
          <w:szCs w:val="24"/>
        </w:rPr>
        <w:t xml:space="preserve"> (</w:t>
      </w:r>
      <w:r w:rsidR="00A61D1B" w:rsidRPr="007E0A33">
        <w:rPr>
          <w:rFonts w:ascii="Times New Roman" w:hAnsi="Times New Roman" w:cs="Times New Roman"/>
          <w:sz w:val="24"/>
          <w:szCs w:val="24"/>
        </w:rPr>
        <w:t>Socha, 2024</w:t>
      </w:r>
      <w:r w:rsidR="00A61D1B">
        <w:rPr>
          <w:rFonts w:ascii="Times New Roman" w:hAnsi="Times New Roman" w:cs="Times New Roman"/>
          <w:sz w:val="24"/>
          <w:szCs w:val="24"/>
        </w:rPr>
        <w:t>)</w:t>
      </w:r>
      <w:r w:rsidRPr="00FD1F4F">
        <w:rPr>
          <w:rFonts w:ascii="Times New Roman" w:hAnsi="Times New Roman" w:cs="Times New Roman"/>
          <w:sz w:val="24"/>
          <w:szCs w:val="24"/>
        </w:rPr>
        <w:t>.</w:t>
      </w:r>
    </w:p>
    <w:p w14:paraId="36F86D2B" w14:textId="77777777" w:rsidR="00936FE6"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Strategic sequencing and risk containment</w:t>
      </w:r>
    </w:p>
    <w:p w14:paraId="0EE85A5C" w14:textId="4515563A" w:rsidR="00740E53" w:rsidRPr="00EF752B"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A phased rollout strategy supports risk containment. Phase one should involve pilot stores and delivery-only formats in select urban locations. Phase two can expand to additional cities and refine the menu based on learning. Only after operational consistency and brand acceptance are demonstrated should broader geographic expansion be considered</w:t>
      </w:r>
      <w:r w:rsidR="00A61D1B">
        <w:rPr>
          <w:rFonts w:ascii="Times New Roman" w:hAnsi="Times New Roman" w:cs="Times New Roman"/>
          <w:sz w:val="24"/>
          <w:szCs w:val="24"/>
        </w:rPr>
        <w:t xml:space="preserve"> (</w:t>
      </w:r>
      <w:r w:rsidR="00A61D1B" w:rsidRPr="007E0A33">
        <w:rPr>
          <w:rFonts w:ascii="Times New Roman" w:hAnsi="Times New Roman" w:cs="Times New Roman"/>
          <w:sz w:val="24"/>
          <w:szCs w:val="24"/>
        </w:rPr>
        <w:t>Ford,</w:t>
      </w:r>
      <w:r w:rsidR="00A61D1B">
        <w:rPr>
          <w:rFonts w:ascii="Times New Roman" w:hAnsi="Times New Roman" w:cs="Times New Roman"/>
          <w:sz w:val="24"/>
          <w:szCs w:val="24"/>
        </w:rPr>
        <w:t xml:space="preserve"> </w:t>
      </w:r>
      <w:r w:rsidR="00A61D1B" w:rsidRPr="007E0A33">
        <w:rPr>
          <w:rFonts w:ascii="Times New Roman" w:hAnsi="Times New Roman" w:cs="Times New Roman"/>
          <w:sz w:val="24"/>
          <w:szCs w:val="24"/>
        </w:rPr>
        <w:t>2024</w:t>
      </w:r>
      <w:r w:rsidR="00A61D1B">
        <w:rPr>
          <w:rFonts w:ascii="Times New Roman" w:hAnsi="Times New Roman" w:cs="Times New Roman"/>
          <w:sz w:val="24"/>
          <w:szCs w:val="24"/>
        </w:rPr>
        <w:t>)</w:t>
      </w:r>
      <w:r w:rsidRPr="00FD1F4F">
        <w:rPr>
          <w:rFonts w:ascii="Times New Roman" w:hAnsi="Times New Roman" w:cs="Times New Roman"/>
          <w:sz w:val="24"/>
          <w:szCs w:val="24"/>
        </w:rPr>
        <w:t>. This sequencing limits capital exposure and ensures that growth is guided by evidence rather than assumption.</w:t>
      </w:r>
    </w:p>
    <w:p w14:paraId="57F5321C" w14:textId="73D922A5" w:rsidR="00740E53" w:rsidRDefault="00740E53" w:rsidP="00FD1F4F">
      <w:pPr>
        <w:spacing w:line="360" w:lineRule="auto"/>
        <w:jc w:val="both"/>
        <w:rPr>
          <w:noProof/>
        </w:rPr>
      </w:pPr>
      <w:r>
        <w:rPr>
          <w:noProof/>
        </w:rPr>
        <w:lastRenderedPageBreak/>
        <w:t xml:space="preserve">    </w:t>
      </w:r>
      <w:r w:rsidR="00EF752B">
        <w:rPr>
          <w:noProof/>
        </w:rPr>
        <w:t xml:space="preserve">                   </w:t>
      </w:r>
      <w:r>
        <w:rPr>
          <w:noProof/>
        </w:rPr>
        <w:t xml:space="preserve">  </w:t>
      </w:r>
      <w:r>
        <w:rPr>
          <w:noProof/>
        </w:rPr>
        <w:drawing>
          <wp:inline distT="0" distB="0" distL="0" distR="0" wp14:anchorId="1A596717" wp14:editId="6D46F42F">
            <wp:extent cx="3502617" cy="3290173"/>
            <wp:effectExtent l="0" t="0" r="3175" b="5715"/>
            <wp:docPr id="1882212748" name="Picture 30" descr="Marketing Theories - Explaining The 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8" descr="Marketing Theories - Explaining The Ansoff Matrix"/>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6780" t="9705" r="7734" b="9993"/>
                    <a:stretch>
                      <a:fillRect/>
                    </a:stretch>
                  </pic:blipFill>
                  <pic:spPr bwMode="auto">
                    <a:xfrm>
                      <a:off x="0" y="0"/>
                      <a:ext cx="3518014" cy="3304636"/>
                    </a:xfrm>
                    <a:prstGeom prst="rect">
                      <a:avLst/>
                    </a:prstGeom>
                    <a:noFill/>
                    <a:ln>
                      <a:noFill/>
                    </a:ln>
                    <a:extLst>
                      <a:ext uri="{53640926-AAD7-44D8-BBD7-CCE9431645EC}">
                        <a14:shadowObscured xmlns:a14="http://schemas.microsoft.com/office/drawing/2010/main"/>
                      </a:ext>
                    </a:extLst>
                  </pic:spPr>
                </pic:pic>
              </a:graphicData>
            </a:graphic>
          </wp:inline>
        </w:drawing>
      </w:r>
    </w:p>
    <w:p w14:paraId="21592B70" w14:textId="45411BB9" w:rsidR="00EF752B" w:rsidRPr="00FD1F4F" w:rsidRDefault="00EF752B" w:rsidP="00FD1F4F">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                        </w:t>
      </w:r>
      <w:r w:rsidRPr="00EF752B">
        <w:rPr>
          <w:rFonts w:ascii="Times New Roman" w:hAnsi="Times New Roman" w:cs="Times New Roman"/>
          <w:b/>
          <w:bCs/>
          <w:i/>
          <w:iCs/>
          <w:sz w:val="24"/>
          <w:szCs w:val="24"/>
        </w:rPr>
        <w:t>Figure 9: Ansoff Matrix Framwork, Gagliano, (2022).</w:t>
      </w:r>
    </w:p>
    <w:p w14:paraId="4232C9DF" w14:textId="77777777" w:rsidR="00FD1F4F" w:rsidRPr="00FD1F4F" w:rsidRDefault="00FD1F4F" w:rsidP="00FD1F4F">
      <w:pPr>
        <w:spacing w:line="360" w:lineRule="auto"/>
        <w:jc w:val="both"/>
        <w:rPr>
          <w:rFonts w:ascii="Times New Roman" w:hAnsi="Times New Roman" w:cs="Times New Roman"/>
          <w:b/>
          <w:bCs/>
          <w:sz w:val="24"/>
          <w:szCs w:val="24"/>
        </w:rPr>
      </w:pPr>
      <w:r w:rsidRPr="00FD1F4F">
        <w:rPr>
          <w:rFonts w:ascii="Times New Roman" w:hAnsi="Times New Roman" w:cs="Times New Roman"/>
          <w:b/>
          <w:bCs/>
          <w:sz w:val="24"/>
          <w:szCs w:val="24"/>
        </w:rPr>
        <w:t>3.3 Market Entry Mode Selection and Justification</w:t>
      </w:r>
    </w:p>
    <w:p w14:paraId="639DD93E" w14:textId="370F56D1"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Three entry modes are considered: wholly owned subsidiary, franchise and joint venture. A wholly owned model offers maximum control over operations and brand standards but exposes Greggs to high regulatory risk, capital commitment and limited local market knowledge. Given the complexity of India’s food regulations and regional variation, this option presents elevated execution risk at the entry stage</w:t>
      </w:r>
      <w:r w:rsidR="00A61D1B">
        <w:rPr>
          <w:rFonts w:ascii="Times New Roman" w:hAnsi="Times New Roman" w:cs="Times New Roman"/>
          <w:sz w:val="24"/>
          <w:szCs w:val="24"/>
        </w:rPr>
        <w:t xml:space="preserve"> (</w:t>
      </w:r>
      <w:r w:rsidR="00A61D1B" w:rsidRPr="007E0A33">
        <w:rPr>
          <w:rFonts w:ascii="Times New Roman" w:hAnsi="Times New Roman" w:cs="Times New Roman"/>
          <w:sz w:val="24"/>
          <w:szCs w:val="24"/>
        </w:rPr>
        <w:t>Green,</w:t>
      </w:r>
      <w:r w:rsidR="00A61D1B">
        <w:rPr>
          <w:rFonts w:ascii="Times New Roman" w:hAnsi="Times New Roman" w:cs="Times New Roman"/>
          <w:sz w:val="24"/>
          <w:szCs w:val="24"/>
        </w:rPr>
        <w:t xml:space="preserve"> 2024)</w:t>
      </w:r>
      <w:r w:rsidRPr="00FD1F4F">
        <w:rPr>
          <w:rFonts w:ascii="Times New Roman" w:hAnsi="Times New Roman" w:cs="Times New Roman"/>
          <w:sz w:val="24"/>
          <w:szCs w:val="24"/>
        </w:rPr>
        <w:t>.</w:t>
      </w:r>
      <w:r w:rsidR="00740E53">
        <w:rPr>
          <w:rFonts w:ascii="Times New Roman" w:hAnsi="Times New Roman" w:cs="Times New Roman"/>
          <w:sz w:val="24"/>
          <w:szCs w:val="24"/>
        </w:rPr>
        <w:t xml:space="preserve"> </w:t>
      </w:r>
      <w:r w:rsidRPr="00FD1F4F">
        <w:rPr>
          <w:rFonts w:ascii="Times New Roman" w:hAnsi="Times New Roman" w:cs="Times New Roman"/>
          <w:sz w:val="24"/>
          <w:szCs w:val="24"/>
        </w:rPr>
        <w:t>A franchise model reduces financial exposure and enables rapid expansion. However, it significantly limits operational control, which is problematic for a brand whose competitive advantage relies on consistency, food safety and value pricing. Franchise misalignment could undermine brand trust and quality assurance.</w:t>
      </w:r>
      <w:r w:rsidR="00740E53">
        <w:rPr>
          <w:rFonts w:ascii="Times New Roman" w:hAnsi="Times New Roman" w:cs="Times New Roman"/>
          <w:sz w:val="24"/>
          <w:szCs w:val="24"/>
        </w:rPr>
        <w:t xml:space="preserve"> </w:t>
      </w:r>
      <w:r w:rsidRPr="00FD1F4F">
        <w:rPr>
          <w:rFonts w:ascii="Times New Roman" w:hAnsi="Times New Roman" w:cs="Times New Roman"/>
          <w:sz w:val="24"/>
          <w:szCs w:val="24"/>
        </w:rPr>
        <w:t>A joint venture represents the most appropriate entry mode. It balances control with local responsiveness by combining Greggs’ operational expertise with a local partner’s regulatory knowledge, supply-chain networks and cultural understanding</w:t>
      </w:r>
      <w:r w:rsidR="00A61D1B">
        <w:rPr>
          <w:rFonts w:ascii="Times New Roman" w:hAnsi="Times New Roman" w:cs="Times New Roman"/>
          <w:sz w:val="24"/>
          <w:szCs w:val="24"/>
        </w:rPr>
        <w:t xml:space="preserve"> (</w:t>
      </w:r>
      <w:r w:rsidR="00A61D1B" w:rsidRPr="007E0A33">
        <w:rPr>
          <w:rFonts w:ascii="Times New Roman" w:hAnsi="Times New Roman" w:cs="Times New Roman"/>
          <w:sz w:val="24"/>
          <w:szCs w:val="24"/>
        </w:rPr>
        <w:t>Garg,</w:t>
      </w:r>
      <w:r w:rsidR="00A61D1B">
        <w:rPr>
          <w:rFonts w:ascii="Times New Roman" w:hAnsi="Times New Roman" w:cs="Times New Roman"/>
          <w:sz w:val="24"/>
          <w:szCs w:val="24"/>
        </w:rPr>
        <w:t xml:space="preserve"> </w:t>
      </w:r>
      <w:r w:rsidR="00A61D1B" w:rsidRPr="007E0A33">
        <w:rPr>
          <w:rFonts w:ascii="Times New Roman" w:hAnsi="Times New Roman" w:cs="Times New Roman"/>
          <w:sz w:val="24"/>
          <w:szCs w:val="24"/>
        </w:rPr>
        <w:t>2023</w:t>
      </w:r>
      <w:r w:rsidR="00A61D1B">
        <w:rPr>
          <w:rFonts w:ascii="Times New Roman" w:hAnsi="Times New Roman" w:cs="Times New Roman"/>
          <w:sz w:val="24"/>
          <w:szCs w:val="24"/>
        </w:rPr>
        <w:t>)</w:t>
      </w:r>
      <w:r w:rsidRPr="00FD1F4F">
        <w:rPr>
          <w:rFonts w:ascii="Times New Roman" w:hAnsi="Times New Roman" w:cs="Times New Roman"/>
          <w:sz w:val="24"/>
          <w:szCs w:val="24"/>
        </w:rPr>
        <w:t>. This structure supports compliance, localisation and learning while preserving influence over brand standards. A JV-led model therefore offers the most strategically coherent pathway for initial entry into India.</w:t>
      </w:r>
    </w:p>
    <w:p w14:paraId="39A41756" w14:textId="77777777" w:rsidR="00FD1F4F" w:rsidRPr="00FD1F4F" w:rsidRDefault="00FD1F4F" w:rsidP="00FD1F4F">
      <w:pPr>
        <w:spacing w:line="360" w:lineRule="auto"/>
        <w:jc w:val="both"/>
        <w:rPr>
          <w:rFonts w:ascii="Times New Roman" w:hAnsi="Times New Roman" w:cs="Times New Roman"/>
          <w:b/>
          <w:bCs/>
          <w:sz w:val="24"/>
          <w:szCs w:val="24"/>
        </w:rPr>
      </w:pPr>
      <w:r w:rsidRPr="00FD1F4F">
        <w:rPr>
          <w:rFonts w:ascii="Times New Roman" w:hAnsi="Times New Roman" w:cs="Times New Roman"/>
          <w:b/>
          <w:bCs/>
          <w:sz w:val="24"/>
          <w:szCs w:val="24"/>
        </w:rPr>
        <w:t>3.4 Competitive Positioning Strategy (Porter’s Generic Strategies)</w:t>
      </w:r>
    </w:p>
    <w:p w14:paraId="1C161387" w14:textId="5C6F5771"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 xml:space="preserve">Greggs’ competitive positioning should be based on focused value differentiation rather than pure cost leadership or broad differentiation. While cost leadership is central to Greggs’ DNA, </w:t>
      </w:r>
      <w:r w:rsidRPr="00FD1F4F">
        <w:rPr>
          <w:rFonts w:ascii="Times New Roman" w:hAnsi="Times New Roman" w:cs="Times New Roman"/>
          <w:sz w:val="24"/>
          <w:szCs w:val="24"/>
        </w:rPr>
        <w:lastRenderedPageBreak/>
        <w:t>competing solely on price in India would expose the firm to intense rivalry from informal vendors and domestic chains. Conversely, premium differentiation is misaligned with the brand’s core proposition</w:t>
      </w:r>
      <w:r w:rsidR="00A61D1B">
        <w:rPr>
          <w:rFonts w:ascii="Times New Roman" w:hAnsi="Times New Roman" w:cs="Times New Roman"/>
          <w:sz w:val="24"/>
          <w:szCs w:val="24"/>
        </w:rPr>
        <w:t xml:space="preserve"> (</w:t>
      </w:r>
      <w:r w:rsidR="00A61D1B" w:rsidRPr="007E0A33">
        <w:rPr>
          <w:rFonts w:ascii="Times New Roman" w:hAnsi="Times New Roman" w:cs="Times New Roman"/>
          <w:sz w:val="24"/>
          <w:szCs w:val="24"/>
        </w:rPr>
        <w:t>Gagliano,</w:t>
      </w:r>
      <w:r w:rsidR="00A61D1B">
        <w:rPr>
          <w:rFonts w:ascii="Times New Roman" w:hAnsi="Times New Roman" w:cs="Times New Roman"/>
          <w:sz w:val="24"/>
          <w:szCs w:val="24"/>
        </w:rPr>
        <w:t xml:space="preserve"> </w:t>
      </w:r>
      <w:r w:rsidR="00A61D1B" w:rsidRPr="007E0A33">
        <w:rPr>
          <w:rFonts w:ascii="Times New Roman" w:hAnsi="Times New Roman" w:cs="Times New Roman"/>
          <w:sz w:val="24"/>
          <w:szCs w:val="24"/>
        </w:rPr>
        <w:t>2022</w:t>
      </w:r>
      <w:r w:rsidR="00A61D1B">
        <w:rPr>
          <w:rFonts w:ascii="Times New Roman" w:hAnsi="Times New Roman" w:cs="Times New Roman"/>
          <w:sz w:val="24"/>
          <w:szCs w:val="24"/>
        </w:rPr>
        <w:t>)</w:t>
      </w:r>
      <w:r w:rsidRPr="00FD1F4F">
        <w:rPr>
          <w:rFonts w:ascii="Times New Roman" w:hAnsi="Times New Roman" w:cs="Times New Roman"/>
          <w:sz w:val="24"/>
          <w:szCs w:val="24"/>
        </w:rPr>
        <w:t>.</w:t>
      </w:r>
      <w:r w:rsidR="00A61D1B">
        <w:rPr>
          <w:rFonts w:ascii="Times New Roman" w:hAnsi="Times New Roman" w:cs="Times New Roman"/>
          <w:sz w:val="24"/>
          <w:szCs w:val="24"/>
        </w:rPr>
        <w:t xml:space="preserve"> </w:t>
      </w:r>
      <w:r w:rsidRPr="00FD1F4F">
        <w:rPr>
          <w:rFonts w:ascii="Times New Roman" w:hAnsi="Times New Roman" w:cs="Times New Roman"/>
          <w:sz w:val="24"/>
          <w:szCs w:val="24"/>
        </w:rPr>
        <w:t>Focused value differentiation allows Greggs to combine affordability with attributes valued by urban Indian consumers, such as hygiene, consistency and trust. The focus element limits competition to specific urban segments rather than the entire mass market. This positioning enables Greggs to justify modest price premiums over street food while remaining accessible and distinct from premium café chains</w:t>
      </w:r>
      <w:r w:rsidR="00A61D1B">
        <w:rPr>
          <w:rFonts w:ascii="Times New Roman" w:hAnsi="Times New Roman" w:cs="Times New Roman"/>
          <w:sz w:val="24"/>
          <w:szCs w:val="24"/>
        </w:rPr>
        <w:t xml:space="preserve"> (</w:t>
      </w:r>
      <w:r w:rsidR="00A61D1B" w:rsidRPr="007E0A33">
        <w:rPr>
          <w:rFonts w:ascii="Times New Roman" w:hAnsi="Times New Roman" w:cs="Times New Roman"/>
          <w:sz w:val="24"/>
          <w:szCs w:val="24"/>
        </w:rPr>
        <w:t>Niu, 2022</w:t>
      </w:r>
      <w:r w:rsidR="00A61D1B">
        <w:rPr>
          <w:rFonts w:ascii="Times New Roman" w:hAnsi="Times New Roman" w:cs="Times New Roman"/>
          <w:sz w:val="24"/>
          <w:szCs w:val="24"/>
        </w:rPr>
        <w:t>)</w:t>
      </w:r>
      <w:r w:rsidRPr="00FD1F4F">
        <w:rPr>
          <w:rFonts w:ascii="Times New Roman" w:hAnsi="Times New Roman" w:cs="Times New Roman"/>
          <w:sz w:val="24"/>
          <w:szCs w:val="24"/>
        </w:rPr>
        <w:t>.</w:t>
      </w:r>
      <w:r w:rsidR="00740E53">
        <w:rPr>
          <w:rFonts w:ascii="Times New Roman" w:hAnsi="Times New Roman" w:cs="Times New Roman"/>
          <w:sz w:val="24"/>
          <w:szCs w:val="24"/>
        </w:rPr>
        <w:t xml:space="preserve">                 </w:t>
      </w:r>
    </w:p>
    <w:p w14:paraId="15F7D23A" w14:textId="77777777" w:rsidR="00FD1F4F" w:rsidRPr="00FD1F4F" w:rsidRDefault="00FD1F4F" w:rsidP="00FD1F4F">
      <w:pPr>
        <w:spacing w:line="360" w:lineRule="auto"/>
        <w:jc w:val="both"/>
        <w:rPr>
          <w:rFonts w:ascii="Times New Roman" w:hAnsi="Times New Roman" w:cs="Times New Roman"/>
          <w:b/>
          <w:bCs/>
          <w:sz w:val="24"/>
          <w:szCs w:val="24"/>
        </w:rPr>
      </w:pPr>
      <w:r w:rsidRPr="00FD1F4F">
        <w:rPr>
          <w:rFonts w:ascii="Times New Roman" w:hAnsi="Times New Roman" w:cs="Times New Roman"/>
          <w:b/>
          <w:bCs/>
          <w:sz w:val="24"/>
          <w:szCs w:val="24"/>
        </w:rPr>
        <w:t>3.5 Strategic Fit and Capability Assessment (VRIO Framework)</w:t>
      </w:r>
    </w:p>
    <w:p w14:paraId="0A558648" w14:textId="3618633E" w:rsid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Greggs’ brand is valuable in India as it can be positioned as a reliable and hygienic alternative to informal food vendors. While not inherently rare at the outset, brand trust can become a differentiating asset over time. Operational efficiency derived from a vertically integrated model is both valuable and difficult to imitate quickly, particularly in a fragmented market</w:t>
      </w:r>
      <w:r w:rsidR="000628AB">
        <w:rPr>
          <w:rFonts w:ascii="Times New Roman" w:hAnsi="Times New Roman" w:cs="Times New Roman"/>
          <w:sz w:val="24"/>
          <w:szCs w:val="24"/>
        </w:rPr>
        <w:t xml:space="preserve"> (</w:t>
      </w:r>
      <w:r w:rsidR="000628AB" w:rsidRPr="007E0A33">
        <w:rPr>
          <w:rFonts w:ascii="Times New Roman" w:hAnsi="Times New Roman" w:cs="Times New Roman"/>
          <w:sz w:val="24"/>
          <w:szCs w:val="24"/>
        </w:rPr>
        <w:t>Sahoo,</w:t>
      </w:r>
      <w:r w:rsidR="000628AB">
        <w:rPr>
          <w:rFonts w:ascii="Times New Roman" w:hAnsi="Times New Roman" w:cs="Times New Roman"/>
          <w:sz w:val="24"/>
          <w:szCs w:val="24"/>
        </w:rPr>
        <w:t xml:space="preserve"> 2024)</w:t>
      </w:r>
      <w:r w:rsidRPr="00FD1F4F">
        <w:rPr>
          <w:rFonts w:ascii="Times New Roman" w:hAnsi="Times New Roman" w:cs="Times New Roman"/>
          <w:sz w:val="24"/>
          <w:szCs w:val="24"/>
        </w:rPr>
        <w:t>. Supply-chain coordination and standardised processes further strengthen this advantage.</w:t>
      </w:r>
      <w:r w:rsidR="000628AB">
        <w:rPr>
          <w:rFonts w:ascii="Times New Roman" w:hAnsi="Times New Roman" w:cs="Times New Roman"/>
          <w:sz w:val="24"/>
          <w:szCs w:val="24"/>
        </w:rPr>
        <w:t xml:space="preserve"> </w:t>
      </w:r>
      <w:r w:rsidRPr="00FD1F4F">
        <w:rPr>
          <w:rFonts w:ascii="Times New Roman" w:hAnsi="Times New Roman" w:cs="Times New Roman"/>
          <w:sz w:val="24"/>
          <w:szCs w:val="24"/>
        </w:rPr>
        <w:t>However, sustained competitive advantage depends on effective exploitation of these resources. Localisation capability, partner integration and regulatory compliance are necessary conditions for translating internal strengths into market performance. Without these, the value of Greggs’ resources may remain underutilised</w:t>
      </w:r>
      <w:r w:rsidR="000628AB">
        <w:rPr>
          <w:rFonts w:ascii="Times New Roman" w:hAnsi="Times New Roman" w:cs="Times New Roman"/>
          <w:sz w:val="24"/>
          <w:szCs w:val="24"/>
        </w:rPr>
        <w:t xml:space="preserve"> (</w:t>
      </w:r>
      <w:r w:rsidR="000628AB" w:rsidRPr="007E0A33">
        <w:rPr>
          <w:rFonts w:ascii="Times New Roman" w:hAnsi="Times New Roman" w:cs="Times New Roman"/>
          <w:sz w:val="24"/>
          <w:szCs w:val="24"/>
        </w:rPr>
        <w:t>Pai, 2023</w:t>
      </w:r>
      <w:r w:rsidR="000628AB">
        <w:rPr>
          <w:rFonts w:ascii="Times New Roman" w:hAnsi="Times New Roman" w:cs="Times New Roman"/>
          <w:sz w:val="24"/>
          <w:szCs w:val="24"/>
        </w:rPr>
        <w:t>)</w:t>
      </w:r>
      <w:r w:rsidRPr="00FD1F4F">
        <w:rPr>
          <w:rFonts w:ascii="Times New Roman" w:hAnsi="Times New Roman" w:cs="Times New Roman"/>
          <w:sz w:val="24"/>
          <w:szCs w:val="24"/>
        </w:rPr>
        <w:t>.</w:t>
      </w:r>
    </w:p>
    <w:p w14:paraId="10C42E97" w14:textId="25021F0F" w:rsidR="00740E53" w:rsidRDefault="00740E53" w:rsidP="00FD1F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noProof/>
          <w:sz w:val="24"/>
          <w:szCs w:val="24"/>
        </w:rPr>
        <w:drawing>
          <wp:inline distT="0" distB="0" distL="0" distR="0" wp14:anchorId="06DB36C3" wp14:editId="289D29DB">
            <wp:extent cx="3558540" cy="2372360"/>
            <wp:effectExtent l="0" t="0" r="3810" b="8890"/>
            <wp:docPr id="488710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58540" cy="2372360"/>
                    </a:xfrm>
                    <a:prstGeom prst="rect">
                      <a:avLst/>
                    </a:prstGeom>
                    <a:noFill/>
                  </pic:spPr>
                </pic:pic>
              </a:graphicData>
            </a:graphic>
          </wp:inline>
        </w:drawing>
      </w:r>
    </w:p>
    <w:p w14:paraId="31C902C9" w14:textId="34DC9447" w:rsidR="00EF752B" w:rsidRPr="00FD1F4F" w:rsidRDefault="00EF752B" w:rsidP="00FD1F4F">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                         </w:t>
      </w:r>
      <w:r w:rsidRPr="00EF752B">
        <w:rPr>
          <w:rFonts w:ascii="Times New Roman" w:hAnsi="Times New Roman" w:cs="Times New Roman"/>
          <w:b/>
          <w:bCs/>
          <w:i/>
          <w:iCs/>
          <w:sz w:val="24"/>
          <w:szCs w:val="24"/>
        </w:rPr>
        <w:t>Figure 10: VIRO Framework, Narayanan and Saha, (2021).</w:t>
      </w:r>
    </w:p>
    <w:p w14:paraId="0E0D1F0C" w14:textId="77777777" w:rsidR="00FD1F4F" w:rsidRPr="00FD1F4F" w:rsidRDefault="00FD1F4F" w:rsidP="00FD1F4F">
      <w:pPr>
        <w:spacing w:line="360" w:lineRule="auto"/>
        <w:jc w:val="both"/>
        <w:rPr>
          <w:rFonts w:ascii="Times New Roman" w:hAnsi="Times New Roman" w:cs="Times New Roman"/>
          <w:b/>
          <w:bCs/>
          <w:sz w:val="24"/>
          <w:szCs w:val="24"/>
        </w:rPr>
      </w:pPr>
      <w:r w:rsidRPr="00FD1F4F">
        <w:rPr>
          <w:rFonts w:ascii="Times New Roman" w:hAnsi="Times New Roman" w:cs="Times New Roman"/>
          <w:b/>
          <w:bCs/>
          <w:sz w:val="24"/>
          <w:szCs w:val="24"/>
        </w:rPr>
        <w:t>3.6 Strategy Implementation Components</w:t>
      </w:r>
    </w:p>
    <w:p w14:paraId="5CEC1F69" w14:textId="77777777" w:rsidR="00936FE6"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Operations strategy</w:t>
      </w:r>
    </w:p>
    <w:p w14:paraId="286CD8C1" w14:textId="321F8324"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lastRenderedPageBreak/>
        <w:t>Operational implementation should focus on compact store formats in high-footfall urban locations such as transport hubs, business districts and shopping areas. Staffing strategies should prioritise local recruitment supported by standardised training to ensure service consistency and food safety compliance</w:t>
      </w:r>
      <w:r w:rsidR="000628AB">
        <w:rPr>
          <w:rFonts w:ascii="Times New Roman" w:hAnsi="Times New Roman" w:cs="Times New Roman"/>
          <w:sz w:val="24"/>
          <w:szCs w:val="24"/>
        </w:rPr>
        <w:t xml:space="preserve"> (</w:t>
      </w:r>
      <w:r w:rsidR="000628AB" w:rsidRPr="007E0A33">
        <w:rPr>
          <w:rFonts w:ascii="Times New Roman" w:hAnsi="Times New Roman" w:cs="Times New Roman"/>
          <w:sz w:val="24"/>
          <w:szCs w:val="24"/>
        </w:rPr>
        <w:t>Mokaya, 2022</w:t>
      </w:r>
      <w:r w:rsidR="000628AB">
        <w:rPr>
          <w:rFonts w:ascii="Times New Roman" w:hAnsi="Times New Roman" w:cs="Times New Roman"/>
          <w:sz w:val="24"/>
          <w:szCs w:val="24"/>
        </w:rPr>
        <w:t>)</w:t>
      </w:r>
      <w:r w:rsidRPr="00FD1F4F">
        <w:rPr>
          <w:rFonts w:ascii="Times New Roman" w:hAnsi="Times New Roman" w:cs="Times New Roman"/>
          <w:sz w:val="24"/>
          <w:szCs w:val="24"/>
        </w:rPr>
        <w:t>.</w:t>
      </w:r>
    </w:p>
    <w:p w14:paraId="0E07D051" w14:textId="77777777" w:rsidR="00936FE6"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Supply chain strategy</w:t>
      </w:r>
    </w:p>
    <w:p w14:paraId="72C42795" w14:textId="4E3E27A6"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The supply chain should combine local sourcing with central quality control. Local sourcing reduces costs, supports regulatory compliance and enhances sustainability. Robust auditing and supplier development programmes are essential to maintain quality and hygiene standards</w:t>
      </w:r>
      <w:r w:rsidR="000628AB">
        <w:rPr>
          <w:rFonts w:ascii="Times New Roman" w:hAnsi="Times New Roman" w:cs="Times New Roman"/>
          <w:sz w:val="24"/>
          <w:szCs w:val="24"/>
        </w:rPr>
        <w:t xml:space="preserve"> (</w:t>
      </w:r>
      <w:r w:rsidR="000628AB" w:rsidRPr="007E0A33">
        <w:rPr>
          <w:rFonts w:ascii="Times New Roman" w:hAnsi="Times New Roman" w:cs="Times New Roman"/>
          <w:sz w:val="24"/>
          <w:szCs w:val="24"/>
        </w:rPr>
        <w:t>D'Silva, 2021</w:t>
      </w:r>
      <w:r w:rsidR="000628AB">
        <w:rPr>
          <w:rFonts w:ascii="Times New Roman" w:hAnsi="Times New Roman" w:cs="Times New Roman"/>
          <w:sz w:val="24"/>
          <w:szCs w:val="24"/>
        </w:rPr>
        <w:t>)</w:t>
      </w:r>
      <w:r w:rsidRPr="00FD1F4F">
        <w:rPr>
          <w:rFonts w:ascii="Times New Roman" w:hAnsi="Times New Roman" w:cs="Times New Roman"/>
          <w:sz w:val="24"/>
          <w:szCs w:val="24"/>
        </w:rPr>
        <w:t>.</w:t>
      </w:r>
    </w:p>
    <w:p w14:paraId="30410619" w14:textId="77777777" w:rsidR="00936FE6"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Digital and omnichannel strategy</w:t>
      </w:r>
    </w:p>
    <w:p w14:paraId="3B97DD21" w14:textId="00487285"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A digital-first approach is critical. Integration with food delivery platforms expands reach and supports demand testing without extensive physical expansion. Mobile-first ordering, digital payments and data analytics should be embedded into operations to reflect urban consumer behaviour</w:t>
      </w:r>
      <w:r w:rsidR="000628AB">
        <w:rPr>
          <w:rFonts w:ascii="Times New Roman" w:hAnsi="Times New Roman" w:cs="Times New Roman"/>
          <w:sz w:val="24"/>
          <w:szCs w:val="24"/>
        </w:rPr>
        <w:t xml:space="preserve"> (</w:t>
      </w:r>
      <w:r w:rsidR="000628AB" w:rsidRPr="007E0A33">
        <w:rPr>
          <w:rFonts w:ascii="Times New Roman" w:hAnsi="Times New Roman" w:cs="Times New Roman"/>
          <w:sz w:val="24"/>
          <w:szCs w:val="24"/>
        </w:rPr>
        <w:t>Narayanan</w:t>
      </w:r>
      <w:r w:rsidR="000628AB">
        <w:rPr>
          <w:rFonts w:ascii="Times New Roman" w:hAnsi="Times New Roman" w:cs="Times New Roman"/>
          <w:sz w:val="24"/>
          <w:szCs w:val="24"/>
        </w:rPr>
        <w:t xml:space="preserve"> </w:t>
      </w:r>
      <w:r w:rsidR="000628AB" w:rsidRPr="007E0A33">
        <w:rPr>
          <w:rFonts w:ascii="Times New Roman" w:hAnsi="Times New Roman" w:cs="Times New Roman"/>
          <w:sz w:val="24"/>
          <w:szCs w:val="24"/>
        </w:rPr>
        <w:t>and Saha, 2021</w:t>
      </w:r>
      <w:r w:rsidR="000628AB">
        <w:rPr>
          <w:rFonts w:ascii="Times New Roman" w:hAnsi="Times New Roman" w:cs="Times New Roman"/>
          <w:sz w:val="24"/>
          <w:szCs w:val="24"/>
        </w:rPr>
        <w:t>)</w:t>
      </w:r>
      <w:r w:rsidRPr="00FD1F4F">
        <w:rPr>
          <w:rFonts w:ascii="Times New Roman" w:hAnsi="Times New Roman" w:cs="Times New Roman"/>
          <w:sz w:val="24"/>
          <w:szCs w:val="24"/>
        </w:rPr>
        <w:t>.</w:t>
      </w:r>
    </w:p>
    <w:p w14:paraId="4C0AFCC6" w14:textId="77777777" w:rsidR="00FD1F4F" w:rsidRPr="00FD1F4F" w:rsidRDefault="00FD1F4F" w:rsidP="00FD1F4F">
      <w:pPr>
        <w:spacing w:line="360" w:lineRule="auto"/>
        <w:jc w:val="both"/>
        <w:rPr>
          <w:rFonts w:ascii="Times New Roman" w:hAnsi="Times New Roman" w:cs="Times New Roman"/>
          <w:b/>
          <w:bCs/>
          <w:sz w:val="24"/>
          <w:szCs w:val="24"/>
        </w:rPr>
      </w:pPr>
      <w:r w:rsidRPr="00FD1F4F">
        <w:rPr>
          <w:rFonts w:ascii="Times New Roman" w:hAnsi="Times New Roman" w:cs="Times New Roman"/>
          <w:b/>
          <w:bCs/>
          <w:sz w:val="24"/>
          <w:szCs w:val="24"/>
        </w:rPr>
        <w:t>3.7 Risk Analysis and Mitigation</w:t>
      </w:r>
    </w:p>
    <w:p w14:paraId="5C902433" w14:textId="741B668D"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Regulatory risk</w:t>
      </w:r>
      <w:r w:rsidR="000628AB">
        <w:rPr>
          <w:rFonts w:ascii="Times New Roman" w:hAnsi="Times New Roman" w:cs="Times New Roman"/>
          <w:sz w:val="24"/>
          <w:szCs w:val="24"/>
        </w:rPr>
        <w:t xml:space="preserve">: </w:t>
      </w:r>
      <w:r w:rsidRPr="00FD1F4F">
        <w:rPr>
          <w:rFonts w:ascii="Times New Roman" w:hAnsi="Times New Roman" w:cs="Times New Roman"/>
          <w:sz w:val="24"/>
          <w:szCs w:val="24"/>
        </w:rPr>
        <w:t>Regulatory complexity can be mitigated through the joint venture structure, local legal expertise and proactive engagement with food safety authorities.</w:t>
      </w:r>
    </w:p>
    <w:p w14:paraId="20C9A46D" w14:textId="00C14C43"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Cultural risk</w:t>
      </w:r>
      <w:r w:rsidR="000628AB">
        <w:rPr>
          <w:rFonts w:ascii="Times New Roman" w:hAnsi="Times New Roman" w:cs="Times New Roman"/>
          <w:sz w:val="24"/>
          <w:szCs w:val="24"/>
        </w:rPr>
        <w:t xml:space="preserve">: </w:t>
      </w:r>
      <w:r w:rsidRPr="00FD1F4F">
        <w:rPr>
          <w:rFonts w:ascii="Times New Roman" w:hAnsi="Times New Roman" w:cs="Times New Roman"/>
          <w:sz w:val="24"/>
          <w:szCs w:val="24"/>
        </w:rPr>
        <w:t>Cultural misalignment poses a major threat. Continuous localisation, menu adaptation and employment of local management reduce this risk.</w:t>
      </w:r>
    </w:p>
    <w:p w14:paraId="72B5B2A6" w14:textId="2E41EF21"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Competitive risk</w:t>
      </w:r>
      <w:r w:rsidR="000628AB">
        <w:rPr>
          <w:rFonts w:ascii="Times New Roman" w:hAnsi="Times New Roman" w:cs="Times New Roman"/>
          <w:sz w:val="24"/>
          <w:szCs w:val="24"/>
        </w:rPr>
        <w:t xml:space="preserve">: </w:t>
      </w:r>
      <w:r w:rsidRPr="00FD1F4F">
        <w:rPr>
          <w:rFonts w:ascii="Times New Roman" w:hAnsi="Times New Roman" w:cs="Times New Roman"/>
          <w:sz w:val="24"/>
          <w:szCs w:val="24"/>
        </w:rPr>
        <w:t>Intense competition and low switching costs increase margin pressure. Mitigation requires disciplined focus, operational efficiency and avoidance of price wars.</w:t>
      </w:r>
    </w:p>
    <w:p w14:paraId="3F938E54" w14:textId="77777777" w:rsid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Overall, this strategy positions Greggs for sustainable and controlled entry into India by aligning internal capabilities with market realities and prioritising learning, localisation and long-term value creation.</w:t>
      </w:r>
    </w:p>
    <w:p w14:paraId="651C9B43" w14:textId="77777777" w:rsidR="000628AB" w:rsidRDefault="000628AB" w:rsidP="00FD1F4F">
      <w:pPr>
        <w:spacing w:line="360" w:lineRule="auto"/>
        <w:jc w:val="both"/>
        <w:rPr>
          <w:rFonts w:ascii="Times New Roman" w:hAnsi="Times New Roman" w:cs="Times New Roman"/>
          <w:sz w:val="24"/>
          <w:szCs w:val="24"/>
        </w:rPr>
      </w:pPr>
    </w:p>
    <w:p w14:paraId="3029E143" w14:textId="77777777" w:rsidR="00936FE6" w:rsidRDefault="00936FE6" w:rsidP="00FD1F4F">
      <w:pPr>
        <w:spacing w:line="360" w:lineRule="auto"/>
        <w:jc w:val="both"/>
        <w:rPr>
          <w:rFonts w:ascii="Times New Roman" w:hAnsi="Times New Roman" w:cs="Times New Roman"/>
          <w:sz w:val="24"/>
          <w:szCs w:val="24"/>
        </w:rPr>
      </w:pPr>
    </w:p>
    <w:p w14:paraId="6D41DB47" w14:textId="77777777" w:rsidR="00740E53" w:rsidRDefault="00740E53" w:rsidP="00FD1F4F">
      <w:pPr>
        <w:spacing w:line="360" w:lineRule="auto"/>
        <w:jc w:val="both"/>
        <w:rPr>
          <w:rFonts w:ascii="Times New Roman" w:hAnsi="Times New Roman" w:cs="Times New Roman"/>
          <w:sz w:val="24"/>
          <w:szCs w:val="24"/>
        </w:rPr>
      </w:pPr>
    </w:p>
    <w:p w14:paraId="3EEC8E94" w14:textId="77777777" w:rsidR="00740E53" w:rsidRPr="00FD1F4F" w:rsidRDefault="00740E53" w:rsidP="00FD1F4F">
      <w:pPr>
        <w:spacing w:line="360" w:lineRule="auto"/>
        <w:jc w:val="both"/>
        <w:rPr>
          <w:rFonts w:ascii="Times New Roman" w:hAnsi="Times New Roman" w:cs="Times New Roman"/>
          <w:sz w:val="24"/>
          <w:szCs w:val="24"/>
        </w:rPr>
      </w:pPr>
    </w:p>
    <w:p w14:paraId="2BC53512" w14:textId="77777777" w:rsidR="00FD1F4F" w:rsidRPr="00FD1F4F" w:rsidRDefault="00FD1F4F" w:rsidP="00936FE6">
      <w:pPr>
        <w:spacing w:line="360" w:lineRule="auto"/>
        <w:jc w:val="center"/>
        <w:rPr>
          <w:rFonts w:ascii="Times New Roman" w:hAnsi="Times New Roman" w:cs="Times New Roman"/>
          <w:b/>
          <w:bCs/>
          <w:sz w:val="32"/>
          <w:szCs w:val="32"/>
        </w:rPr>
      </w:pPr>
      <w:r w:rsidRPr="00FD1F4F">
        <w:rPr>
          <w:rFonts w:ascii="Times New Roman" w:hAnsi="Times New Roman" w:cs="Times New Roman"/>
          <w:b/>
          <w:bCs/>
          <w:sz w:val="32"/>
          <w:szCs w:val="32"/>
        </w:rPr>
        <w:lastRenderedPageBreak/>
        <w:t>Section 4: Performance Evaluation Framework</w:t>
      </w:r>
    </w:p>
    <w:p w14:paraId="4791B553" w14:textId="77777777" w:rsidR="00FD1F4F" w:rsidRPr="00FD1F4F" w:rsidRDefault="00FD1F4F" w:rsidP="00FD1F4F">
      <w:pPr>
        <w:spacing w:line="360" w:lineRule="auto"/>
        <w:jc w:val="both"/>
        <w:rPr>
          <w:rFonts w:ascii="Times New Roman" w:hAnsi="Times New Roman" w:cs="Times New Roman"/>
          <w:b/>
          <w:bCs/>
          <w:sz w:val="24"/>
          <w:szCs w:val="24"/>
        </w:rPr>
      </w:pPr>
      <w:r w:rsidRPr="00FD1F4F">
        <w:rPr>
          <w:rFonts w:ascii="Times New Roman" w:hAnsi="Times New Roman" w:cs="Times New Roman"/>
          <w:b/>
          <w:bCs/>
          <w:sz w:val="24"/>
          <w:szCs w:val="24"/>
        </w:rPr>
        <w:t>4.1 Balanced Scorecard for Greggs India</w:t>
      </w:r>
    </w:p>
    <w:p w14:paraId="3BE61D6D" w14:textId="5ADDE1C5"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The Balanced Scorecard provides a structured framework to translate strategy into measurable outcomes while balancing short-term performance with long-term capability building. For Greggs in India this approach is particularly appropriate given the emphasis on learning-led expansion profitability before scale and disciplined execution</w:t>
      </w:r>
      <w:r w:rsidR="000628AB">
        <w:rPr>
          <w:rFonts w:ascii="Times New Roman" w:hAnsi="Times New Roman" w:cs="Times New Roman"/>
          <w:sz w:val="24"/>
          <w:szCs w:val="24"/>
        </w:rPr>
        <w:t xml:space="preserve"> (</w:t>
      </w:r>
      <w:proofErr w:type="spellStart"/>
      <w:r w:rsidR="000628AB" w:rsidRPr="007E0A33">
        <w:rPr>
          <w:rFonts w:ascii="Times New Roman" w:hAnsi="Times New Roman" w:cs="Times New Roman"/>
          <w:sz w:val="24"/>
          <w:szCs w:val="24"/>
        </w:rPr>
        <w:t>Osabuohien</w:t>
      </w:r>
      <w:proofErr w:type="spellEnd"/>
      <w:r w:rsidR="000628AB" w:rsidRPr="007E0A33">
        <w:rPr>
          <w:rFonts w:ascii="Times New Roman" w:hAnsi="Times New Roman" w:cs="Times New Roman"/>
          <w:sz w:val="24"/>
          <w:szCs w:val="24"/>
        </w:rPr>
        <w:t>, 2022</w:t>
      </w:r>
      <w:r w:rsidR="000628AB">
        <w:rPr>
          <w:rFonts w:ascii="Times New Roman" w:hAnsi="Times New Roman" w:cs="Times New Roman"/>
          <w:sz w:val="24"/>
          <w:szCs w:val="24"/>
        </w:rPr>
        <w:t>)</w:t>
      </w:r>
      <w:r w:rsidRPr="00FD1F4F">
        <w:rPr>
          <w:rFonts w:ascii="Times New Roman" w:hAnsi="Times New Roman" w:cs="Times New Roman"/>
          <w:sz w:val="24"/>
          <w:szCs w:val="24"/>
        </w:rPr>
        <w:t>.</w:t>
      </w:r>
    </w:p>
    <w:p w14:paraId="7AE44916" w14:textId="77777777" w:rsidR="00936FE6"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Financial perspective</w:t>
      </w:r>
    </w:p>
    <w:p w14:paraId="0603A423" w14:textId="29B670F4"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Financial performance should prioritise unit-level profitability and capital efficiency rather than rapid revenue growth. Key indicators include store-level contribution margins operating cost ratios and return on invested capital within the joint venture. Monitoring food cost inflation labour productivity and delivery commission rates is essential in a price-sensitive market. Stable margins signal that the value proposition is commercially viable without reliance on discounting</w:t>
      </w:r>
      <w:r w:rsidR="000628AB">
        <w:rPr>
          <w:rFonts w:ascii="Times New Roman" w:hAnsi="Times New Roman" w:cs="Times New Roman"/>
          <w:sz w:val="24"/>
          <w:szCs w:val="24"/>
        </w:rPr>
        <w:t xml:space="preserve"> (</w:t>
      </w:r>
      <w:r w:rsidR="000628AB" w:rsidRPr="007E0A33">
        <w:rPr>
          <w:rFonts w:ascii="Times New Roman" w:hAnsi="Times New Roman" w:cs="Times New Roman"/>
          <w:sz w:val="24"/>
          <w:szCs w:val="24"/>
        </w:rPr>
        <w:t>Sawant, 2021</w:t>
      </w:r>
      <w:r w:rsidR="000628AB">
        <w:rPr>
          <w:rFonts w:ascii="Times New Roman" w:hAnsi="Times New Roman" w:cs="Times New Roman"/>
          <w:sz w:val="24"/>
          <w:szCs w:val="24"/>
        </w:rPr>
        <w:t>)</w:t>
      </w:r>
      <w:r w:rsidRPr="00FD1F4F">
        <w:rPr>
          <w:rFonts w:ascii="Times New Roman" w:hAnsi="Times New Roman" w:cs="Times New Roman"/>
          <w:sz w:val="24"/>
          <w:szCs w:val="24"/>
        </w:rPr>
        <w:t>.</w:t>
      </w:r>
    </w:p>
    <w:p w14:paraId="5E12EF7E" w14:textId="77777777" w:rsidR="00936FE6"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Customer perspective</w:t>
      </w:r>
    </w:p>
    <w:p w14:paraId="54BC7568" w14:textId="3E3C13EC"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Customer measures assess brand acceptance and value perception. Core KPIs include repeat purchase rates average transaction value customer satisfaction scores and digital engagement metrics from delivery platforms. Given the focused urban strategy customer lifetime value is more meaningful than raw footfall. Positive reviews and trust indicators around hygiene and consistency are critical leading measures of success</w:t>
      </w:r>
      <w:r w:rsidR="000628AB">
        <w:rPr>
          <w:rFonts w:ascii="Times New Roman" w:hAnsi="Times New Roman" w:cs="Times New Roman"/>
          <w:sz w:val="24"/>
          <w:szCs w:val="24"/>
        </w:rPr>
        <w:t xml:space="preserve"> (</w:t>
      </w:r>
      <w:r w:rsidR="000628AB" w:rsidRPr="007E0A33">
        <w:rPr>
          <w:rFonts w:ascii="Times New Roman" w:hAnsi="Times New Roman" w:cs="Times New Roman"/>
          <w:sz w:val="24"/>
          <w:szCs w:val="24"/>
        </w:rPr>
        <w:t>Vashisht,</w:t>
      </w:r>
      <w:r w:rsidR="000628AB">
        <w:rPr>
          <w:rFonts w:ascii="Times New Roman" w:hAnsi="Times New Roman" w:cs="Times New Roman"/>
          <w:sz w:val="24"/>
          <w:szCs w:val="24"/>
        </w:rPr>
        <w:t xml:space="preserve"> </w:t>
      </w:r>
      <w:r w:rsidR="000628AB" w:rsidRPr="007E0A33">
        <w:rPr>
          <w:rFonts w:ascii="Times New Roman" w:hAnsi="Times New Roman" w:cs="Times New Roman"/>
          <w:sz w:val="24"/>
          <w:szCs w:val="24"/>
        </w:rPr>
        <w:t>2022</w:t>
      </w:r>
      <w:r w:rsidR="000628AB">
        <w:rPr>
          <w:rFonts w:ascii="Times New Roman" w:hAnsi="Times New Roman" w:cs="Times New Roman"/>
          <w:sz w:val="24"/>
          <w:szCs w:val="24"/>
        </w:rPr>
        <w:t>)</w:t>
      </w:r>
      <w:r w:rsidRPr="00FD1F4F">
        <w:rPr>
          <w:rFonts w:ascii="Times New Roman" w:hAnsi="Times New Roman" w:cs="Times New Roman"/>
          <w:sz w:val="24"/>
          <w:szCs w:val="24"/>
        </w:rPr>
        <w:t>.</w:t>
      </w:r>
    </w:p>
    <w:p w14:paraId="7524A49E" w14:textId="77777777" w:rsidR="00936FE6"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Internal process perspective</w:t>
      </w:r>
    </w:p>
    <w:p w14:paraId="5CF0F471" w14:textId="20670B13"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Internal process metrics evaluate operational reliability and quality control. Key measures include food safety compliance rates order accuracy on-time delivery inventory turnover and waste levels. Consistency across locations is a priority as it reinforces brand trust. Strong internal performance indicates that the operating model can be scaled without eroding standards</w:t>
      </w:r>
      <w:r w:rsidR="000628AB">
        <w:rPr>
          <w:rFonts w:ascii="Times New Roman" w:hAnsi="Times New Roman" w:cs="Times New Roman"/>
          <w:sz w:val="24"/>
          <w:szCs w:val="24"/>
        </w:rPr>
        <w:t xml:space="preserve"> (</w:t>
      </w:r>
      <w:r w:rsidR="000628AB" w:rsidRPr="007E0A33">
        <w:rPr>
          <w:rFonts w:ascii="Times New Roman" w:hAnsi="Times New Roman" w:cs="Times New Roman"/>
          <w:sz w:val="24"/>
          <w:szCs w:val="24"/>
        </w:rPr>
        <w:t>Lemley</w:t>
      </w:r>
      <w:r w:rsidR="000628AB">
        <w:rPr>
          <w:rFonts w:ascii="Times New Roman" w:hAnsi="Times New Roman" w:cs="Times New Roman"/>
          <w:sz w:val="24"/>
          <w:szCs w:val="24"/>
        </w:rPr>
        <w:t>, 2025)</w:t>
      </w:r>
      <w:r w:rsidRPr="00FD1F4F">
        <w:rPr>
          <w:rFonts w:ascii="Times New Roman" w:hAnsi="Times New Roman" w:cs="Times New Roman"/>
          <w:sz w:val="24"/>
          <w:szCs w:val="24"/>
        </w:rPr>
        <w:t>.</w:t>
      </w:r>
    </w:p>
    <w:p w14:paraId="2892DED2" w14:textId="77777777" w:rsidR="00936FE6"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Learning and growth perspective</w:t>
      </w:r>
    </w:p>
    <w:p w14:paraId="4A4EF523" w14:textId="409B853E"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 xml:space="preserve">Learning and growth indicators capture the development of capabilities required for sustainable expansion. These include staff training completion rates localisation of management roles employee retention and digital capability adoption. Knowledge transfer between UK </w:t>
      </w:r>
      <w:r w:rsidRPr="00FD1F4F">
        <w:rPr>
          <w:rFonts w:ascii="Times New Roman" w:hAnsi="Times New Roman" w:cs="Times New Roman"/>
          <w:sz w:val="24"/>
          <w:szCs w:val="24"/>
        </w:rPr>
        <w:lastRenderedPageBreak/>
        <w:t>operations and Indian teams should be actively measured as it underpins continuous improvement and adaptive learning</w:t>
      </w:r>
      <w:r w:rsidR="000628AB">
        <w:rPr>
          <w:rFonts w:ascii="Times New Roman" w:hAnsi="Times New Roman" w:cs="Times New Roman"/>
          <w:sz w:val="24"/>
          <w:szCs w:val="24"/>
        </w:rPr>
        <w:t xml:space="preserve"> (</w:t>
      </w:r>
      <w:r w:rsidR="000628AB" w:rsidRPr="007E0A33">
        <w:rPr>
          <w:rFonts w:ascii="Times New Roman" w:hAnsi="Times New Roman" w:cs="Times New Roman"/>
          <w:sz w:val="24"/>
          <w:szCs w:val="24"/>
        </w:rPr>
        <w:t>Karameros,</w:t>
      </w:r>
      <w:r w:rsidR="000628AB">
        <w:rPr>
          <w:rFonts w:ascii="Times New Roman" w:hAnsi="Times New Roman" w:cs="Times New Roman"/>
          <w:sz w:val="24"/>
          <w:szCs w:val="24"/>
        </w:rPr>
        <w:t xml:space="preserve"> 2025)</w:t>
      </w:r>
      <w:r w:rsidRPr="00FD1F4F">
        <w:rPr>
          <w:rFonts w:ascii="Times New Roman" w:hAnsi="Times New Roman" w:cs="Times New Roman"/>
          <w:sz w:val="24"/>
          <w:szCs w:val="24"/>
        </w:rPr>
        <w:t>.</w:t>
      </w:r>
    </w:p>
    <w:p w14:paraId="521F210C" w14:textId="77777777" w:rsidR="00FD1F4F" w:rsidRPr="00FD1F4F" w:rsidRDefault="00FD1F4F" w:rsidP="00FD1F4F">
      <w:pPr>
        <w:spacing w:line="360" w:lineRule="auto"/>
        <w:jc w:val="both"/>
        <w:rPr>
          <w:rFonts w:ascii="Times New Roman" w:hAnsi="Times New Roman" w:cs="Times New Roman"/>
          <w:b/>
          <w:bCs/>
          <w:sz w:val="24"/>
          <w:szCs w:val="24"/>
        </w:rPr>
      </w:pPr>
      <w:r w:rsidRPr="00FD1F4F">
        <w:rPr>
          <w:rFonts w:ascii="Times New Roman" w:hAnsi="Times New Roman" w:cs="Times New Roman"/>
          <w:b/>
          <w:bCs/>
          <w:sz w:val="24"/>
          <w:szCs w:val="24"/>
        </w:rPr>
        <w:t>4.2 Triple Bottom Line (TBL) Integration</w:t>
      </w:r>
    </w:p>
    <w:p w14:paraId="0F43A154" w14:textId="77777777"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In addition to financial outcomes Greggs’ India strategy must be evaluated through a Triple Bottom Line lens to reflect responsible growth expectations in the food service sector.</w:t>
      </w:r>
    </w:p>
    <w:p w14:paraId="60CD3F28" w14:textId="77777777" w:rsidR="00936FE6"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Economic performance</w:t>
      </w:r>
    </w:p>
    <w:p w14:paraId="3090D06F" w14:textId="34DAD5E0"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Economic sustainability focuses on long-term value creation rather than short-term expansion. Indicators include profitability stability local supplier development and contribution to organised food retail employment. Building economically resilient operations supports both the joint venture partner and broader local ecosystems</w:t>
      </w:r>
      <w:r w:rsidR="000628AB">
        <w:rPr>
          <w:rFonts w:ascii="Times New Roman" w:hAnsi="Times New Roman" w:cs="Times New Roman"/>
          <w:sz w:val="24"/>
          <w:szCs w:val="24"/>
        </w:rPr>
        <w:t xml:space="preserve"> (</w:t>
      </w:r>
      <w:r w:rsidR="000628AB" w:rsidRPr="007E0A33">
        <w:rPr>
          <w:rFonts w:ascii="Times New Roman" w:hAnsi="Times New Roman" w:cs="Times New Roman"/>
          <w:sz w:val="24"/>
          <w:szCs w:val="24"/>
        </w:rPr>
        <w:t>Denning, 2024</w:t>
      </w:r>
      <w:r w:rsidR="000628AB">
        <w:rPr>
          <w:rFonts w:ascii="Times New Roman" w:hAnsi="Times New Roman" w:cs="Times New Roman"/>
          <w:sz w:val="24"/>
          <w:szCs w:val="24"/>
        </w:rPr>
        <w:t>)</w:t>
      </w:r>
      <w:r w:rsidRPr="00FD1F4F">
        <w:rPr>
          <w:rFonts w:ascii="Times New Roman" w:hAnsi="Times New Roman" w:cs="Times New Roman"/>
          <w:sz w:val="24"/>
          <w:szCs w:val="24"/>
        </w:rPr>
        <w:t>.</w:t>
      </w:r>
    </w:p>
    <w:p w14:paraId="3203E5D6" w14:textId="77777777" w:rsidR="00936FE6"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Social responsibility</w:t>
      </w:r>
    </w:p>
    <w:p w14:paraId="3E98FFA7" w14:textId="13EFB5C5"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Social performance relates to labour practices food safety and community impact. KPIs include compliance with labour standards health and safety performance workforce diversity and supplier labour audits. Providing safe hygienic and affordable food enhances social legitimacy particularly in comparison with informal food vendors</w:t>
      </w:r>
      <w:r w:rsidR="000628AB">
        <w:rPr>
          <w:rFonts w:ascii="Times New Roman" w:hAnsi="Times New Roman" w:cs="Times New Roman"/>
          <w:sz w:val="24"/>
          <w:szCs w:val="24"/>
        </w:rPr>
        <w:t xml:space="preserve"> (</w:t>
      </w:r>
      <w:r w:rsidR="000628AB" w:rsidRPr="007E0A33">
        <w:rPr>
          <w:rFonts w:ascii="Times New Roman" w:hAnsi="Times New Roman" w:cs="Times New Roman"/>
          <w:sz w:val="24"/>
          <w:szCs w:val="24"/>
        </w:rPr>
        <w:t>Brueggemann</w:t>
      </w:r>
      <w:r w:rsidR="000628AB">
        <w:rPr>
          <w:rFonts w:ascii="Times New Roman" w:hAnsi="Times New Roman" w:cs="Times New Roman"/>
          <w:sz w:val="24"/>
          <w:szCs w:val="24"/>
        </w:rPr>
        <w:t>, 2024)</w:t>
      </w:r>
      <w:r w:rsidRPr="00FD1F4F">
        <w:rPr>
          <w:rFonts w:ascii="Times New Roman" w:hAnsi="Times New Roman" w:cs="Times New Roman"/>
          <w:sz w:val="24"/>
          <w:szCs w:val="24"/>
        </w:rPr>
        <w:t>.</w:t>
      </w:r>
    </w:p>
    <w:p w14:paraId="0AC2039A" w14:textId="77777777" w:rsidR="00936FE6"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b/>
          <w:bCs/>
          <w:sz w:val="24"/>
          <w:szCs w:val="24"/>
        </w:rPr>
        <w:t>Environmental sustainability</w:t>
      </w:r>
    </w:p>
    <w:p w14:paraId="6F61081B" w14:textId="07A35634" w:rsid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Environmental metrics assess waste reduction responsible sourcing and packaging efficiency. Food waste levels recycling rates and water usage efficiency are particularly relevant in the Indian context. Aligning sustainability practices with local environmental priorities strengthens regulatory compliance and brand credibility</w:t>
      </w:r>
      <w:r w:rsidR="000628AB">
        <w:rPr>
          <w:rFonts w:ascii="Times New Roman" w:hAnsi="Times New Roman" w:cs="Times New Roman"/>
          <w:sz w:val="24"/>
          <w:szCs w:val="24"/>
        </w:rPr>
        <w:t xml:space="preserve"> (</w:t>
      </w:r>
      <w:proofErr w:type="spellStart"/>
      <w:r w:rsidR="000628AB" w:rsidRPr="007E0A33">
        <w:rPr>
          <w:rFonts w:ascii="Times New Roman" w:hAnsi="Times New Roman" w:cs="Times New Roman"/>
          <w:sz w:val="24"/>
          <w:szCs w:val="24"/>
        </w:rPr>
        <w:t>Pajda</w:t>
      </w:r>
      <w:proofErr w:type="spellEnd"/>
      <w:r w:rsidR="000628AB" w:rsidRPr="007E0A33">
        <w:rPr>
          <w:rFonts w:ascii="Times New Roman" w:hAnsi="Times New Roman" w:cs="Times New Roman"/>
          <w:sz w:val="24"/>
          <w:szCs w:val="24"/>
        </w:rPr>
        <w:t>, 2024</w:t>
      </w:r>
      <w:r w:rsidR="000628AB">
        <w:rPr>
          <w:rFonts w:ascii="Times New Roman" w:hAnsi="Times New Roman" w:cs="Times New Roman"/>
          <w:sz w:val="24"/>
          <w:szCs w:val="24"/>
        </w:rPr>
        <w:t>)</w:t>
      </w:r>
      <w:r w:rsidRPr="00FD1F4F">
        <w:rPr>
          <w:rFonts w:ascii="Times New Roman" w:hAnsi="Times New Roman" w:cs="Times New Roman"/>
          <w:sz w:val="24"/>
          <w:szCs w:val="24"/>
        </w:rPr>
        <w:t>.</w:t>
      </w:r>
    </w:p>
    <w:p w14:paraId="641D73A4" w14:textId="53A9A7AB" w:rsidR="00740E53" w:rsidRPr="00FD1F4F" w:rsidRDefault="00740E53" w:rsidP="00FD1F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614FA8EB" wp14:editId="24DD3CE7">
            <wp:extent cx="2576830" cy="1980728"/>
            <wp:effectExtent l="0" t="0" r="0" b="635"/>
            <wp:docPr id="751827372" name="Picture 33" descr="Mastering the Triple Bottom Line - SM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2" descr="Mastering the Triple Bottom Line - SM Insigh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80142" cy="1983274"/>
                    </a:xfrm>
                    <a:prstGeom prst="rect">
                      <a:avLst/>
                    </a:prstGeom>
                    <a:noFill/>
                    <a:ln>
                      <a:noFill/>
                    </a:ln>
                  </pic:spPr>
                </pic:pic>
              </a:graphicData>
            </a:graphic>
          </wp:inline>
        </w:drawing>
      </w:r>
    </w:p>
    <w:p w14:paraId="39195219" w14:textId="3C1BC3A8" w:rsidR="00740E53" w:rsidRPr="00EF752B" w:rsidRDefault="00EF752B" w:rsidP="00FD1F4F">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                              </w:t>
      </w:r>
      <w:r w:rsidRPr="00EF752B">
        <w:rPr>
          <w:rFonts w:ascii="Times New Roman" w:hAnsi="Times New Roman" w:cs="Times New Roman"/>
          <w:b/>
          <w:bCs/>
          <w:i/>
          <w:iCs/>
          <w:sz w:val="24"/>
          <w:szCs w:val="24"/>
        </w:rPr>
        <w:t>Figure 11: Triple Bottom Line Framework</w:t>
      </w:r>
    </w:p>
    <w:p w14:paraId="7880F68E" w14:textId="2E922EC7" w:rsidR="00FD1F4F" w:rsidRPr="00FD1F4F" w:rsidRDefault="00FD1F4F" w:rsidP="00FD1F4F">
      <w:pPr>
        <w:spacing w:line="360" w:lineRule="auto"/>
        <w:jc w:val="both"/>
        <w:rPr>
          <w:rFonts w:ascii="Times New Roman" w:hAnsi="Times New Roman" w:cs="Times New Roman"/>
          <w:b/>
          <w:bCs/>
          <w:sz w:val="24"/>
          <w:szCs w:val="24"/>
        </w:rPr>
      </w:pPr>
      <w:r w:rsidRPr="00FD1F4F">
        <w:rPr>
          <w:rFonts w:ascii="Times New Roman" w:hAnsi="Times New Roman" w:cs="Times New Roman"/>
          <w:b/>
          <w:bCs/>
          <w:sz w:val="24"/>
          <w:szCs w:val="24"/>
        </w:rPr>
        <w:lastRenderedPageBreak/>
        <w:t>4.3 Governance Monitoring and Control Mechanisms</w:t>
      </w:r>
    </w:p>
    <w:p w14:paraId="325EFEA5" w14:textId="31758863" w:rsidR="00936FE6"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Effective governance is critical to align strategic intent with execution. Under a joint venture model governance arrangements should clearly define decision rights performance accountability and escalation procedures between Greggs and its local partner. Strategic control should focus on brand standards food safety and financial discipline while allowing operational flexibility for localisation</w:t>
      </w:r>
      <w:r w:rsidR="000628AB">
        <w:rPr>
          <w:rFonts w:ascii="Times New Roman" w:hAnsi="Times New Roman" w:cs="Times New Roman"/>
          <w:sz w:val="24"/>
          <w:szCs w:val="24"/>
        </w:rPr>
        <w:t xml:space="preserve"> (</w:t>
      </w:r>
      <w:proofErr w:type="spellStart"/>
      <w:r w:rsidR="000628AB" w:rsidRPr="007E0A33">
        <w:rPr>
          <w:rFonts w:ascii="Times New Roman" w:hAnsi="Times New Roman" w:cs="Times New Roman"/>
          <w:sz w:val="24"/>
          <w:szCs w:val="24"/>
        </w:rPr>
        <w:t>Pajda</w:t>
      </w:r>
      <w:proofErr w:type="spellEnd"/>
      <w:r w:rsidR="000628AB" w:rsidRPr="007E0A33">
        <w:rPr>
          <w:rFonts w:ascii="Times New Roman" w:hAnsi="Times New Roman" w:cs="Times New Roman"/>
          <w:sz w:val="24"/>
          <w:szCs w:val="24"/>
        </w:rPr>
        <w:t>, 2024</w:t>
      </w:r>
      <w:r w:rsidR="000628AB">
        <w:rPr>
          <w:rFonts w:ascii="Times New Roman" w:hAnsi="Times New Roman" w:cs="Times New Roman"/>
          <w:sz w:val="24"/>
          <w:szCs w:val="24"/>
        </w:rPr>
        <w:t>)</w:t>
      </w:r>
      <w:r w:rsidRPr="00FD1F4F">
        <w:rPr>
          <w:rFonts w:ascii="Times New Roman" w:hAnsi="Times New Roman" w:cs="Times New Roman"/>
          <w:sz w:val="24"/>
          <w:szCs w:val="24"/>
        </w:rPr>
        <w:t>.</w:t>
      </w:r>
      <w:r w:rsidR="000628AB">
        <w:rPr>
          <w:rFonts w:ascii="Times New Roman" w:hAnsi="Times New Roman" w:cs="Times New Roman"/>
          <w:sz w:val="24"/>
          <w:szCs w:val="24"/>
        </w:rPr>
        <w:t xml:space="preserve"> </w:t>
      </w:r>
      <w:r w:rsidRPr="00FD1F4F">
        <w:rPr>
          <w:rFonts w:ascii="Times New Roman" w:hAnsi="Times New Roman" w:cs="Times New Roman"/>
          <w:sz w:val="24"/>
          <w:szCs w:val="24"/>
        </w:rPr>
        <w:t>Monitoring should be conducted through quarterly strategic reviews using Balanced Scorecard and TBL metrics. Performance dashboards enable early identification of deviations and emerging risks. Regular internal audits supplier inspections and food safety assessments provide assurance on compliance and quality control</w:t>
      </w:r>
      <w:r w:rsidR="000628AB">
        <w:rPr>
          <w:rFonts w:ascii="Times New Roman" w:hAnsi="Times New Roman" w:cs="Times New Roman"/>
          <w:sz w:val="24"/>
          <w:szCs w:val="24"/>
        </w:rPr>
        <w:t xml:space="preserve"> (</w:t>
      </w:r>
      <w:r w:rsidR="000628AB" w:rsidRPr="007E0A33">
        <w:rPr>
          <w:rFonts w:ascii="Times New Roman" w:hAnsi="Times New Roman" w:cs="Times New Roman"/>
          <w:sz w:val="24"/>
          <w:szCs w:val="24"/>
        </w:rPr>
        <w:t>Gagliano, 2022</w:t>
      </w:r>
      <w:r w:rsidR="000628AB">
        <w:rPr>
          <w:rFonts w:ascii="Times New Roman" w:hAnsi="Times New Roman" w:cs="Times New Roman"/>
          <w:sz w:val="24"/>
          <w:szCs w:val="24"/>
        </w:rPr>
        <w:t>)</w:t>
      </w:r>
      <w:r w:rsidRPr="00FD1F4F">
        <w:rPr>
          <w:rFonts w:ascii="Times New Roman" w:hAnsi="Times New Roman" w:cs="Times New Roman"/>
          <w:sz w:val="24"/>
          <w:szCs w:val="24"/>
        </w:rPr>
        <w:t>.</w:t>
      </w:r>
    </w:p>
    <w:p w14:paraId="1AB72EF8" w14:textId="77777777" w:rsidR="00740E53" w:rsidRDefault="00740E53" w:rsidP="00FD1F4F">
      <w:pPr>
        <w:spacing w:line="360" w:lineRule="auto"/>
        <w:jc w:val="both"/>
        <w:rPr>
          <w:rFonts w:ascii="Times New Roman" w:hAnsi="Times New Roman" w:cs="Times New Roman"/>
          <w:sz w:val="24"/>
          <w:szCs w:val="24"/>
        </w:rPr>
      </w:pPr>
    </w:p>
    <w:p w14:paraId="6F55117D" w14:textId="77777777" w:rsidR="00740E53" w:rsidRDefault="00740E53" w:rsidP="00FD1F4F">
      <w:pPr>
        <w:spacing w:line="360" w:lineRule="auto"/>
        <w:jc w:val="both"/>
        <w:rPr>
          <w:rFonts w:ascii="Times New Roman" w:hAnsi="Times New Roman" w:cs="Times New Roman"/>
          <w:sz w:val="24"/>
          <w:szCs w:val="24"/>
        </w:rPr>
      </w:pPr>
    </w:p>
    <w:p w14:paraId="0F5AA80E" w14:textId="77777777" w:rsidR="00740E53" w:rsidRDefault="00740E53" w:rsidP="00FD1F4F">
      <w:pPr>
        <w:spacing w:line="360" w:lineRule="auto"/>
        <w:jc w:val="both"/>
        <w:rPr>
          <w:rFonts w:ascii="Times New Roman" w:hAnsi="Times New Roman" w:cs="Times New Roman"/>
          <w:sz w:val="24"/>
          <w:szCs w:val="24"/>
        </w:rPr>
      </w:pPr>
    </w:p>
    <w:p w14:paraId="7653C63B" w14:textId="77777777" w:rsidR="00740E53" w:rsidRDefault="00740E53" w:rsidP="00FD1F4F">
      <w:pPr>
        <w:spacing w:line="360" w:lineRule="auto"/>
        <w:jc w:val="both"/>
        <w:rPr>
          <w:rFonts w:ascii="Times New Roman" w:hAnsi="Times New Roman" w:cs="Times New Roman"/>
          <w:sz w:val="24"/>
          <w:szCs w:val="24"/>
        </w:rPr>
      </w:pPr>
    </w:p>
    <w:p w14:paraId="2A37F872" w14:textId="77777777" w:rsidR="00740E53" w:rsidRDefault="00740E53" w:rsidP="00FD1F4F">
      <w:pPr>
        <w:spacing w:line="360" w:lineRule="auto"/>
        <w:jc w:val="both"/>
        <w:rPr>
          <w:rFonts w:ascii="Times New Roman" w:hAnsi="Times New Roman" w:cs="Times New Roman"/>
          <w:sz w:val="24"/>
          <w:szCs w:val="24"/>
        </w:rPr>
      </w:pPr>
    </w:p>
    <w:p w14:paraId="62A5E662" w14:textId="77777777" w:rsidR="00740E53" w:rsidRDefault="00740E53" w:rsidP="00FD1F4F">
      <w:pPr>
        <w:spacing w:line="360" w:lineRule="auto"/>
        <w:jc w:val="both"/>
        <w:rPr>
          <w:rFonts w:ascii="Times New Roman" w:hAnsi="Times New Roman" w:cs="Times New Roman"/>
          <w:sz w:val="24"/>
          <w:szCs w:val="24"/>
        </w:rPr>
      </w:pPr>
    </w:p>
    <w:p w14:paraId="171352BB" w14:textId="77777777" w:rsidR="00740E53" w:rsidRDefault="00740E53" w:rsidP="00FD1F4F">
      <w:pPr>
        <w:spacing w:line="360" w:lineRule="auto"/>
        <w:jc w:val="both"/>
        <w:rPr>
          <w:rFonts w:ascii="Times New Roman" w:hAnsi="Times New Roman" w:cs="Times New Roman"/>
          <w:sz w:val="24"/>
          <w:szCs w:val="24"/>
        </w:rPr>
      </w:pPr>
    </w:p>
    <w:p w14:paraId="13B44916" w14:textId="77777777" w:rsidR="00740E53" w:rsidRDefault="00740E53" w:rsidP="00FD1F4F">
      <w:pPr>
        <w:spacing w:line="360" w:lineRule="auto"/>
        <w:jc w:val="both"/>
        <w:rPr>
          <w:rFonts w:ascii="Times New Roman" w:hAnsi="Times New Roman" w:cs="Times New Roman"/>
          <w:sz w:val="24"/>
          <w:szCs w:val="24"/>
        </w:rPr>
      </w:pPr>
    </w:p>
    <w:p w14:paraId="5C4B7DF5" w14:textId="77777777" w:rsidR="00740E53" w:rsidRDefault="00740E53" w:rsidP="00FD1F4F">
      <w:pPr>
        <w:spacing w:line="360" w:lineRule="auto"/>
        <w:jc w:val="both"/>
        <w:rPr>
          <w:rFonts w:ascii="Times New Roman" w:hAnsi="Times New Roman" w:cs="Times New Roman"/>
          <w:sz w:val="24"/>
          <w:szCs w:val="24"/>
        </w:rPr>
      </w:pPr>
    </w:p>
    <w:p w14:paraId="50EB194C" w14:textId="77777777" w:rsidR="00740E53" w:rsidRDefault="00740E53" w:rsidP="00FD1F4F">
      <w:pPr>
        <w:spacing w:line="360" w:lineRule="auto"/>
        <w:jc w:val="both"/>
        <w:rPr>
          <w:rFonts w:ascii="Times New Roman" w:hAnsi="Times New Roman" w:cs="Times New Roman"/>
          <w:sz w:val="24"/>
          <w:szCs w:val="24"/>
        </w:rPr>
      </w:pPr>
    </w:p>
    <w:p w14:paraId="5050118E" w14:textId="77777777" w:rsidR="00740E53" w:rsidRDefault="00740E53" w:rsidP="00FD1F4F">
      <w:pPr>
        <w:spacing w:line="360" w:lineRule="auto"/>
        <w:jc w:val="both"/>
        <w:rPr>
          <w:rFonts w:ascii="Times New Roman" w:hAnsi="Times New Roman" w:cs="Times New Roman"/>
          <w:sz w:val="24"/>
          <w:szCs w:val="24"/>
        </w:rPr>
      </w:pPr>
    </w:p>
    <w:p w14:paraId="64C77B41" w14:textId="77777777" w:rsidR="00740E53" w:rsidRDefault="00740E53" w:rsidP="00FD1F4F">
      <w:pPr>
        <w:spacing w:line="360" w:lineRule="auto"/>
        <w:jc w:val="both"/>
        <w:rPr>
          <w:rFonts w:ascii="Times New Roman" w:hAnsi="Times New Roman" w:cs="Times New Roman"/>
          <w:sz w:val="24"/>
          <w:szCs w:val="24"/>
        </w:rPr>
      </w:pPr>
    </w:p>
    <w:p w14:paraId="7C67510E" w14:textId="77777777" w:rsidR="00740E53" w:rsidRDefault="00740E53" w:rsidP="00FD1F4F">
      <w:pPr>
        <w:spacing w:line="360" w:lineRule="auto"/>
        <w:jc w:val="both"/>
        <w:rPr>
          <w:rFonts w:ascii="Times New Roman" w:hAnsi="Times New Roman" w:cs="Times New Roman"/>
          <w:sz w:val="24"/>
          <w:szCs w:val="24"/>
        </w:rPr>
      </w:pPr>
    </w:p>
    <w:p w14:paraId="0D475876" w14:textId="77777777" w:rsidR="00740E53" w:rsidRDefault="00740E53" w:rsidP="00FD1F4F">
      <w:pPr>
        <w:spacing w:line="360" w:lineRule="auto"/>
        <w:jc w:val="both"/>
        <w:rPr>
          <w:rFonts w:ascii="Times New Roman" w:hAnsi="Times New Roman" w:cs="Times New Roman"/>
          <w:sz w:val="24"/>
          <w:szCs w:val="24"/>
        </w:rPr>
      </w:pPr>
    </w:p>
    <w:p w14:paraId="3AE7B9E8" w14:textId="77777777" w:rsidR="00740E53" w:rsidRDefault="00740E53" w:rsidP="00FD1F4F">
      <w:pPr>
        <w:spacing w:line="360" w:lineRule="auto"/>
        <w:jc w:val="both"/>
        <w:rPr>
          <w:rFonts w:ascii="Times New Roman" w:hAnsi="Times New Roman" w:cs="Times New Roman"/>
          <w:sz w:val="24"/>
          <w:szCs w:val="24"/>
        </w:rPr>
      </w:pPr>
    </w:p>
    <w:p w14:paraId="651B17AB" w14:textId="77777777" w:rsidR="00740E53" w:rsidRPr="00FD1F4F" w:rsidRDefault="00740E53" w:rsidP="00FD1F4F">
      <w:pPr>
        <w:spacing w:line="360" w:lineRule="auto"/>
        <w:jc w:val="both"/>
        <w:rPr>
          <w:rFonts w:ascii="Times New Roman" w:hAnsi="Times New Roman" w:cs="Times New Roman"/>
          <w:sz w:val="24"/>
          <w:szCs w:val="24"/>
        </w:rPr>
      </w:pPr>
    </w:p>
    <w:p w14:paraId="3E40EA88" w14:textId="77777777" w:rsidR="00FD1F4F" w:rsidRPr="00FD1F4F" w:rsidRDefault="00FD1F4F" w:rsidP="00936FE6">
      <w:pPr>
        <w:spacing w:line="360" w:lineRule="auto"/>
        <w:jc w:val="center"/>
        <w:rPr>
          <w:rFonts w:ascii="Times New Roman" w:hAnsi="Times New Roman" w:cs="Times New Roman"/>
          <w:b/>
          <w:bCs/>
          <w:sz w:val="32"/>
          <w:szCs w:val="32"/>
        </w:rPr>
      </w:pPr>
      <w:r w:rsidRPr="00FD1F4F">
        <w:rPr>
          <w:rFonts w:ascii="Times New Roman" w:hAnsi="Times New Roman" w:cs="Times New Roman"/>
          <w:b/>
          <w:bCs/>
          <w:sz w:val="32"/>
          <w:szCs w:val="32"/>
        </w:rPr>
        <w:lastRenderedPageBreak/>
        <w:t>Conclusion</w:t>
      </w:r>
    </w:p>
    <w:p w14:paraId="462EE7E2" w14:textId="1382F957" w:rsidR="00FD1F4F" w:rsidRPr="00FD1F4F"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 xml:space="preserve">This report has developed a comprehensive and evidence-based strategy for the international expansion of </w:t>
      </w:r>
      <w:r w:rsidRPr="00FD1F4F">
        <w:rPr>
          <w:rFonts w:ascii="Times New Roman" w:hAnsi="Times New Roman" w:cs="Times New Roman"/>
          <w:b/>
          <w:bCs/>
          <w:sz w:val="24"/>
          <w:szCs w:val="24"/>
        </w:rPr>
        <w:t>Greggs</w:t>
      </w:r>
      <w:r w:rsidRPr="00FD1F4F">
        <w:rPr>
          <w:rFonts w:ascii="Times New Roman" w:hAnsi="Times New Roman" w:cs="Times New Roman"/>
          <w:sz w:val="24"/>
          <w:szCs w:val="24"/>
        </w:rPr>
        <w:t xml:space="preserve"> into the Indian food retail market. The analysis demonstrates that while Greggs holds a strong and defensible position in the UK through its value-led, vertically integrated bakery model, continued reliance on a mature domestic market exposes the firm to growth constraints and concentrated risk. International expansion therefore emerges not as an opportunistic move but as a strategically necessary pathway for long-term resilience and diversification.</w:t>
      </w:r>
      <w:r w:rsidR="00EF752B">
        <w:rPr>
          <w:rFonts w:ascii="Times New Roman" w:hAnsi="Times New Roman" w:cs="Times New Roman"/>
          <w:sz w:val="24"/>
          <w:szCs w:val="24"/>
        </w:rPr>
        <w:t xml:space="preserve"> </w:t>
      </w:r>
      <w:r w:rsidRPr="00FD1F4F">
        <w:rPr>
          <w:rFonts w:ascii="Times New Roman" w:hAnsi="Times New Roman" w:cs="Times New Roman"/>
          <w:sz w:val="24"/>
          <w:szCs w:val="24"/>
        </w:rPr>
        <w:t>The external analysis highlights India as a high-potential yet execution-intensive market. Rapid urbanisation, a young population and evolving eating habits create strong demand for affordable food-on-the-go solutions. However, this opportunity is counterbalanced by extreme price sensitivity, intense competition from both organised and informal food providers and significant regulatory and cultural complexity. These findings reinforce that success in India depends less on market size and more on strategic selectivity, localisation and disciplined operational execution.</w:t>
      </w:r>
    </w:p>
    <w:p w14:paraId="5170C8CE" w14:textId="402E8FC9" w:rsidR="00EF752B" w:rsidRDefault="00FD1F4F" w:rsidP="00FD1F4F">
      <w:pPr>
        <w:spacing w:line="360" w:lineRule="auto"/>
        <w:jc w:val="both"/>
        <w:rPr>
          <w:rFonts w:ascii="Times New Roman" w:hAnsi="Times New Roman" w:cs="Times New Roman"/>
          <w:sz w:val="24"/>
          <w:szCs w:val="24"/>
        </w:rPr>
      </w:pPr>
      <w:r w:rsidRPr="00FD1F4F">
        <w:rPr>
          <w:rFonts w:ascii="Times New Roman" w:hAnsi="Times New Roman" w:cs="Times New Roman"/>
          <w:sz w:val="24"/>
          <w:szCs w:val="24"/>
        </w:rPr>
        <w:t>Building on these insights, the proposed strategy advocates a focused urban entry supported by a joint venture model. This approach balances strategic control with local responsiveness, allowing Greggs to leverage its core strengths in operational efficiency, value pricing and brand trust while mitigating regulatory and cultural risks. The application of the Ansoff Matrix and VRIO framework confirms that Greggs’ resources can generate competitive advantage in India, provided they are adapted thoughtfully rather than transferred wholesale from the UK context. Emphasis on profitability before scale, phased rollout and learning-led expansion further reduces execution risk and supports sustainable growth.</w:t>
      </w:r>
      <w:r w:rsidR="00EF752B">
        <w:rPr>
          <w:rFonts w:ascii="Times New Roman" w:hAnsi="Times New Roman" w:cs="Times New Roman"/>
          <w:sz w:val="24"/>
          <w:szCs w:val="24"/>
        </w:rPr>
        <w:t xml:space="preserve"> </w:t>
      </w:r>
      <w:r w:rsidRPr="00FD1F4F">
        <w:rPr>
          <w:rFonts w:ascii="Times New Roman" w:hAnsi="Times New Roman" w:cs="Times New Roman"/>
          <w:sz w:val="24"/>
          <w:szCs w:val="24"/>
        </w:rPr>
        <w:t>The performance evaluation framework reinforces the importance of aligning strategic intent with measurable outcomes. By integrating a Balanced Scorecard with a Triple Bottom Line perspective, the report recognises that long-term success in India must be assessed not only through financial returns but also through customer trust, operational reliability, workforce development and responsible environmental practices. Strong governance, clear KPIs and continuous strategic review are therefore essential to ensure accountability and adaptive learning.</w:t>
      </w:r>
      <w:r w:rsidR="00EF752B">
        <w:rPr>
          <w:rFonts w:ascii="Times New Roman" w:hAnsi="Times New Roman" w:cs="Times New Roman"/>
          <w:sz w:val="24"/>
          <w:szCs w:val="24"/>
        </w:rPr>
        <w:t xml:space="preserve"> </w:t>
      </w:r>
      <w:r w:rsidRPr="00FD1F4F">
        <w:rPr>
          <w:rFonts w:ascii="Times New Roman" w:hAnsi="Times New Roman" w:cs="Times New Roman"/>
          <w:sz w:val="24"/>
          <w:szCs w:val="24"/>
        </w:rPr>
        <w:t xml:space="preserve">Overall, the findings indicate that Greggs’ expansion into India is strategically viable if pursued with discipline, localisation and long-term orientation. Rather than competing on speed or scale, Greggs is best positioned to build a sustainable presence by offering affordable, hygienic and consistent food tailored to local preferences. </w:t>
      </w:r>
    </w:p>
    <w:p w14:paraId="51B07B9D" w14:textId="77777777" w:rsidR="00EF752B" w:rsidRPr="00EF752B" w:rsidRDefault="00EF752B" w:rsidP="00EF752B">
      <w:pPr>
        <w:spacing w:line="360" w:lineRule="auto"/>
        <w:jc w:val="both"/>
        <w:rPr>
          <w:rFonts w:ascii="Times New Roman" w:hAnsi="Times New Roman" w:cs="Times New Roman"/>
          <w:b/>
          <w:bCs/>
          <w:sz w:val="28"/>
          <w:szCs w:val="28"/>
        </w:rPr>
      </w:pPr>
      <w:r w:rsidRPr="00EF752B">
        <w:rPr>
          <w:rFonts w:ascii="Times New Roman" w:hAnsi="Times New Roman" w:cs="Times New Roman"/>
          <w:b/>
          <w:bCs/>
          <w:sz w:val="28"/>
          <w:szCs w:val="28"/>
        </w:rPr>
        <w:lastRenderedPageBreak/>
        <w:t>References:</w:t>
      </w:r>
    </w:p>
    <w:p w14:paraId="1C0243DE" w14:textId="6582457B" w:rsidR="00EF752B" w:rsidRDefault="00EF752B" w:rsidP="00EF752B">
      <w:pPr>
        <w:spacing w:line="360" w:lineRule="auto"/>
        <w:jc w:val="both"/>
        <w:rPr>
          <w:rFonts w:ascii="Times New Roman" w:hAnsi="Times New Roman" w:cs="Times New Roman"/>
          <w:sz w:val="24"/>
          <w:szCs w:val="24"/>
        </w:rPr>
      </w:pPr>
      <w:proofErr w:type="spellStart"/>
      <w:r w:rsidRPr="007E0A33">
        <w:rPr>
          <w:rFonts w:ascii="Times New Roman" w:hAnsi="Times New Roman" w:cs="Times New Roman"/>
          <w:sz w:val="24"/>
          <w:szCs w:val="24"/>
        </w:rPr>
        <w:t>Hoenink</w:t>
      </w:r>
      <w:proofErr w:type="spellEnd"/>
      <w:r w:rsidRPr="007E0A33">
        <w:rPr>
          <w:rFonts w:ascii="Times New Roman" w:hAnsi="Times New Roman" w:cs="Times New Roman"/>
          <w:sz w:val="24"/>
          <w:szCs w:val="24"/>
        </w:rPr>
        <w:t xml:space="preserve">, J., Cerny, C., Mahoney, C. and </w:t>
      </w:r>
      <w:proofErr w:type="spellStart"/>
      <w:r w:rsidRPr="007E0A33">
        <w:rPr>
          <w:rFonts w:ascii="Times New Roman" w:hAnsi="Times New Roman" w:cs="Times New Roman"/>
          <w:sz w:val="24"/>
          <w:szCs w:val="24"/>
        </w:rPr>
        <w:t>Pajda</w:t>
      </w:r>
      <w:proofErr w:type="spellEnd"/>
      <w:r w:rsidRPr="007E0A33">
        <w:rPr>
          <w:rFonts w:ascii="Times New Roman" w:hAnsi="Times New Roman" w:cs="Times New Roman"/>
          <w:sz w:val="24"/>
          <w:szCs w:val="24"/>
        </w:rPr>
        <w:t>, N., 2024. Fuel us, don't fool us: Big Food &amp; Our Communities: Where are food chains expanding?(Out-of-home# 1).</w:t>
      </w:r>
    </w:p>
    <w:p w14:paraId="1DF24CF4" w14:textId="77777777" w:rsidR="00EF752B" w:rsidRDefault="00EF752B" w:rsidP="00EF752B">
      <w:pPr>
        <w:spacing w:line="360" w:lineRule="auto"/>
        <w:jc w:val="both"/>
        <w:rPr>
          <w:rFonts w:ascii="Times New Roman" w:hAnsi="Times New Roman" w:cs="Times New Roman"/>
          <w:sz w:val="24"/>
          <w:szCs w:val="24"/>
        </w:rPr>
      </w:pPr>
      <w:r w:rsidRPr="007E0A33">
        <w:rPr>
          <w:rFonts w:ascii="Times New Roman" w:hAnsi="Times New Roman" w:cs="Times New Roman"/>
          <w:sz w:val="24"/>
          <w:szCs w:val="24"/>
        </w:rPr>
        <w:t>Green, E., Bradley, P. and Parry, G., 2024. Exploring production of social and economic value in social enterprises through a business model framework. </w:t>
      </w:r>
      <w:r w:rsidRPr="007E0A33">
        <w:rPr>
          <w:rFonts w:ascii="Times New Roman" w:hAnsi="Times New Roman" w:cs="Times New Roman"/>
          <w:i/>
          <w:iCs/>
          <w:sz w:val="24"/>
          <w:szCs w:val="24"/>
        </w:rPr>
        <w:t>Strategic change</w:t>
      </w:r>
      <w:r w:rsidRPr="007E0A33">
        <w:rPr>
          <w:rFonts w:ascii="Times New Roman" w:hAnsi="Times New Roman" w:cs="Times New Roman"/>
          <w:sz w:val="24"/>
          <w:szCs w:val="24"/>
        </w:rPr>
        <w:t>.</w:t>
      </w:r>
    </w:p>
    <w:p w14:paraId="737EF40B" w14:textId="77777777" w:rsidR="00EF752B" w:rsidRDefault="00EF752B" w:rsidP="00EF752B">
      <w:pPr>
        <w:spacing w:line="360" w:lineRule="auto"/>
        <w:jc w:val="both"/>
        <w:rPr>
          <w:rFonts w:ascii="Times New Roman" w:hAnsi="Times New Roman" w:cs="Times New Roman"/>
          <w:sz w:val="24"/>
          <w:szCs w:val="24"/>
        </w:rPr>
      </w:pPr>
      <w:r w:rsidRPr="007E0A33">
        <w:rPr>
          <w:rFonts w:ascii="Times New Roman" w:hAnsi="Times New Roman" w:cs="Times New Roman"/>
          <w:sz w:val="24"/>
          <w:szCs w:val="24"/>
        </w:rPr>
        <w:t>Frost, S., 2024. </w:t>
      </w:r>
      <w:r w:rsidRPr="007E0A33">
        <w:rPr>
          <w:rFonts w:ascii="Times New Roman" w:hAnsi="Times New Roman" w:cs="Times New Roman"/>
          <w:i/>
          <w:iCs/>
          <w:sz w:val="24"/>
          <w:szCs w:val="24"/>
        </w:rPr>
        <w:t>Financial Accounting and Reporting for Non-Accounting Students: How to Interpret Financial Statements and Appraise Company Performance</w:t>
      </w:r>
      <w:r w:rsidRPr="007E0A33">
        <w:rPr>
          <w:rFonts w:ascii="Times New Roman" w:hAnsi="Times New Roman" w:cs="Times New Roman"/>
          <w:sz w:val="24"/>
          <w:szCs w:val="24"/>
        </w:rPr>
        <w:t>. Kogan Page Publishers.</w:t>
      </w:r>
    </w:p>
    <w:p w14:paraId="68654E2B" w14:textId="77777777" w:rsidR="00EF752B" w:rsidRDefault="00EF752B" w:rsidP="00EF752B">
      <w:pPr>
        <w:spacing w:line="360" w:lineRule="auto"/>
        <w:jc w:val="both"/>
        <w:rPr>
          <w:rFonts w:ascii="Times New Roman" w:hAnsi="Times New Roman" w:cs="Times New Roman"/>
          <w:sz w:val="24"/>
          <w:szCs w:val="24"/>
        </w:rPr>
      </w:pPr>
      <w:r w:rsidRPr="007E0A33">
        <w:rPr>
          <w:rFonts w:ascii="Times New Roman" w:hAnsi="Times New Roman" w:cs="Times New Roman"/>
          <w:sz w:val="24"/>
          <w:szCs w:val="24"/>
        </w:rPr>
        <w:t>Ford, H., 2024. 3 Organisational Structure and Leadership. </w:t>
      </w:r>
      <w:r w:rsidRPr="007E0A33">
        <w:rPr>
          <w:rFonts w:ascii="Times New Roman" w:hAnsi="Times New Roman" w:cs="Times New Roman"/>
          <w:i/>
          <w:iCs/>
          <w:sz w:val="24"/>
          <w:szCs w:val="24"/>
        </w:rPr>
        <w:t>Business Model Innovation: A Blueprint for Strategic Change</w:t>
      </w:r>
      <w:r w:rsidRPr="007E0A33">
        <w:rPr>
          <w:rFonts w:ascii="Times New Roman" w:hAnsi="Times New Roman" w:cs="Times New Roman"/>
          <w:sz w:val="24"/>
          <w:szCs w:val="24"/>
        </w:rPr>
        <w:t>, p.51.</w:t>
      </w:r>
    </w:p>
    <w:p w14:paraId="1174B159" w14:textId="77777777" w:rsidR="00EF752B" w:rsidRDefault="00EF752B" w:rsidP="00EF752B">
      <w:pPr>
        <w:spacing w:line="360" w:lineRule="auto"/>
        <w:jc w:val="both"/>
        <w:rPr>
          <w:rFonts w:ascii="Times New Roman" w:hAnsi="Times New Roman" w:cs="Times New Roman"/>
          <w:sz w:val="24"/>
          <w:szCs w:val="24"/>
        </w:rPr>
      </w:pPr>
      <w:r w:rsidRPr="007E0A33">
        <w:rPr>
          <w:rFonts w:ascii="Times New Roman" w:hAnsi="Times New Roman" w:cs="Times New Roman"/>
          <w:sz w:val="24"/>
          <w:szCs w:val="24"/>
        </w:rPr>
        <w:t>Brueggemann, R.F. and Matthews, C.H., 2024. </w:t>
      </w:r>
      <w:r w:rsidRPr="007E0A33">
        <w:rPr>
          <w:rFonts w:ascii="Times New Roman" w:hAnsi="Times New Roman" w:cs="Times New Roman"/>
          <w:i/>
          <w:iCs/>
          <w:sz w:val="24"/>
          <w:szCs w:val="24"/>
        </w:rPr>
        <w:t>Innovation and entrepreneurship: A competency framework</w:t>
      </w:r>
      <w:r w:rsidRPr="007E0A33">
        <w:rPr>
          <w:rFonts w:ascii="Times New Roman" w:hAnsi="Times New Roman" w:cs="Times New Roman"/>
          <w:sz w:val="24"/>
          <w:szCs w:val="24"/>
        </w:rPr>
        <w:t>. Routledge.</w:t>
      </w:r>
    </w:p>
    <w:p w14:paraId="44C4621F" w14:textId="77777777" w:rsidR="00EF752B" w:rsidRDefault="00EF752B" w:rsidP="00EF752B">
      <w:pPr>
        <w:spacing w:line="360" w:lineRule="auto"/>
        <w:jc w:val="both"/>
        <w:rPr>
          <w:rFonts w:ascii="Times New Roman" w:hAnsi="Times New Roman" w:cs="Times New Roman"/>
          <w:sz w:val="24"/>
          <w:szCs w:val="24"/>
        </w:rPr>
      </w:pPr>
      <w:r w:rsidRPr="007E0A33">
        <w:rPr>
          <w:rFonts w:ascii="Times New Roman" w:hAnsi="Times New Roman" w:cs="Times New Roman"/>
          <w:sz w:val="24"/>
          <w:szCs w:val="24"/>
        </w:rPr>
        <w:t>Garg, G., 2023. </w:t>
      </w:r>
      <w:r w:rsidRPr="007E0A33">
        <w:rPr>
          <w:rFonts w:ascii="Times New Roman" w:hAnsi="Times New Roman" w:cs="Times New Roman"/>
          <w:i/>
          <w:iCs/>
          <w:sz w:val="24"/>
          <w:szCs w:val="24"/>
        </w:rPr>
        <w:t>Innovators unleashed: Strategies for industry domination</w:t>
      </w:r>
      <w:r w:rsidRPr="007E0A33">
        <w:rPr>
          <w:rFonts w:ascii="Times New Roman" w:hAnsi="Times New Roman" w:cs="Times New Roman"/>
          <w:sz w:val="24"/>
          <w:szCs w:val="24"/>
        </w:rPr>
        <w:t>. Gaurav Garg.</w:t>
      </w:r>
    </w:p>
    <w:p w14:paraId="3CF52158" w14:textId="77777777" w:rsidR="00EF752B" w:rsidRDefault="00EF752B" w:rsidP="00EF752B">
      <w:pPr>
        <w:spacing w:line="360" w:lineRule="auto"/>
        <w:jc w:val="both"/>
        <w:rPr>
          <w:rFonts w:ascii="Times New Roman" w:hAnsi="Times New Roman" w:cs="Times New Roman"/>
          <w:sz w:val="24"/>
          <w:szCs w:val="24"/>
        </w:rPr>
      </w:pPr>
      <w:r w:rsidRPr="007E0A33">
        <w:rPr>
          <w:rFonts w:ascii="Times New Roman" w:hAnsi="Times New Roman" w:cs="Times New Roman"/>
          <w:sz w:val="24"/>
          <w:szCs w:val="24"/>
        </w:rPr>
        <w:t>Socha, B., 2024. </w:t>
      </w:r>
      <w:r w:rsidRPr="007E0A33">
        <w:rPr>
          <w:rFonts w:ascii="Times New Roman" w:hAnsi="Times New Roman" w:cs="Times New Roman"/>
          <w:i/>
          <w:iCs/>
          <w:sz w:val="24"/>
          <w:szCs w:val="24"/>
        </w:rPr>
        <w:t>Grocery Retailing Can the Past Reflect the Future of Grocery Retailing?</w:t>
      </w:r>
      <w:r w:rsidRPr="007E0A33">
        <w:rPr>
          <w:rFonts w:ascii="Times New Roman" w:hAnsi="Times New Roman" w:cs="Times New Roman"/>
          <w:sz w:val="24"/>
          <w:szCs w:val="24"/>
        </w:rPr>
        <w:t> (Doctoral dissertation, Drexel University).</w:t>
      </w:r>
    </w:p>
    <w:p w14:paraId="230CFDE5" w14:textId="77777777" w:rsidR="00EF752B" w:rsidRDefault="00EF752B" w:rsidP="00EF752B">
      <w:pPr>
        <w:spacing w:line="360" w:lineRule="auto"/>
        <w:jc w:val="both"/>
        <w:rPr>
          <w:rFonts w:ascii="Times New Roman" w:hAnsi="Times New Roman" w:cs="Times New Roman"/>
          <w:sz w:val="24"/>
          <w:szCs w:val="24"/>
        </w:rPr>
      </w:pPr>
      <w:r w:rsidRPr="007E0A33">
        <w:rPr>
          <w:rFonts w:ascii="Times New Roman" w:hAnsi="Times New Roman" w:cs="Times New Roman"/>
          <w:sz w:val="24"/>
          <w:szCs w:val="24"/>
        </w:rPr>
        <w:t xml:space="preserve">Karameros, A.I., </w:t>
      </w:r>
      <w:proofErr w:type="spellStart"/>
      <w:r w:rsidRPr="007E0A33">
        <w:rPr>
          <w:rFonts w:ascii="Times New Roman" w:hAnsi="Times New Roman" w:cs="Times New Roman"/>
          <w:sz w:val="24"/>
          <w:szCs w:val="24"/>
        </w:rPr>
        <w:t>Chassiakos</w:t>
      </w:r>
      <w:proofErr w:type="spellEnd"/>
      <w:r w:rsidRPr="007E0A33">
        <w:rPr>
          <w:rFonts w:ascii="Times New Roman" w:hAnsi="Times New Roman" w:cs="Times New Roman"/>
          <w:sz w:val="24"/>
          <w:szCs w:val="24"/>
        </w:rPr>
        <w:t xml:space="preserve">, A.P. and </w:t>
      </w:r>
      <w:proofErr w:type="spellStart"/>
      <w:r w:rsidRPr="007E0A33">
        <w:rPr>
          <w:rFonts w:ascii="Times New Roman" w:hAnsi="Times New Roman" w:cs="Times New Roman"/>
          <w:sz w:val="24"/>
          <w:szCs w:val="24"/>
        </w:rPr>
        <w:t>Tryfonas</w:t>
      </w:r>
      <w:proofErr w:type="spellEnd"/>
      <w:r w:rsidRPr="007E0A33">
        <w:rPr>
          <w:rFonts w:ascii="Times New Roman" w:hAnsi="Times New Roman" w:cs="Times New Roman"/>
          <w:sz w:val="24"/>
          <w:szCs w:val="24"/>
        </w:rPr>
        <w:t>, T., 2025. A Novel Community Energy Projects Governance Model and Support Ecosystem Framework Based on Heating and Cooling Projects Enabled by Energy Communities. </w:t>
      </w:r>
      <w:r w:rsidRPr="007E0A33">
        <w:rPr>
          <w:rFonts w:ascii="Times New Roman" w:hAnsi="Times New Roman" w:cs="Times New Roman"/>
          <w:i/>
          <w:iCs/>
          <w:sz w:val="24"/>
          <w:szCs w:val="24"/>
        </w:rPr>
        <w:t>Sustainability</w:t>
      </w:r>
      <w:r w:rsidRPr="007E0A33">
        <w:rPr>
          <w:rFonts w:ascii="Times New Roman" w:hAnsi="Times New Roman" w:cs="Times New Roman"/>
          <w:sz w:val="24"/>
          <w:szCs w:val="24"/>
        </w:rPr>
        <w:t>, </w:t>
      </w:r>
      <w:r w:rsidRPr="007E0A33">
        <w:rPr>
          <w:rFonts w:ascii="Times New Roman" w:hAnsi="Times New Roman" w:cs="Times New Roman"/>
          <w:i/>
          <w:iCs/>
          <w:sz w:val="24"/>
          <w:szCs w:val="24"/>
        </w:rPr>
        <w:t>17</w:t>
      </w:r>
      <w:r w:rsidRPr="007E0A33">
        <w:rPr>
          <w:rFonts w:ascii="Times New Roman" w:hAnsi="Times New Roman" w:cs="Times New Roman"/>
          <w:sz w:val="24"/>
          <w:szCs w:val="24"/>
        </w:rPr>
        <w:t>(14), p.6571.</w:t>
      </w:r>
    </w:p>
    <w:p w14:paraId="4474F443" w14:textId="77777777" w:rsidR="00EF752B" w:rsidRDefault="00EF752B" w:rsidP="00EF752B">
      <w:pPr>
        <w:spacing w:line="360" w:lineRule="auto"/>
        <w:jc w:val="both"/>
        <w:rPr>
          <w:rFonts w:ascii="Times New Roman" w:hAnsi="Times New Roman" w:cs="Times New Roman"/>
          <w:sz w:val="24"/>
          <w:szCs w:val="24"/>
        </w:rPr>
      </w:pPr>
      <w:r w:rsidRPr="007E0A33">
        <w:rPr>
          <w:rFonts w:ascii="Times New Roman" w:hAnsi="Times New Roman" w:cs="Times New Roman"/>
          <w:sz w:val="24"/>
          <w:szCs w:val="24"/>
        </w:rPr>
        <w:t>Smith, G., Hodge, K., Brumbaugh, B., Koland, D. and Hurst, E., 2025. Chipotle Mexican Grill Strategic Audit: An Analysis of Chipotle Mexican Grill Business Strategy.</w:t>
      </w:r>
    </w:p>
    <w:p w14:paraId="55CB7F69" w14:textId="77777777" w:rsidR="00EF752B" w:rsidRDefault="00EF752B" w:rsidP="00EF752B">
      <w:pPr>
        <w:spacing w:line="360" w:lineRule="auto"/>
        <w:jc w:val="both"/>
        <w:rPr>
          <w:rFonts w:ascii="Times New Roman" w:hAnsi="Times New Roman" w:cs="Times New Roman"/>
          <w:sz w:val="24"/>
          <w:szCs w:val="24"/>
        </w:rPr>
      </w:pPr>
      <w:r w:rsidRPr="007E0A33">
        <w:rPr>
          <w:rFonts w:ascii="Times New Roman" w:hAnsi="Times New Roman" w:cs="Times New Roman"/>
          <w:sz w:val="24"/>
          <w:szCs w:val="24"/>
        </w:rPr>
        <w:t>Hastings, H. and Denning, S., 2024. </w:t>
      </w:r>
      <w:r w:rsidRPr="007E0A33">
        <w:rPr>
          <w:rFonts w:ascii="Times New Roman" w:hAnsi="Times New Roman" w:cs="Times New Roman"/>
          <w:i/>
          <w:iCs/>
          <w:sz w:val="24"/>
          <w:szCs w:val="24"/>
        </w:rPr>
        <w:t>Aberrant Capitalism: The Decay and Revival of Customer Capitalism</w:t>
      </w:r>
      <w:r w:rsidRPr="007E0A33">
        <w:rPr>
          <w:rFonts w:ascii="Times New Roman" w:hAnsi="Times New Roman" w:cs="Times New Roman"/>
          <w:sz w:val="24"/>
          <w:szCs w:val="24"/>
        </w:rPr>
        <w:t>. Cambridge University Press.</w:t>
      </w:r>
    </w:p>
    <w:p w14:paraId="7AE3CD83" w14:textId="77777777" w:rsidR="00EF752B" w:rsidRDefault="00EF752B" w:rsidP="00EF752B">
      <w:pPr>
        <w:spacing w:line="360" w:lineRule="auto"/>
        <w:jc w:val="both"/>
        <w:rPr>
          <w:rFonts w:ascii="Times New Roman" w:hAnsi="Times New Roman" w:cs="Times New Roman"/>
          <w:sz w:val="24"/>
          <w:szCs w:val="24"/>
        </w:rPr>
      </w:pPr>
      <w:r w:rsidRPr="007E0A33">
        <w:rPr>
          <w:rFonts w:ascii="Times New Roman" w:hAnsi="Times New Roman" w:cs="Times New Roman"/>
          <w:sz w:val="24"/>
          <w:szCs w:val="24"/>
        </w:rPr>
        <w:t>Gagliano, F., 2022. </w:t>
      </w:r>
      <w:r w:rsidRPr="007E0A33">
        <w:rPr>
          <w:rFonts w:ascii="Times New Roman" w:hAnsi="Times New Roman" w:cs="Times New Roman"/>
          <w:i/>
          <w:iCs/>
          <w:sz w:val="24"/>
          <w:szCs w:val="24"/>
        </w:rPr>
        <w:t xml:space="preserve">An Analysis of the Business Model Adopted by Earth-Observation Satellite Companies in the </w:t>
      </w:r>
      <w:proofErr w:type="spellStart"/>
      <w:r w:rsidRPr="007E0A33">
        <w:rPr>
          <w:rFonts w:ascii="Times New Roman" w:hAnsi="Times New Roman" w:cs="Times New Roman"/>
          <w:i/>
          <w:iCs/>
          <w:sz w:val="24"/>
          <w:szCs w:val="24"/>
        </w:rPr>
        <w:t>Newspace</w:t>
      </w:r>
      <w:proofErr w:type="spellEnd"/>
      <w:r w:rsidRPr="007E0A33">
        <w:rPr>
          <w:rFonts w:ascii="Times New Roman" w:hAnsi="Times New Roman" w:cs="Times New Roman"/>
          <w:i/>
          <w:iCs/>
          <w:sz w:val="24"/>
          <w:szCs w:val="24"/>
        </w:rPr>
        <w:t xml:space="preserve"> Era-the Cases of Planet Labs Spire Global and </w:t>
      </w:r>
      <w:proofErr w:type="spellStart"/>
      <w:r w:rsidRPr="007E0A33">
        <w:rPr>
          <w:rFonts w:ascii="Times New Roman" w:hAnsi="Times New Roman" w:cs="Times New Roman"/>
          <w:i/>
          <w:iCs/>
          <w:sz w:val="24"/>
          <w:szCs w:val="24"/>
        </w:rPr>
        <w:t>Blacksky</w:t>
      </w:r>
      <w:proofErr w:type="spellEnd"/>
      <w:r w:rsidRPr="007E0A33">
        <w:rPr>
          <w:rFonts w:ascii="Times New Roman" w:hAnsi="Times New Roman" w:cs="Times New Roman"/>
          <w:i/>
          <w:iCs/>
          <w:sz w:val="24"/>
          <w:szCs w:val="24"/>
        </w:rPr>
        <w:t xml:space="preserve"> Technology</w:t>
      </w:r>
      <w:r w:rsidRPr="007E0A33">
        <w:rPr>
          <w:rFonts w:ascii="Times New Roman" w:hAnsi="Times New Roman" w:cs="Times New Roman"/>
          <w:sz w:val="24"/>
          <w:szCs w:val="24"/>
        </w:rPr>
        <w:t xml:space="preserve"> (Master's thesis, </w:t>
      </w:r>
      <w:proofErr w:type="spellStart"/>
      <w:r w:rsidRPr="007E0A33">
        <w:rPr>
          <w:rFonts w:ascii="Times New Roman" w:hAnsi="Times New Roman" w:cs="Times New Roman"/>
          <w:sz w:val="24"/>
          <w:szCs w:val="24"/>
        </w:rPr>
        <w:t>Universidade</w:t>
      </w:r>
      <w:proofErr w:type="spellEnd"/>
      <w:r w:rsidRPr="007E0A33">
        <w:rPr>
          <w:rFonts w:ascii="Times New Roman" w:hAnsi="Times New Roman" w:cs="Times New Roman"/>
          <w:sz w:val="24"/>
          <w:szCs w:val="24"/>
        </w:rPr>
        <w:t xml:space="preserve"> NOVA de Lisboa (Portugal)).</w:t>
      </w:r>
    </w:p>
    <w:p w14:paraId="105009C9" w14:textId="77777777" w:rsidR="00EF752B" w:rsidRDefault="00EF752B" w:rsidP="00EF752B">
      <w:pPr>
        <w:spacing w:line="360" w:lineRule="auto"/>
        <w:jc w:val="both"/>
        <w:rPr>
          <w:rFonts w:ascii="Times New Roman" w:hAnsi="Times New Roman" w:cs="Times New Roman"/>
          <w:sz w:val="24"/>
          <w:szCs w:val="24"/>
        </w:rPr>
      </w:pPr>
      <w:r w:rsidRPr="007E0A33">
        <w:rPr>
          <w:rFonts w:ascii="Times New Roman" w:hAnsi="Times New Roman" w:cs="Times New Roman"/>
          <w:sz w:val="24"/>
          <w:szCs w:val="24"/>
        </w:rPr>
        <w:t>Lemley, M.A. and Wansley, M.T., 2025. Coopting disruption. </w:t>
      </w:r>
      <w:r w:rsidRPr="007E0A33">
        <w:rPr>
          <w:rFonts w:ascii="Times New Roman" w:hAnsi="Times New Roman" w:cs="Times New Roman"/>
          <w:i/>
          <w:iCs/>
          <w:sz w:val="24"/>
          <w:szCs w:val="24"/>
        </w:rPr>
        <w:t>BUL Rev.</w:t>
      </w:r>
      <w:r w:rsidRPr="007E0A33">
        <w:rPr>
          <w:rFonts w:ascii="Times New Roman" w:hAnsi="Times New Roman" w:cs="Times New Roman"/>
          <w:sz w:val="24"/>
          <w:szCs w:val="24"/>
        </w:rPr>
        <w:t>, </w:t>
      </w:r>
      <w:r w:rsidRPr="007E0A33">
        <w:rPr>
          <w:rFonts w:ascii="Times New Roman" w:hAnsi="Times New Roman" w:cs="Times New Roman"/>
          <w:i/>
          <w:iCs/>
          <w:sz w:val="24"/>
          <w:szCs w:val="24"/>
        </w:rPr>
        <w:t>105</w:t>
      </w:r>
      <w:r w:rsidRPr="007E0A33">
        <w:rPr>
          <w:rFonts w:ascii="Times New Roman" w:hAnsi="Times New Roman" w:cs="Times New Roman"/>
          <w:sz w:val="24"/>
          <w:szCs w:val="24"/>
        </w:rPr>
        <w:t>, p.457.</w:t>
      </w:r>
    </w:p>
    <w:p w14:paraId="69942CC6" w14:textId="77777777" w:rsidR="00EF752B" w:rsidRDefault="00EF752B" w:rsidP="00EF752B">
      <w:pPr>
        <w:spacing w:line="360" w:lineRule="auto"/>
        <w:jc w:val="both"/>
        <w:rPr>
          <w:rFonts w:ascii="Times New Roman" w:hAnsi="Times New Roman" w:cs="Times New Roman"/>
          <w:sz w:val="24"/>
          <w:szCs w:val="24"/>
        </w:rPr>
      </w:pPr>
      <w:r w:rsidRPr="007E0A33">
        <w:rPr>
          <w:rFonts w:ascii="Times New Roman" w:hAnsi="Times New Roman" w:cs="Times New Roman"/>
          <w:sz w:val="24"/>
          <w:szCs w:val="24"/>
        </w:rPr>
        <w:t xml:space="preserve">Kaur, M., Palazzo, M. and </w:t>
      </w:r>
      <w:proofErr w:type="spellStart"/>
      <w:r w:rsidRPr="007E0A33">
        <w:rPr>
          <w:rFonts w:ascii="Times New Roman" w:hAnsi="Times New Roman" w:cs="Times New Roman"/>
          <w:sz w:val="24"/>
          <w:szCs w:val="24"/>
        </w:rPr>
        <w:t>Foroudi</w:t>
      </w:r>
      <w:proofErr w:type="spellEnd"/>
      <w:r w:rsidRPr="007E0A33">
        <w:rPr>
          <w:rFonts w:ascii="Times New Roman" w:hAnsi="Times New Roman" w:cs="Times New Roman"/>
          <w:sz w:val="24"/>
          <w:szCs w:val="24"/>
        </w:rPr>
        <w:t xml:space="preserve">, P., 2024. Circular supply chain management in post-pandemic context. A qualitative study to explore how knowledge, environmental initiatives and </w:t>
      </w:r>
      <w:r w:rsidRPr="007E0A33">
        <w:rPr>
          <w:rFonts w:ascii="Times New Roman" w:hAnsi="Times New Roman" w:cs="Times New Roman"/>
          <w:sz w:val="24"/>
          <w:szCs w:val="24"/>
        </w:rPr>
        <w:lastRenderedPageBreak/>
        <w:t>economic viability affect sustainability. </w:t>
      </w:r>
      <w:r w:rsidRPr="007E0A33">
        <w:rPr>
          <w:rFonts w:ascii="Times New Roman" w:hAnsi="Times New Roman" w:cs="Times New Roman"/>
          <w:i/>
          <w:iCs/>
          <w:sz w:val="24"/>
          <w:szCs w:val="24"/>
        </w:rPr>
        <w:t>Qualitative Market Research: An International Journal</w:t>
      </w:r>
      <w:r w:rsidRPr="007E0A33">
        <w:rPr>
          <w:rFonts w:ascii="Times New Roman" w:hAnsi="Times New Roman" w:cs="Times New Roman"/>
          <w:sz w:val="24"/>
          <w:szCs w:val="24"/>
        </w:rPr>
        <w:t>, </w:t>
      </w:r>
      <w:r w:rsidRPr="007E0A33">
        <w:rPr>
          <w:rFonts w:ascii="Times New Roman" w:hAnsi="Times New Roman" w:cs="Times New Roman"/>
          <w:i/>
          <w:iCs/>
          <w:sz w:val="24"/>
          <w:szCs w:val="24"/>
        </w:rPr>
        <w:t>27</w:t>
      </w:r>
      <w:r w:rsidRPr="007E0A33">
        <w:rPr>
          <w:rFonts w:ascii="Times New Roman" w:hAnsi="Times New Roman" w:cs="Times New Roman"/>
          <w:sz w:val="24"/>
          <w:szCs w:val="24"/>
        </w:rPr>
        <w:t>(4), pp.572-607.</w:t>
      </w:r>
    </w:p>
    <w:p w14:paraId="74869014" w14:textId="77777777" w:rsidR="00EF752B" w:rsidRDefault="00EF752B" w:rsidP="00EF752B">
      <w:pPr>
        <w:spacing w:line="360" w:lineRule="auto"/>
        <w:jc w:val="both"/>
        <w:rPr>
          <w:rFonts w:ascii="Times New Roman" w:hAnsi="Times New Roman" w:cs="Times New Roman"/>
          <w:sz w:val="24"/>
          <w:szCs w:val="24"/>
        </w:rPr>
      </w:pPr>
      <w:r w:rsidRPr="007E0A33">
        <w:rPr>
          <w:rFonts w:ascii="Times New Roman" w:hAnsi="Times New Roman" w:cs="Times New Roman"/>
          <w:sz w:val="24"/>
          <w:szCs w:val="24"/>
        </w:rPr>
        <w:t>Cha, J., Jo, M., Lee, T.J. and Hyun, S.S., 2024. Characteristics of market segmentation for sustainable medical tourism. </w:t>
      </w:r>
      <w:r w:rsidRPr="007E0A33">
        <w:rPr>
          <w:rFonts w:ascii="Times New Roman" w:hAnsi="Times New Roman" w:cs="Times New Roman"/>
          <w:i/>
          <w:iCs/>
          <w:sz w:val="24"/>
          <w:szCs w:val="24"/>
        </w:rPr>
        <w:t>International Journal of Tourism Research</w:t>
      </w:r>
      <w:r w:rsidRPr="007E0A33">
        <w:rPr>
          <w:rFonts w:ascii="Times New Roman" w:hAnsi="Times New Roman" w:cs="Times New Roman"/>
          <w:sz w:val="24"/>
          <w:szCs w:val="24"/>
        </w:rPr>
        <w:t>, </w:t>
      </w:r>
      <w:r w:rsidRPr="007E0A33">
        <w:rPr>
          <w:rFonts w:ascii="Times New Roman" w:hAnsi="Times New Roman" w:cs="Times New Roman"/>
          <w:i/>
          <w:iCs/>
          <w:sz w:val="24"/>
          <w:szCs w:val="24"/>
        </w:rPr>
        <w:t>26</w:t>
      </w:r>
      <w:r w:rsidRPr="007E0A33">
        <w:rPr>
          <w:rFonts w:ascii="Times New Roman" w:hAnsi="Times New Roman" w:cs="Times New Roman"/>
          <w:sz w:val="24"/>
          <w:szCs w:val="24"/>
        </w:rPr>
        <w:t>(1), p.e2626.</w:t>
      </w:r>
    </w:p>
    <w:p w14:paraId="69523B89" w14:textId="77777777" w:rsidR="00EF752B" w:rsidRDefault="00EF752B" w:rsidP="00EF752B">
      <w:pPr>
        <w:spacing w:line="360" w:lineRule="auto"/>
        <w:jc w:val="both"/>
        <w:rPr>
          <w:rFonts w:ascii="Times New Roman" w:hAnsi="Times New Roman" w:cs="Times New Roman"/>
          <w:sz w:val="24"/>
          <w:szCs w:val="24"/>
        </w:rPr>
      </w:pPr>
      <w:proofErr w:type="spellStart"/>
      <w:r w:rsidRPr="007E0A33">
        <w:rPr>
          <w:rFonts w:ascii="Times New Roman" w:hAnsi="Times New Roman" w:cs="Times New Roman"/>
          <w:sz w:val="24"/>
          <w:szCs w:val="24"/>
        </w:rPr>
        <w:t>Arowosafe</w:t>
      </w:r>
      <w:proofErr w:type="spellEnd"/>
      <w:r w:rsidRPr="007E0A33">
        <w:rPr>
          <w:rFonts w:ascii="Times New Roman" w:hAnsi="Times New Roman" w:cs="Times New Roman"/>
          <w:sz w:val="24"/>
          <w:szCs w:val="24"/>
        </w:rPr>
        <w:t xml:space="preserve">, F., </w:t>
      </w:r>
      <w:proofErr w:type="spellStart"/>
      <w:r w:rsidRPr="007E0A33">
        <w:rPr>
          <w:rFonts w:ascii="Times New Roman" w:hAnsi="Times New Roman" w:cs="Times New Roman"/>
          <w:sz w:val="24"/>
          <w:szCs w:val="24"/>
        </w:rPr>
        <w:t>Akinwotu</w:t>
      </w:r>
      <w:proofErr w:type="spellEnd"/>
      <w:r w:rsidRPr="007E0A33">
        <w:rPr>
          <w:rFonts w:ascii="Times New Roman" w:hAnsi="Times New Roman" w:cs="Times New Roman"/>
          <w:sz w:val="24"/>
          <w:szCs w:val="24"/>
        </w:rPr>
        <w:t xml:space="preserve">, O., Tunde-Ajayi, O., </w:t>
      </w:r>
      <w:proofErr w:type="spellStart"/>
      <w:r w:rsidRPr="007E0A33">
        <w:rPr>
          <w:rFonts w:ascii="Times New Roman" w:hAnsi="Times New Roman" w:cs="Times New Roman"/>
          <w:sz w:val="24"/>
          <w:szCs w:val="24"/>
        </w:rPr>
        <w:t>Omosehin</w:t>
      </w:r>
      <w:proofErr w:type="spellEnd"/>
      <w:r w:rsidRPr="007E0A33">
        <w:rPr>
          <w:rFonts w:ascii="Times New Roman" w:hAnsi="Times New Roman" w:cs="Times New Roman"/>
          <w:sz w:val="24"/>
          <w:szCs w:val="24"/>
        </w:rPr>
        <w:t xml:space="preserve">, O. and </w:t>
      </w:r>
      <w:proofErr w:type="spellStart"/>
      <w:r w:rsidRPr="007E0A33">
        <w:rPr>
          <w:rFonts w:ascii="Times New Roman" w:hAnsi="Times New Roman" w:cs="Times New Roman"/>
          <w:sz w:val="24"/>
          <w:szCs w:val="24"/>
        </w:rPr>
        <w:t>Osabuohien</w:t>
      </w:r>
      <w:proofErr w:type="spellEnd"/>
      <w:r w:rsidRPr="007E0A33">
        <w:rPr>
          <w:rFonts w:ascii="Times New Roman" w:hAnsi="Times New Roman" w:cs="Times New Roman"/>
          <w:sz w:val="24"/>
          <w:szCs w:val="24"/>
        </w:rPr>
        <w:t xml:space="preserve">, E., 2022. Push and pull motivation factors: a panacea for tourism development challenges in </w:t>
      </w:r>
      <w:proofErr w:type="spellStart"/>
      <w:r w:rsidRPr="007E0A33">
        <w:rPr>
          <w:rFonts w:ascii="Times New Roman" w:hAnsi="Times New Roman" w:cs="Times New Roman"/>
          <w:sz w:val="24"/>
          <w:szCs w:val="24"/>
        </w:rPr>
        <w:t>Oluminrin</w:t>
      </w:r>
      <w:proofErr w:type="spellEnd"/>
      <w:r w:rsidRPr="007E0A33">
        <w:rPr>
          <w:rFonts w:ascii="Times New Roman" w:hAnsi="Times New Roman" w:cs="Times New Roman"/>
          <w:sz w:val="24"/>
          <w:szCs w:val="24"/>
        </w:rPr>
        <w:t xml:space="preserve"> waterfalls, Nigeria. </w:t>
      </w:r>
      <w:r w:rsidRPr="007E0A33">
        <w:rPr>
          <w:rFonts w:ascii="Times New Roman" w:hAnsi="Times New Roman" w:cs="Times New Roman"/>
          <w:i/>
          <w:iCs/>
          <w:sz w:val="24"/>
          <w:szCs w:val="24"/>
        </w:rPr>
        <w:t>Journal of Policy Research in Tourism, Leisure and Events</w:t>
      </w:r>
      <w:r w:rsidRPr="007E0A33">
        <w:rPr>
          <w:rFonts w:ascii="Times New Roman" w:hAnsi="Times New Roman" w:cs="Times New Roman"/>
          <w:sz w:val="24"/>
          <w:szCs w:val="24"/>
        </w:rPr>
        <w:t>, </w:t>
      </w:r>
      <w:r w:rsidRPr="007E0A33">
        <w:rPr>
          <w:rFonts w:ascii="Times New Roman" w:hAnsi="Times New Roman" w:cs="Times New Roman"/>
          <w:i/>
          <w:iCs/>
          <w:sz w:val="24"/>
          <w:szCs w:val="24"/>
        </w:rPr>
        <w:t>14</w:t>
      </w:r>
      <w:r w:rsidRPr="007E0A33">
        <w:rPr>
          <w:rFonts w:ascii="Times New Roman" w:hAnsi="Times New Roman" w:cs="Times New Roman"/>
          <w:sz w:val="24"/>
          <w:szCs w:val="24"/>
        </w:rPr>
        <w:t>(1), pp.63-74.</w:t>
      </w:r>
    </w:p>
    <w:p w14:paraId="12C2E2BF" w14:textId="77777777" w:rsidR="00EF752B" w:rsidRDefault="00EF752B" w:rsidP="00EF752B">
      <w:pPr>
        <w:spacing w:line="360" w:lineRule="auto"/>
        <w:jc w:val="both"/>
        <w:rPr>
          <w:rFonts w:ascii="Times New Roman" w:hAnsi="Times New Roman" w:cs="Times New Roman"/>
          <w:sz w:val="24"/>
          <w:szCs w:val="24"/>
        </w:rPr>
      </w:pPr>
      <w:r w:rsidRPr="007E0A33">
        <w:rPr>
          <w:rFonts w:ascii="Times New Roman" w:hAnsi="Times New Roman" w:cs="Times New Roman"/>
          <w:sz w:val="24"/>
          <w:szCs w:val="24"/>
        </w:rPr>
        <w:t>Niu, F., 2022. A push-pull model for inter-city migration simulation. </w:t>
      </w:r>
      <w:r w:rsidRPr="007E0A33">
        <w:rPr>
          <w:rFonts w:ascii="Times New Roman" w:hAnsi="Times New Roman" w:cs="Times New Roman"/>
          <w:i/>
          <w:iCs/>
          <w:sz w:val="24"/>
          <w:szCs w:val="24"/>
        </w:rPr>
        <w:t>Cities</w:t>
      </w:r>
      <w:r w:rsidRPr="007E0A33">
        <w:rPr>
          <w:rFonts w:ascii="Times New Roman" w:hAnsi="Times New Roman" w:cs="Times New Roman"/>
          <w:sz w:val="24"/>
          <w:szCs w:val="24"/>
        </w:rPr>
        <w:t>, </w:t>
      </w:r>
      <w:r w:rsidRPr="007E0A33">
        <w:rPr>
          <w:rFonts w:ascii="Times New Roman" w:hAnsi="Times New Roman" w:cs="Times New Roman"/>
          <w:i/>
          <w:iCs/>
          <w:sz w:val="24"/>
          <w:szCs w:val="24"/>
        </w:rPr>
        <w:t>131</w:t>
      </w:r>
      <w:r w:rsidRPr="007E0A33">
        <w:rPr>
          <w:rFonts w:ascii="Times New Roman" w:hAnsi="Times New Roman" w:cs="Times New Roman"/>
          <w:sz w:val="24"/>
          <w:szCs w:val="24"/>
        </w:rPr>
        <w:t>, p.104005.</w:t>
      </w:r>
    </w:p>
    <w:p w14:paraId="5981630C" w14:textId="77777777" w:rsidR="00EF752B" w:rsidRDefault="00EF752B" w:rsidP="00EF752B">
      <w:pPr>
        <w:spacing w:line="360" w:lineRule="auto"/>
        <w:jc w:val="both"/>
        <w:rPr>
          <w:rFonts w:ascii="Times New Roman" w:hAnsi="Times New Roman" w:cs="Times New Roman"/>
          <w:sz w:val="24"/>
          <w:szCs w:val="24"/>
        </w:rPr>
      </w:pPr>
      <w:r w:rsidRPr="007E0A33">
        <w:rPr>
          <w:rFonts w:ascii="Times New Roman" w:hAnsi="Times New Roman" w:cs="Times New Roman"/>
          <w:sz w:val="24"/>
          <w:szCs w:val="24"/>
        </w:rPr>
        <w:t xml:space="preserve">Kolte, A., Pawar, A., </w:t>
      </w:r>
      <w:proofErr w:type="spellStart"/>
      <w:r w:rsidRPr="007E0A33">
        <w:rPr>
          <w:rFonts w:ascii="Times New Roman" w:hAnsi="Times New Roman" w:cs="Times New Roman"/>
          <w:sz w:val="24"/>
          <w:szCs w:val="24"/>
        </w:rPr>
        <w:t>Sangvikar</w:t>
      </w:r>
      <w:proofErr w:type="spellEnd"/>
      <w:r w:rsidRPr="007E0A33">
        <w:rPr>
          <w:rFonts w:ascii="Times New Roman" w:hAnsi="Times New Roman" w:cs="Times New Roman"/>
          <w:sz w:val="24"/>
          <w:szCs w:val="24"/>
        </w:rPr>
        <w:t>, B. and Sawant, P., 2021. Financial assessment of the Indian retail sector: understanding the future direction of the industry. </w:t>
      </w:r>
      <w:r w:rsidRPr="007E0A33">
        <w:rPr>
          <w:rFonts w:ascii="Times New Roman" w:hAnsi="Times New Roman" w:cs="Times New Roman"/>
          <w:i/>
          <w:iCs/>
          <w:sz w:val="24"/>
          <w:szCs w:val="24"/>
        </w:rPr>
        <w:t>International Journal of Managerial and Financial Accounting</w:t>
      </w:r>
      <w:r w:rsidRPr="007E0A33">
        <w:rPr>
          <w:rFonts w:ascii="Times New Roman" w:hAnsi="Times New Roman" w:cs="Times New Roman"/>
          <w:sz w:val="24"/>
          <w:szCs w:val="24"/>
        </w:rPr>
        <w:t>, </w:t>
      </w:r>
      <w:r w:rsidRPr="007E0A33">
        <w:rPr>
          <w:rFonts w:ascii="Times New Roman" w:hAnsi="Times New Roman" w:cs="Times New Roman"/>
          <w:i/>
          <w:iCs/>
          <w:sz w:val="24"/>
          <w:szCs w:val="24"/>
        </w:rPr>
        <w:t>13</w:t>
      </w:r>
      <w:r w:rsidRPr="007E0A33">
        <w:rPr>
          <w:rFonts w:ascii="Times New Roman" w:hAnsi="Times New Roman" w:cs="Times New Roman"/>
          <w:sz w:val="24"/>
          <w:szCs w:val="24"/>
        </w:rPr>
        <w:t>(2), pp.133-158.</w:t>
      </w:r>
    </w:p>
    <w:p w14:paraId="53C19CE6" w14:textId="77777777" w:rsidR="00EF752B" w:rsidRDefault="00EF752B" w:rsidP="00EF752B">
      <w:pPr>
        <w:spacing w:line="360" w:lineRule="auto"/>
        <w:jc w:val="both"/>
        <w:rPr>
          <w:rFonts w:ascii="Times New Roman" w:hAnsi="Times New Roman" w:cs="Times New Roman"/>
          <w:sz w:val="24"/>
          <w:szCs w:val="24"/>
        </w:rPr>
      </w:pPr>
      <w:r w:rsidRPr="007E0A33">
        <w:rPr>
          <w:rFonts w:ascii="Times New Roman" w:hAnsi="Times New Roman" w:cs="Times New Roman"/>
          <w:sz w:val="24"/>
          <w:szCs w:val="24"/>
        </w:rPr>
        <w:t>Narayanan, S. and Saha, S., 2021. Urban food markets and the COVID-19 lockdown in India. </w:t>
      </w:r>
      <w:r w:rsidRPr="007E0A33">
        <w:rPr>
          <w:rFonts w:ascii="Times New Roman" w:hAnsi="Times New Roman" w:cs="Times New Roman"/>
          <w:i/>
          <w:iCs/>
          <w:sz w:val="24"/>
          <w:szCs w:val="24"/>
        </w:rPr>
        <w:t>Global Food Security</w:t>
      </w:r>
      <w:r w:rsidRPr="007E0A33">
        <w:rPr>
          <w:rFonts w:ascii="Times New Roman" w:hAnsi="Times New Roman" w:cs="Times New Roman"/>
          <w:sz w:val="24"/>
          <w:szCs w:val="24"/>
        </w:rPr>
        <w:t>, </w:t>
      </w:r>
      <w:r w:rsidRPr="007E0A33">
        <w:rPr>
          <w:rFonts w:ascii="Times New Roman" w:hAnsi="Times New Roman" w:cs="Times New Roman"/>
          <w:i/>
          <w:iCs/>
          <w:sz w:val="24"/>
          <w:szCs w:val="24"/>
        </w:rPr>
        <w:t>29</w:t>
      </w:r>
      <w:r w:rsidRPr="007E0A33">
        <w:rPr>
          <w:rFonts w:ascii="Times New Roman" w:hAnsi="Times New Roman" w:cs="Times New Roman"/>
          <w:sz w:val="24"/>
          <w:szCs w:val="24"/>
        </w:rPr>
        <w:t>, p.100515.</w:t>
      </w:r>
    </w:p>
    <w:p w14:paraId="45ACFFB7" w14:textId="77777777" w:rsidR="00EF752B" w:rsidRDefault="00EF752B" w:rsidP="00EF752B">
      <w:pPr>
        <w:spacing w:line="360" w:lineRule="auto"/>
        <w:jc w:val="both"/>
        <w:rPr>
          <w:rFonts w:ascii="Times New Roman" w:hAnsi="Times New Roman" w:cs="Times New Roman"/>
          <w:sz w:val="24"/>
          <w:szCs w:val="24"/>
        </w:rPr>
      </w:pPr>
      <w:proofErr w:type="spellStart"/>
      <w:r w:rsidRPr="007E0A33">
        <w:rPr>
          <w:rFonts w:ascii="Times New Roman" w:hAnsi="Times New Roman" w:cs="Times New Roman"/>
          <w:sz w:val="24"/>
          <w:szCs w:val="24"/>
        </w:rPr>
        <w:t>Despoudi</w:t>
      </w:r>
      <w:proofErr w:type="spellEnd"/>
      <w:r w:rsidRPr="007E0A33">
        <w:rPr>
          <w:rFonts w:ascii="Times New Roman" w:hAnsi="Times New Roman" w:cs="Times New Roman"/>
          <w:sz w:val="24"/>
          <w:szCs w:val="24"/>
        </w:rPr>
        <w:t xml:space="preserve">, S., Sivarajah, U., </w:t>
      </w:r>
      <w:proofErr w:type="spellStart"/>
      <w:r w:rsidRPr="007E0A33">
        <w:rPr>
          <w:rFonts w:ascii="Times New Roman" w:hAnsi="Times New Roman" w:cs="Times New Roman"/>
          <w:sz w:val="24"/>
          <w:szCs w:val="24"/>
        </w:rPr>
        <w:t>Spanaki</w:t>
      </w:r>
      <w:proofErr w:type="spellEnd"/>
      <w:r w:rsidRPr="007E0A33">
        <w:rPr>
          <w:rFonts w:ascii="Times New Roman" w:hAnsi="Times New Roman" w:cs="Times New Roman"/>
          <w:sz w:val="24"/>
          <w:szCs w:val="24"/>
        </w:rPr>
        <w:t>, K., Charles, V. and Durai, V.K., 2025. Industry 4.0 and circular economy for emerging markets: evidence from small and medium-sized enterprises (SMEs) in the Indian food sector. </w:t>
      </w:r>
      <w:r w:rsidRPr="007E0A33">
        <w:rPr>
          <w:rFonts w:ascii="Times New Roman" w:hAnsi="Times New Roman" w:cs="Times New Roman"/>
          <w:i/>
          <w:iCs/>
          <w:sz w:val="24"/>
          <w:szCs w:val="24"/>
        </w:rPr>
        <w:t>Annals of Operations Research</w:t>
      </w:r>
      <w:r w:rsidRPr="007E0A33">
        <w:rPr>
          <w:rFonts w:ascii="Times New Roman" w:hAnsi="Times New Roman" w:cs="Times New Roman"/>
          <w:sz w:val="24"/>
          <w:szCs w:val="24"/>
        </w:rPr>
        <w:t>, </w:t>
      </w:r>
      <w:r w:rsidRPr="007E0A33">
        <w:rPr>
          <w:rFonts w:ascii="Times New Roman" w:hAnsi="Times New Roman" w:cs="Times New Roman"/>
          <w:i/>
          <w:iCs/>
          <w:sz w:val="24"/>
          <w:szCs w:val="24"/>
        </w:rPr>
        <w:t>350</w:t>
      </w:r>
      <w:r w:rsidRPr="007E0A33">
        <w:rPr>
          <w:rFonts w:ascii="Times New Roman" w:hAnsi="Times New Roman" w:cs="Times New Roman"/>
          <w:sz w:val="24"/>
          <w:szCs w:val="24"/>
        </w:rPr>
        <w:t>(2), pp.453-491.</w:t>
      </w:r>
    </w:p>
    <w:p w14:paraId="18DAF95B" w14:textId="77777777" w:rsidR="00EF752B" w:rsidRDefault="00EF752B" w:rsidP="00EF752B">
      <w:pPr>
        <w:spacing w:line="360" w:lineRule="auto"/>
        <w:jc w:val="both"/>
        <w:rPr>
          <w:rFonts w:ascii="Times New Roman" w:hAnsi="Times New Roman" w:cs="Times New Roman"/>
          <w:sz w:val="24"/>
          <w:szCs w:val="24"/>
        </w:rPr>
      </w:pPr>
      <w:r w:rsidRPr="007E0A33">
        <w:rPr>
          <w:rFonts w:ascii="Times New Roman" w:hAnsi="Times New Roman" w:cs="Times New Roman"/>
          <w:sz w:val="24"/>
          <w:szCs w:val="24"/>
        </w:rPr>
        <w:t>Roy, A., Ghosh, A. and Vashisht, D., 2022. The consumer perception and purchasing attitude towards organic food: a critical review. </w:t>
      </w:r>
      <w:r w:rsidRPr="007E0A33">
        <w:rPr>
          <w:rFonts w:ascii="Times New Roman" w:hAnsi="Times New Roman" w:cs="Times New Roman"/>
          <w:i/>
          <w:iCs/>
          <w:sz w:val="24"/>
          <w:szCs w:val="24"/>
        </w:rPr>
        <w:t>Nutrition &amp; Food Science</w:t>
      </w:r>
      <w:r w:rsidRPr="007E0A33">
        <w:rPr>
          <w:rFonts w:ascii="Times New Roman" w:hAnsi="Times New Roman" w:cs="Times New Roman"/>
          <w:sz w:val="24"/>
          <w:szCs w:val="24"/>
        </w:rPr>
        <w:t>, </w:t>
      </w:r>
      <w:r w:rsidRPr="007E0A33">
        <w:rPr>
          <w:rFonts w:ascii="Times New Roman" w:hAnsi="Times New Roman" w:cs="Times New Roman"/>
          <w:i/>
          <w:iCs/>
          <w:sz w:val="24"/>
          <w:szCs w:val="24"/>
        </w:rPr>
        <w:t>53</w:t>
      </w:r>
      <w:r w:rsidRPr="007E0A33">
        <w:rPr>
          <w:rFonts w:ascii="Times New Roman" w:hAnsi="Times New Roman" w:cs="Times New Roman"/>
          <w:sz w:val="24"/>
          <w:szCs w:val="24"/>
        </w:rPr>
        <w:t>(3), pp.578-599.</w:t>
      </w:r>
    </w:p>
    <w:p w14:paraId="239CE4CA" w14:textId="77777777" w:rsidR="00EF752B" w:rsidRDefault="00EF752B" w:rsidP="00EF752B">
      <w:pPr>
        <w:spacing w:line="360" w:lineRule="auto"/>
        <w:jc w:val="both"/>
        <w:rPr>
          <w:rFonts w:ascii="Times New Roman" w:hAnsi="Times New Roman" w:cs="Times New Roman"/>
          <w:sz w:val="24"/>
          <w:szCs w:val="24"/>
        </w:rPr>
      </w:pPr>
      <w:r w:rsidRPr="007E0A33">
        <w:rPr>
          <w:rFonts w:ascii="Times New Roman" w:hAnsi="Times New Roman" w:cs="Times New Roman"/>
          <w:sz w:val="24"/>
          <w:szCs w:val="24"/>
        </w:rPr>
        <w:t xml:space="preserve">Sahoo, A., Dwivedi, A., </w:t>
      </w:r>
      <w:proofErr w:type="spellStart"/>
      <w:r w:rsidRPr="007E0A33">
        <w:rPr>
          <w:rFonts w:ascii="Times New Roman" w:hAnsi="Times New Roman" w:cs="Times New Roman"/>
          <w:sz w:val="24"/>
          <w:szCs w:val="24"/>
        </w:rPr>
        <w:t>Madheshiya</w:t>
      </w:r>
      <w:proofErr w:type="spellEnd"/>
      <w:r w:rsidRPr="007E0A33">
        <w:rPr>
          <w:rFonts w:ascii="Times New Roman" w:hAnsi="Times New Roman" w:cs="Times New Roman"/>
          <w:sz w:val="24"/>
          <w:szCs w:val="24"/>
        </w:rPr>
        <w:t>, P., Kumar, U., Sharma, R.K. and Tiwari, S., 2024. Insights into the management of food waste in developing countries: with special reference to India. </w:t>
      </w:r>
      <w:r w:rsidRPr="007E0A33">
        <w:rPr>
          <w:rFonts w:ascii="Times New Roman" w:hAnsi="Times New Roman" w:cs="Times New Roman"/>
          <w:i/>
          <w:iCs/>
          <w:sz w:val="24"/>
          <w:szCs w:val="24"/>
        </w:rPr>
        <w:t>Environmental Science and Pollution Research</w:t>
      </w:r>
      <w:r w:rsidRPr="007E0A33">
        <w:rPr>
          <w:rFonts w:ascii="Times New Roman" w:hAnsi="Times New Roman" w:cs="Times New Roman"/>
          <w:sz w:val="24"/>
          <w:szCs w:val="24"/>
        </w:rPr>
        <w:t>, </w:t>
      </w:r>
      <w:r w:rsidRPr="007E0A33">
        <w:rPr>
          <w:rFonts w:ascii="Times New Roman" w:hAnsi="Times New Roman" w:cs="Times New Roman"/>
          <w:i/>
          <w:iCs/>
          <w:sz w:val="24"/>
          <w:szCs w:val="24"/>
        </w:rPr>
        <w:t>31</w:t>
      </w:r>
      <w:r w:rsidRPr="007E0A33">
        <w:rPr>
          <w:rFonts w:ascii="Times New Roman" w:hAnsi="Times New Roman" w:cs="Times New Roman"/>
          <w:sz w:val="24"/>
          <w:szCs w:val="24"/>
        </w:rPr>
        <w:t>(12), pp.17887-17913.</w:t>
      </w:r>
    </w:p>
    <w:p w14:paraId="5501CCDC" w14:textId="77777777" w:rsidR="00EF752B" w:rsidRDefault="00EF752B" w:rsidP="00EF752B">
      <w:pPr>
        <w:spacing w:line="360" w:lineRule="auto"/>
        <w:jc w:val="both"/>
        <w:rPr>
          <w:rFonts w:ascii="Times New Roman" w:hAnsi="Times New Roman" w:cs="Times New Roman"/>
          <w:sz w:val="24"/>
          <w:szCs w:val="24"/>
        </w:rPr>
      </w:pPr>
      <w:r w:rsidRPr="007E0A33">
        <w:rPr>
          <w:rFonts w:ascii="Times New Roman" w:hAnsi="Times New Roman" w:cs="Times New Roman"/>
          <w:sz w:val="24"/>
          <w:szCs w:val="24"/>
        </w:rPr>
        <w:t>Pai, V.S., 2023. McDonald’s India: Pains of partnering with a delinquent partner. </w:t>
      </w:r>
      <w:r w:rsidRPr="007E0A33">
        <w:rPr>
          <w:rFonts w:ascii="Times New Roman" w:hAnsi="Times New Roman" w:cs="Times New Roman"/>
          <w:i/>
          <w:iCs/>
          <w:sz w:val="24"/>
          <w:szCs w:val="24"/>
        </w:rPr>
        <w:t>Vision</w:t>
      </w:r>
      <w:r w:rsidRPr="007E0A33">
        <w:rPr>
          <w:rFonts w:ascii="Times New Roman" w:hAnsi="Times New Roman" w:cs="Times New Roman"/>
          <w:sz w:val="24"/>
          <w:szCs w:val="24"/>
        </w:rPr>
        <w:t>, </w:t>
      </w:r>
      <w:r w:rsidRPr="007E0A33">
        <w:rPr>
          <w:rFonts w:ascii="Times New Roman" w:hAnsi="Times New Roman" w:cs="Times New Roman"/>
          <w:i/>
          <w:iCs/>
          <w:sz w:val="24"/>
          <w:szCs w:val="24"/>
        </w:rPr>
        <w:t>27</w:t>
      </w:r>
      <w:r w:rsidRPr="007E0A33">
        <w:rPr>
          <w:rFonts w:ascii="Times New Roman" w:hAnsi="Times New Roman" w:cs="Times New Roman"/>
          <w:sz w:val="24"/>
          <w:szCs w:val="24"/>
        </w:rPr>
        <w:t>(3), pp.410-419.</w:t>
      </w:r>
    </w:p>
    <w:p w14:paraId="411CE598" w14:textId="77777777" w:rsidR="00EF752B" w:rsidRDefault="00EF752B" w:rsidP="00EF752B">
      <w:pPr>
        <w:spacing w:line="360" w:lineRule="auto"/>
        <w:jc w:val="both"/>
        <w:rPr>
          <w:rFonts w:ascii="Times New Roman" w:hAnsi="Times New Roman" w:cs="Times New Roman"/>
          <w:sz w:val="24"/>
          <w:szCs w:val="24"/>
        </w:rPr>
      </w:pPr>
      <w:r w:rsidRPr="007E0A33">
        <w:rPr>
          <w:rFonts w:ascii="Times New Roman" w:hAnsi="Times New Roman" w:cs="Times New Roman"/>
          <w:sz w:val="24"/>
          <w:szCs w:val="24"/>
        </w:rPr>
        <w:t>D'Silva, R.J., 2021. A Case Study of Mrs. Bector Food Specialties Ltd. </w:t>
      </w:r>
      <w:r w:rsidRPr="007E0A33">
        <w:rPr>
          <w:rFonts w:ascii="Times New Roman" w:hAnsi="Times New Roman" w:cs="Times New Roman"/>
          <w:i/>
          <w:iCs/>
          <w:sz w:val="24"/>
          <w:szCs w:val="24"/>
        </w:rPr>
        <w:t>D’Silva, Reema Jenifer, &amp; Ganesh Bhat, S.,(2021). A Case Study of Mrs. Bector Food Specialties Ltd. International Journal of Case Studies in Business, IT, and Education (IJCSBE)</w:t>
      </w:r>
      <w:r w:rsidRPr="007E0A33">
        <w:rPr>
          <w:rFonts w:ascii="Times New Roman" w:hAnsi="Times New Roman" w:cs="Times New Roman"/>
          <w:sz w:val="24"/>
          <w:szCs w:val="24"/>
        </w:rPr>
        <w:t>, </w:t>
      </w:r>
      <w:r w:rsidRPr="007E0A33">
        <w:rPr>
          <w:rFonts w:ascii="Times New Roman" w:hAnsi="Times New Roman" w:cs="Times New Roman"/>
          <w:i/>
          <w:iCs/>
          <w:sz w:val="24"/>
          <w:szCs w:val="24"/>
        </w:rPr>
        <w:t>5</w:t>
      </w:r>
      <w:r w:rsidRPr="007E0A33">
        <w:rPr>
          <w:rFonts w:ascii="Times New Roman" w:hAnsi="Times New Roman" w:cs="Times New Roman"/>
          <w:sz w:val="24"/>
          <w:szCs w:val="24"/>
        </w:rPr>
        <w:t>(2), pp.100-110.</w:t>
      </w:r>
    </w:p>
    <w:p w14:paraId="0CA0D19D" w14:textId="77777777" w:rsidR="00EF752B" w:rsidRDefault="00EF752B" w:rsidP="00EF752B">
      <w:pPr>
        <w:spacing w:line="360" w:lineRule="auto"/>
        <w:jc w:val="both"/>
        <w:rPr>
          <w:rFonts w:ascii="Times New Roman" w:hAnsi="Times New Roman" w:cs="Times New Roman"/>
          <w:sz w:val="24"/>
          <w:szCs w:val="24"/>
        </w:rPr>
      </w:pPr>
      <w:r w:rsidRPr="007E0A33">
        <w:rPr>
          <w:rFonts w:ascii="Times New Roman" w:hAnsi="Times New Roman" w:cs="Times New Roman"/>
          <w:sz w:val="24"/>
          <w:szCs w:val="24"/>
        </w:rPr>
        <w:t>Mokaya, E., 2022. </w:t>
      </w:r>
      <w:r w:rsidRPr="007E0A33">
        <w:rPr>
          <w:rFonts w:ascii="Times New Roman" w:hAnsi="Times New Roman" w:cs="Times New Roman"/>
          <w:i/>
          <w:iCs/>
          <w:sz w:val="24"/>
          <w:szCs w:val="24"/>
        </w:rPr>
        <w:t xml:space="preserve">The Influence of Strategic Management Practices on Performance of Quick Service </w:t>
      </w:r>
      <w:proofErr w:type="spellStart"/>
      <w:r w:rsidRPr="007E0A33">
        <w:rPr>
          <w:rFonts w:ascii="Times New Roman" w:hAnsi="Times New Roman" w:cs="Times New Roman"/>
          <w:i/>
          <w:iCs/>
          <w:sz w:val="24"/>
          <w:szCs w:val="24"/>
        </w:rPr>
        <w:t>Restuarants</w:t>
      </w:r>
      <w:proofErr w:type="spellEnd"/>
      <w:r w:rsidRPr="007E0A33">
        <w:rPr>
          <w:rFonts w:ascii="Times New Roman" w:hAnsi="Times New Roman" w:cs="Times New Roman"/>
          <w:i/>
          <w:iCs/>
          <w:sz w:val="24"/>
          <w:szCs w:val="24"/>
        </w:rPr>
        <w:t xml:space="preserve"> in Nairobi County</w:t>
      </w:r>
      <w:r w:rsidRPr="007E0A33">
        <w:rPr>
          <w:rFonts w:ascii="Times New Roman" w:hAnsi="Times New Roman" w:cs="Times New Roman"/>
          <w:sz w:val="24"/>
          <w:szCs w:val="24"/>
        </w:rPr>
        <w:t> (Doctoral dissertation, University of Nairobi).</w:t>
      </w:r>
    </w:p>
    <w:p w14:paraId="10961BE6" w14:textId="77777777" w:rsidR="00EF752B" w:rsidRDefault="00EF752B" w:rsidP="00EF752B">
      <w:pPr>
        <w:spacing w:line="360" w:lineRule="auto"/>
        <w:jc w:val="both"/>
        <w:rPr>
          <w:rFonts w:ascii="Times New Roman" w:hAnsi="Times New Roman" w:cs="Times New Roman"/>
          <w:sz w:val="24"/>
          <w:szCs w:val="24"/>
        </w:rPr>
      </w:pPr>
      <w:proofErr w:type="spellStart"/>
      <w:r w:rsidRPr="007E0A33">
        <w:rPr>
          <w:rFonts w:ascii="Times New Roman" w:hAnsi="Times New Roman" w:cs="Times New Roman"/>
          <w:sz w:val="24"/>
          <w:szCs w:val="24"/>
        </w:rPr>
        <w:lastRenderedPageBreak/>
        <w:t>Madivoli</w:t>
      </w:r>
      <w:proofErr w:type="spellEnd"/>
      <w:r w:rsidRPr="007E0A33">
        <w:rPr>
          <w:rFonts w:ascii="Times New Roman" w:hAnsi="Times New Roman" w:cs="Times New Roman"/>
          <w:sz w:val="24"/>
          <w:szCs w:val="24"/>
        </w:rPr>
        <w:t xml:space="preserve">, G.G., </w:t>
      </w:r>
      <w:proofErr w:type="spellStart"/>
      <w:r w:rsidRPr="007E0A33">
        <w:rPr>
          <w:rFonts w:ascii="Times New Roman" w:hAnsi="Times New Roman" w:cs="Times New Roman"/>
          <w:sz w:val="24"/>
          <w:szCs w:val="24"/>
        </w:rPr>
        <w:t>Khayiya</w:t>
      </w:r>
      <w:proofErr w:type="spellEnd"/>
      <w:r w:rsidRPr="007E0A33">
        <w:rPr>
          <w:rFonts w:ascii="Times New Roman" w:hAnsi="Times New Roman" w:cs="Times New Roman"/>
          <w:sz w:val="24"/>
          <w:szCs w:val="24"/>
        </w:rPr>
        <w:t>, R.A. and Kamau, B., 2025. Customer food intake: an empirical analysis of gender, restaurant use and attitude toward fast food among adolescents and young adults, in Nairobi, Kenya. </w:t>
      </w:r>
      <w:r w:rsidRPr="007E0A33">
        <w:rPr>
          <w:rFonts w:ascii="Times New Roman" w:hAnsi="Times New Roman" w:cs="Times New Roman"/>
          <w:i/>
          <w:iCs/>
          <w:sz w:val="24"/>
          <w:szCs w:val="24"/>
        </w:rPr>
        <w:t>Journal of Global Hospitality and Tourism</w:t>
      </w:r>
      <w:r w:rsidRPr="007E0A33">
        <w:rPr>
          <w:rFonts w:ascii="Times New Roman" w:hAnsi="Times New Roman" w:cs="Times New Roman"/>
          <w:sz w:val="24"/>
          <w:szCs w:val="24"/>
        </w:rPr>
        <w:t>, </w:t>
      </w:r>
      <w:r w:rsidRPr="007E0A33">
        <w:rPr>
          <w:rFonts w:ascii="Times New Roman" w:hAnsi="Times New Roman" w:cs="Times New Roman"/>
          <w:i/>
          <w:iCs/>
          <w:sz w:val="24"/>
          <w:szCs w:val="24"/>
        </w:rPr>
        <w:t>4</w:t>
      </w:r>
      <w:r w:rsidRPr="007E0A33">
        <w:rPr>
          <w:rFonts w:ascii="Times New Roman" w:hAnsi="Times New Roman" w:cs="Times New Roman"/>
          <w:sz w:val="24"/>
          <w:szCs w:val="24"/>
        </w:rPr>
        <w:t>(2), pp.181-199.</w:t>
      </w:r>
    </w:p>
    <w:p w14:paraId="69B9124E" w14:textId="77777777" w:rsidR="00EF752B" w:rsidRDefault="00EF752B" w:rsidP="00EF752B">
      <w:pPr>
        <w:spacing w:line="360" w:lineRule="auto"/>
        <w:jc w:val="both"/>
        <w:rPr>
          <w:rFonts w:ascii="Times New Roman" w:hAnsi="Times New Roman" w:cs="Times New Roman"/>
          <w:sz w:val="24"/>
          <w:szCs w:val="24"/>
        </w:rPr>
      </w:pPr>
      <w:proofErr w:type="spellStart"/>
      <w:r w:rsidRPr="007E0A33">
        <w:rPr>
          <w:rFonts w:ascii="Times New Roman" w:hAnsi="Times New Roman" w:cs="Times New Roman"/>
          <w:sz w:val="24"/>
          <w:szCs w:val="24"/>
        </w:rPr>
        <w:t>Rethinam</w:t>
      </w:r>
      <w:proofErr w:type="spellEnd"/>
      <w:r w:rsidRPr="007E0A33">
        <w:rPr>
          <w:rFonts w:ascii="Times New Roman" w:hAnsi="Times New Roman" w:cs="Times New Roman"/>
          <w:sz w:val="24"/>
          <w:szCs w:val="24"/>
        </w:rPr>
        <w:t>, P. and Krishnakumar, V., 2022. Global scenario of coconut and coconut water. In </w:t>
      </w:r>
      <w:r w:rsidRPr="007E0A33">
        <w:rPr>
          <w:rFonts w:ascii="Times New Roman" w:hAnsi="Times New Roman" w:cs="Times New Roman"/>
          <w:i/>
          <w:iCs/>
          <w:sz w:val="24"/>
          <w:szCs w:val="24"/>
        </w:rPr>
        <w:t>Coconut Water: A Promising Natural Health Drink-Distribution, Processing and Nutritional Benefits</w:t>
      </w:r>
      <w:r w:rsidRPr="007E0A33">
        <w:rPr>
          <w:rFonts w:ascii="Times New Roman" w:hAnsi="Times New Roman" w:cs="Times New Roman"/>
          <w:sz w:val="24"/>
          <w:szCs w:val="24"/>
        </w:rPr>
        <w:t> (pp. 17-35). Cham: Springer International Publishing.</w:t>
      </w:r>
    </w:p>
    <w:p w14:paraId="7C002CAC" w14:textId="77777777" w:rsidR="00EF752B" w:rsidRDefault="00EF752B" w:rsidP="00EF752B">
      <w:pPr>
        <w:spacing w:line="360" w:lineRule="auto"/>
        <w:jc w:val="both"/>
        <w:rPr>
          <w:rFonts w:ascii="Times New Roman" w:hAnsi="Times New Roman" w:cs="Times New Roman"/>
          <w:sz w:val="24"/>
          <w:szCs w:val="24"/>
        </w:rPr>
      </w:pPr>
      <w:r w:rsidRPr="007E0A33">
        <w:rPr>
          <w:rFonts w:ascii="Times New Roman" w:hAnsi="Times New Roman" w:cs="Times New Roman"/>
          <w:sz w:val="24"/>
          <w:szCs w:val="24"/>
        </w:rPr>
        <w:t>WAMBUA, V.K., 2023. </w:t>
      </w:r>
      <w:r w:rsidRPr="007E0A33">
        <w:rPr>
          <w:rFonts w:ascii="Times New Roman" w:hAnsi="Times New Roman" w:cs="Times New Roman"/>
          <w:i/>
          <w:iCs/>
          <w:sz w:val="24"/>
          <w:szCs w:val="24"/>
        </w:rPr>
        <w:t>CONSUMER SALES PROMOTIONS STRATEGIES AND BRAND LOYALTY: A SURVEY OF INTERNATIONAL FASTFOOD BRANDS IN NAIROBI, KENYA</w:t>
      </w:r>
      <w:r w:rsidRPr="007E0A33">
        <w:rPr>
          <w:rFonts w:ascii="Times New Roman" w:hAnsi="Times New Roman" w:cs="Times New Roman"/>
          <w:sz w:val="24"/>
          <w:szCs w:val="24"/>
        </w:rPr>
        <w:t xml:space="preserve"> (Doctoral dissertation, </w:t>
      </w:r>
      <w:proofErr w:type="spellStart"/>
      <w:r w:rsidRPr="007E0A33">
        <w:rPr>
          <w:rFonts w:ascii="Times New Roman" w:hAnsi="Times New Roman" w:cs="Times New Roman"/>
          <w:sz w:val="24"/>
          <w:szCs w:val="24"/>
        </w:rPr>
        <w:t>MksU</w:t>
      </w:r>
      <w:proofErr w:type="spellEnd"/>
      <w:r w:rsidRPr="007E0A33">
        <w:rPr>
          <w:rFonts w:ascii="Times New Roman" w:hAnsi="Times New Roman" w:cs="Times New Roman"/>
          <w:sz w:val="24"/>
          <w:szCs w:val="24"/>
        </w:rPr>
        <w:t xml:space="preserve"> Press).</w:t>
      </w:r>
    </w:p>
    <w:p w14:paraId="2DBEC9BB" w14:textId="77777777" w:rsidR="00EF752B" w:rsidRDefault="00EF752B" w:rsidP="00EF752B">
      <w:pPr>
        <w:spacing w:line="360" w:lineRule="auto"/>
        <w:jc w:val="both"/>
        <w:rPr>
          <w:rFonts w:ascii="Times New Roman" w:hAnsi="Times New Roman" w:cs="Times New Roman"/>
          <w:sz w:val="24"/>
          <w:szCs w:val="24"/>
        </w:rPr>
      </w:pPr>
      <w:r w:rsidRPr="007E0A33">
        <w:rPr>
          <w:rFonts w:ascii="Times New Roman" w:hAnsi="Times New Roman" w:cs="Times New Roman"/>
          <w:sz w:val="24"/>
          <w:szCs w:val="24"/>
        </w:rPr>
        <w:t>Ntleki, L.O.L., 2025. </w:t>
      </w:r>
      <w:r w:rsidRPr="007E0A33">
        <w:rPr>
          <w:rFonts w:ascii="Times New Roman" w:hAnsi="Times New Roman" w:cs="Times New Roman"/>
          <w:i/>
          <w:iCs/>
          <w:sz w:val="24"/>
          <w:szCs w:val="24"/>
        </w:rPr>
        <w:t>Food Delivery Applications: Customer Satisfaction and Continued Usage</w:t>
      </w:r>
      <w:r w:rsidRPr="007E0A33">
        <w:rPr>
          <w:rFonts w:ascii="Times New Roman" w:hAnsi="Times New Roman" w:cs="Times New Roman"/>
          <w:sz w:val="24"/>
          <w:szCs w:val="24"/>
        </w:rPr>
        <w:t> (Master's thesis, University of Johannesburg (South Africa)).</w:t>
      </w:r>
    </w:p>
    <w:p w14:paraId="0B4DDF88" w14:textId="77777777" w:rsidR="00EF752B" w:rsidRPr="007E0A33" w:rsidRDefault="00EF752B" w:rsidP="00EF752B">
      <w:pPr>
        <w:spacing w:line="360" w:lineRule="auto"/>
        <w:jc w:val="both"/>
        <w:rPr>
          <w:rFonts w:ascii="Times New Roman" w:hAnsi="Times New Roman" w:cs="Times New Roman"/>
          <w:sz w:val="24"/>
          <w:szCs w:val="24"/>
        </w:rPr>
      </w:pPr>
    </w:p>
    <w:p w14:paraId="65C6F06C" w14:textId="77777777" w:rsidR="00EF752B" w:rsidRPr="00FD1F4F" w:rsidRDefault="00EF752B" w:rsidP="00FD1F4F">
      <w:pPr>
        <w:spacing w:line="360" w:lineRule="auto"/>
        <w:jc w:val="both"/>
        <w:rPr>
          <w:rFonts w:ascii="Times New Roman" w:hAnsi="Times New Roman" w:cs="Times New Roman"/>
          <w:sz w:val="24"/>
          <w:szCs w:val="24"/>
        </w:rPr>
      </w:pPr>
    </w:p>
    <w:sectPr w:rsidR="00EF752B" w:rsidRPr="00FD1F4F">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844C22" w14:textId="77777777" w:rsidR="006E2BFB" w:rsidRDefault="006E2BFB" w:rsidP="00EF752B">
      <w:pPr>
        <w:spacing w:after="0" w:line="240" w:lineRule="auto"/>
      </w:pPr>
      <w:r>
        <w:separator/>
      </w:r>
    </w:p>
  </w:endnote>
  <w:endnote w:type="continuationSeparator" w:id="0">
    <w:p w14:paraId="426120E5" w14:textId="77777777" w:rsidR="006E2BFB" w:rsidRDefault="006E2BFB" w:rsidP="00EF75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DAD0E7" w14:textId="77777777" w:rsidR="006E2BFB" w:rsidRDefault="006E2BFB" w:rsidP="00EF752B">
      <w:pPr>
        <w:spacing w:after="0" w:line="240" w:lineRule="auto"/>
      </w:pPr>
      <w:r>
        <w:separator/>
      </w:r>
    </w:p>
  </w:footnote>
  <w:footnote w:type="continuationSeparator" w:id="0">
    <w:p w14:paraId="0415D0B5" w14:textId="77777777" w:rsidR="006E2BFB" w:rsidRDefault="006E2BFB" w:rsidP="00EF75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721725"/>
      <w:docPartObj>
        <w:docPartGallery w:val="Page Numbers (Top of Page)"/>
        <w:docPartUnique/>
      </w:docPartObj>
    </w:sdtPr>
    <w:sdtEndPr>
      <w:rPr>
        <w:noProof/>
      </w:rPr>
    </w:sdtEndPr>
    <w:sdtContent>
      <w:p w14:paraId="5DCF0360" w14:textId="398A1B95" w:rsidR="00EF752B" w:rsidRDefault="00EF752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EE20D0C" w14:textId="77777777" w:rsidR="00EF752B" w:rsidRDefault="00EF752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F4F"/>
    <w:rsid w:val="000628AB"/>
    <w:rsid w:val="00137EA1"/>
    <w:rsid w:val="00162B26"/>
    <w:rsid w:val="00337A05"/>
    <w:rsid w:val="003A19A2"/>
    <w:rsid w:val="0060640E"/>
    <w:rsid w:val="00697039"/>
    <w:rsid w:val="006E2BFB"/>
    <w:rsid w:val="00724263"/>
    <w:rsid w:val="00740E53"/>
    <w:rsid w:val="00797871"/>
    <w:rsid w:val="008407F6"/>
    <w:rsid w:val="00936FE6"/>
    <w:rsid w:val="009B3CF5"/>
    <w:rsid w:val="00A61D1B"/>
    <w:rsid w:val="00A7203E"/>
    <w:rsid w:val="00CA7076"/>
    <w:rsid w:val="00EF752B"/>
    <w:rsid w:val="00F709D8"/>
    <w:rsid w:val="00FB0E95"/>
    <w:rsid w:val="00FD1F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E50C5"/>
  <w15:chartTrackingRefBased/>
  <w15:docId w15:val="{48590BAF-B699-47B3-A0E6-3281CF85D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1F4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D1F4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D1F4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D1F4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D1F4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D1F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1F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1F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1F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1F4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D1F4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D1F4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D1F4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D1F4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D1F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1F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1F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1F4F"/>
    <w:rPr>
      <w:rFonts w:eastAsiaTheme="majorEastAsia" w:cstheme="majorBidi"/>
      <w:color w:val="272727" w:themeColor="text1" w:themeTint="D8"/>
    </w:rPr>
  </w:style>
  <w:style w:type="paragraph" w:styleId="Title">
    <w:name w:val="Title"/>
    <w:basedOn w:val="Normal"/>
    <w:next w:val="Normal"/>
    <w:link w:val="TitleChar"/>
    <w:uiPriority w:val="10"/>
    <w:qFormat/>
    <w:rsid w:val="00FD1F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1F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1F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1F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1F4F"/>
    <w:pPr>
      <w:spacing w:before="160"/>
      <w:jc w:val="center"/>
    </w:pPr>
    <w:rPr>
      <w:i/>
      <w:iCs/>
      <w:color w:val="404040" w:themeColor="text1" w:themeTint="BF"/>
    </w:rPr>
  </w:style>
  <w:style w:type="character" w:customStyle="1" w:styleId="QuoteChar">
    <w:name w:val="Quote Char"/>
    <w:basedOn w:val="DefaultParagraphFont"/>
    <w:link w:val="Quote"/>
    <w:uiPriority w:val="29"/>
    <w:rsid w:val="00FD1F4F"/>
    <w:rPr>
      <w:i/>
      <w:iCs/>
      <w:color w:val="404040" w:themeColor="text1" w:themeTint="BF"/>
    </w:rPr>
  </w:style>
  <w:style w:type="paragraph" w:styleId="ListParagraph">
    <w:name w:val="List Paragraph"/>
    <w:basedOn w:val="Normal"/>
    <w:uiPriority w:val="34"/>
    <w:qFormat/>
    <w:rsid w:val="00FD1F4F"/>
    <w:pPr>
      <w:ind w:left="720"/>
      <w:contextualSpacing/>
    </w:pPr>
  </w:style>
  <w:style w:type="character" w:styleId="IntenseEmphasis">
    <w:name w:val="Intense Emphasis"/>
    <w:basedOn w:val="DefaultParagraphFont"/>
    <w:uiPriority w:val="21"/>
    <w:qFormat/>
    <w:rsid w:val="00FD1F4F"/>
    <w:rPr>
      <w:i/>
      <w:iCs/>
      <w:color w:val="2F5496" w:themeColor="accent1" w:themeShade="BF"/>
    </w:rPr>
  </w:style>
  <w:style w:type="paragraph" w:styleId="IntenseQuote">
    <w:name w:val="Intense Quote"/>
    <w:basedOn w:val="Normal"/>
    <w:next w:val="Normal"/>
    <w:link w:val="IntenseQuoteChar"/>
    <w:uiPriority w:val="30"/>
    <w:qFormat/>
    <w:rsid w:val="00FD1F4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D1F4F"/>
    <w:rPr>
      <w:i/>
      <w:iCs/>
      <w:color w:val="2F5496" w:themeColor="accent1" w:themeShade="BF"/>
    </w:rPr>
  </w:style>
  <w:style w:type="character" w:styleId="IntenseReference">
    <w:name w:val="Intense Reference"/>
    <w:basedOn w:val="DefaultParagraphFont"/>
    <w:uiPriority w:val="32"/>
    <w:qFormat/>
    <w:rsid w:val="00FD1F4F"/>
    <w:rPr>
      <w:b/>
      <w:bCs/>
      <w:smallCaps/>
      <w:color w:val="2F5496" w:themeColor="accent1" w:themeShade="BF"/>
      <w:spacing w:val="5"/>
    </w:rPr>
  </w:style>
  <w:style w:type="paragraph" w:styleId="Header">
    <w:name w:val="header"/>
    <w:basedOn w:val="Normal"/>
    <w:link w:val="HeaderChar"/>
    <w:uiPriority w:val="99"/>
    <w:unhideWhenUsed/>
    <w:rsid w:val="00EF75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52B"/>
  </w:style>
  <w:style w:type="paragraph" w:styleId="Footer">
    <w:name w:val="footer"/>
    <w:basedOn w:val="Normal"/>
    <w:link w:val="FooterChar"/>
    <w:uiPriority w:val="99"/>
    <w:unhideWhenUsed/>
    <w:rsid w:val="00EF75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52B"/>
  </w:style>
  <w:style w:type="table" w:styleId="TableGrid">
    <w:name w:val="Table Grid"/>
    <w:basedOn w:val="TableNormal"/>
    <w:uiPriority w:val="39"/>
    <w:rsid w:val="00EF7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TotalTime>
  <Pages>25</Pages>
  <Words>6409</Words>
  <Characters>36534</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Narendra Nelavalli</dc:creator>
  <cp:keywords/>
  <dc:description/>
  <cp:lastModifiedBy>Narendra Nelavalli</cp:lastModifiedBy>
  <cp:revision>3</cp:revision>
  <dcterms:created xsi:type="dcterms:W3CDTF">2025-12-21T18:25:00Z</dcterms:created>
  <dcterms:modified xsi:type="dcterms:W3CDTF">2025-12-21T21:35:00Z</dcterms:modified>
</cp:coreProperties>
</file>