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31C1892" w14:textId="4FF2FD1C" w:rsidR="00181F4B" w:rsidRPr="003B5ED9" w:rsidRDefault="00181F4B" w:rsidP="00F70EE2">
      <w:pPr>
        <w:pStyle w:val="Title"/>
        <w:rPr>
          <w:rFonts w:ascii="Arial" w:hAnsi="Arial" w:cs="Arial"/>
        </w:rPr>
      </w:pPr>
    </w:p>
    <w:p w14:paraId="476A3C42" w14:textId="77777777" w:rsidR="00371986" w:rsidRDefault="00371986" w:rsidP="007B7545">
      <w:pPr>
        <w:jc w:val="center"/>
        <w:rPr>
          <w:rFonts w:ascii="Arial Black" w:hAnsi="Arial Black"/>
        </w:rPr>
      </w:pPr>
    </w:p>
    <w:p w14:paraId="2EA25FB7" w14:textId="77777777" w:rsidR="005205C3" w:rsidRDefault="005205C3" w:rsidP="007B7545">
      <w:pPr>
        <w:jc w:val="center"/>
        <w:rPr>
          <w:rFonts w:ascii="Arial Black" w:hAnsi="Arial Black"/>
        </w:rPr>
      </w:pPr>
    </w:p>
    <w:p w14:paraId="5053F0C1" w14:textId="77777777" w:rsidR="005205C3" w:rsidRDefault="005205C3" w:rsidP="007B7545">
      <w:pPr>
        <w:jc w:val="center"/>
        <w:rPr>
          <w:rFonts w:ascii="Arial Black" w:hAnsi="Arial Black"/>
        </w:rPr>
      </w:pPr>
    </w:p>
    <w:p w14:paraId="49B5C0A7" w14:textId="77777777" w:rsidR="005205C3" w:rsidRDefault="005205C3" w:rsidP="007B7545">
      <w:pPr>
        <w:jc w:val="center"/>
        <w:rPr>
          <w:rFonts w:ascii="Arial Black" w:hAnsi="Arial Black"/>
        </w:rPr>
      </w:pPr>
    </w:p>
    <w:p w14:paraId="66BB9FB5" w14:textId="77777777" w:rsidR="005205C3" w:rsidRDefault="005205C3" w:rsidP="007B7545">
      <w:pPr>
        <w:jc w:val="center"/>
        <w:rPr>
          <w:rFonts w:ascii="Arial Black" w:hAnsi="Arial Black"/>
        </w:rPr>
      </w:pPr>
    </w:p>
    <w:p w14:paraId="00079BCD" w14:textId="5CACA826" w:rsidR="00371986" w:rsidRPr="00A5450A" w:rsidRDefault="007B7545" w:rsidP="007B7545">
      <w:pPr>
        <w:jc w:val="center"/>
        <w:rPr>
          <w:rFonts w:ascii="Arial" w:hAnsi="Arial" w:cs="Arial"/>
          <w:b/>
          <w:bCs/>
          <w:sz w:val="30"/>
          <w:szCs w:val="30"/>
        </w:rPr>
      </w:pPr>
      <w:r w:rsidRPr="00A5450A">
        <w:rPr>
          <w:rFonts w:ascii="Arial" w:hAnsi="Arial" w:cs="Arial"/>
          <w:b/>
          <w:bCs/>
          <w:sz w:val="30"/>
          <w:szCs w:val="30"/>
        </w:rPr>
        <w:t>THE NHS APP: A CRITICAL EVALUATION OF A DIGITAL INNOVATION IN HEALTH CARE IN ENGLAND</w:t>
      </w:r>
    </w:p>
    <w:p w14:paraId="17C761E0" w14:textId="77777777" w:rsidR="00371986" w:rsidRPr="00A5450A" w:rsidRDefault="00371986" w:rsidP="007B7545">
      <w:pPr>
        <w:jc w:val="center"/>
        <w:rPr>
          <w:rFonts w:ascii="Arial" w:hAnsi="Arial" w:cs="Arial"/>
          <w:b/>
          <w:bCs/>
          <w:sz w:val="30"/>
          <w:szCs w:val="30"/>
        </w:rPr>
      </w:pPr>
    </w:p>
    <w:p w14:paraId="188C7F3B" w14:textId="21585E5B" w:rsidR="00371986" w:rsidRPr="00A5450A" w:rsidRDefault="00371986" w:rsidP="007B7545">
      <w:pPr>
        <w:jc w:val="center"/>
        <w:rPr>
          <w:rFonts w:ascii="Arial" w:hAnsi="Arial" w:cs="Arial"/>
          <w:b/>
          <w:bCs/>
          <w:sz w:val="30"/>
          <w:szCs w:val="30"/>
        </w:rPr>
      </w:pPr>
      <w:r w:rsidRPr="00A5450A">
        <w:rPr>
          <w:rFonts w:ascii="Arial" w:hAnsi="Arial" w:cs="Arial"/>
          <w:b/>
          <w:bCs/>
          <w:sz w:val="30"/>
          <w:szCs w:val="30"/>
        </w:rPr>
        <w:t xml:space="preserve">Name: </w:t>
      </w:r>
      <w:proofErr w:type="spellStart"/>
      <w:r w:rsidR="00F37198" w:rsidRPr="00A5450A">
        <w:rPr>
          <w:rFonts w:ascii="Arial" w:hAnsi="Arial" w:cs="Arial"/>
          <w:b/>
          <w:bCs/>
          <w:sz w:val="30"/>
          <w:szCs w:val="30"/>
        </w:rPr>
        <w:t>Aimnumhenfo</w:t>
      </w:r>
      <w:proofErr w:type="spellEnd"/>
      <w:r w:rsidR="00F37198" w:rsidRPr="00A5450A">
        <w:rPr>
          <w:rFonts w:ascii="Arial" w:hAnsi="Arial" w:cs="Arial"/>
          <w:b/>
          <w:bCs/>
          <w:sz w:val="30"/>
          <w:szCs w:val="30"/>
        </w:rPr>
        <w:t xml:space="preserve"> Iyoha</w:t>
      </w:r>
    </w:p>
    <w:p w14:paraId="6CFEA5C1" w14:textId="5B37F7A5" w:rsidR="00F37198" w:rsidRPr="00A5450A" w:rsidRDefault="004D5FBA" w:rsidP="007B7545">
      <w:pPr>
        <w:jc w:val="center"/>
        <w:rPr>
          <w:rFonts w:ascii="Arial" w:hAnsi="Arial" w:cs="Arial"/>
          <w:b/>
          <w:bCs/>
          <w:sz w:val="30"/>
          <w:szCs w:val="30"/>
        </w:rPr>
      </w:pPr>
      <w:r w:rsidRPr="00A5450A">
        <w:rPr>
          <w:rFonts w:ascii="Arial" w:hAnsi="Arial" w:cs="Arial"/>
          <w:b/>
          <w:bCs/>
          <w:sz w:val="30"/>
          <w:szCs w:val="30"/>
        </w:rPr>
        <w:t xml:space="preserve">Student Number: </w:t>
      </w:r>
      <w:r w:rsidR="00526032" w:rsidRPr="00A5450A">
        <w:rPr>
          <w:rFonts w:ascii="Arial" w:hAnsi="Arial" w:cs="Arial"/>
          <w:b/>
          <w:bCs/>
          <w:sz w:val="30"/>
          <w:szCs w:val="30"/>
        </w:rPr>
        <w:t>2329981</w:t>
      </w:r>
    </w:p>
    <w:p w14:paraId="2A8506A7" w14:textId="28F3BF19" w:rsidR="00217308" w:rsidRPr="00A5450A" w:rsidRDefault="00217308" w:rsidP="0037294F">
      <w:pPr>
        <w:jc w:val="center"/>
        <w:rPr>
          <w:rFonts w:ascii="Arial" w:hAnsi="Arial" w:cs="Arial"/>
          <w:b/>
          <w:bCs/>
          <w:sz w:val="30"/>
          <w:szCs w:val="30"/>
        </w:rPr>
      </w:pPr>
      <w:r w:rsidRPr="00A5450A">
        <w:rPr>
          <w:rFonts w:ascii="Arial" w:hAnsi="Arial" w:cs="Arial"/>
          <w:b/>
          <w:bCs/>
          <w:sz w:val="30"/>
          <w:szCs w:val="30"/>
        </w:rPr>
        <w:t>Module Code:</w:t>
      </w:r>
      <w:r w:rsidR="00526032" w:rsidRPr="00A5450A">
        <w:rPr>
          <w:rFonts w:ascii="Arial" w:hAnsi="Arial" w:cs="Arial"/>
          <w:b/>
          <w:bCs/>
          <w:sz w:val="30"/>
          <w:szCs w:val="30"/>
        </w:rPr>
        <w:t xml:space="preserve"> </w:t>
      </w:r>
      <w:r w:rsidR="00E31E8E" w:rsidRPr="00A5450A">
        <w:rPr>
          <w:rFonts w:ascii="Arial" w:hAnsi="Arial" w:cs="Arial"/>
          <w:b/>
          <w:bCs/>
          <w:sz w:val="30"/>
          <w:szCs w:val="30"/>
        </w:rPr>
        <w:t>BMHP6026</w:t>
      </w:r>
    </w:p>
    <w:p w14:paraId="2F935D35" w14:textId="63E5FC37" w:rsidR="00DC468A" w:rsidRPr="00A5450A" w:rsidRDefault="00DC468A" w:rsidP="0037294F">
      <w:pPr>
        <w:jc w:val="center"/>
        <w:rPr>
          <w:rFonts w:ascii="Arial" w:hAnsi="Arial" w:cs="Arial"/>
          <w:b/>
          <w:bCs/>
          <w:sz w:val="30"/>
          <w:szCs w:val="30"/>
        </w:rPr>
      </w:pPr>
      <w:r w:rsidRPr="00A5450A">
        <w:rPr>
          <w:rFonts w:ascii="Arial" w:hAnsi="Arial" w:cs="Arial"/>
          <w:b/>
          <w:bCs/>
          <w:sz w:val="30"/>
          <w:szCs w:val="30"/>
        </w:rPr>
        <w:t>Module Title:</w:t>
      </w:r>
      <w:r w:rsidR="00E31E8E" w:rsidRPr="00A5450A">
        <w:rPr>
          <w:rFonts w:ascii="Arial" w:hAnsi="Arial" w:cs="Arial"/>
          <w:b/>
          <w:bCs/>
          <w:sz w:val="30"/>
          <w:szCs w:val="30"/>
        </w:rPr>
        <w:t xml:space="preserve"> </w:t>
      </w:r>
      <w:r w:rsidR="00567FD2" w:rsidRPr="00A5450A">
        <w:rPr>
          <w:rFonts w:ascii="Arial" w:hAnsi="Arial" w:cs="Arial"/>
          <w:b/>
          <w:bCs/>
          <w:sz w:val="30"/>
          <w:szCs w:val="30"/>
        </w:rPr>
        <w:t>Digital Transformation in the Health and Care Professions</w:t>
      </w:r>
    </w:p>
    <w:p w14:paraId="046533D0" w14:textId="618EEB0E" w:rsidR="00DC468A" w:rsidRPr="00A5450A" w:rsidRDefault="00DC468A" w:rsidP="00536B80">
      <w:pPr>
        <w:jc w:val="center"/>
        <w:rPr>
          <w:rFonts w:ascii="Arial" w:hAnsi="Arial" w:cs="Arial"/>
          <w:b/>
          <w:bCs/>
          <w:sz w:val="30"/>
          <w:szCs w:val="30"/>
        </w:rPr>
      </w:pPr>
      <w:r w:rsidRPr="00A5450A">
        <w:rPr>
          <w:rFonts w:ascii="Arial" w:hAnsi="Arial" w:cs="Arial"/>
          <w:b/>
          <w:bCs/>
          <w:sz w:val="30"/>
          <w:szCs w:val="30"/>
        </w:rPr>
        <w:t>Assignment Title:</w:t>
      </w:r>
      <w:r w:rsidR="00567FD2" w:rsidRPr="00A5450A">
        <w:rPr>
          <w:rFonts w:ascii="Arial" w:hAnsi="Arial" w:cs="Arial"/>
          <w:b/>
          <w:bCs/>
          <w:sz w:val="30"/>
          <w:szCs w:val="30"/>
        </w:rPr>
        <w:t xml:space="preserve"> </w:t>
      </w:r>
      <w:r w:rsidR="00536B80" w:rsidRPr="00A5450A">
        <w:rPr>
          <w:rFonts w:ascii="Arial" w:hAnsi="Arial" w:cs="Arial"/>
          <w:b/>
          <w:bCs/>
          <w:sz w:val="30"/>
          <w:szCs w:val="30"/>
        </w:rPr>
        <w:t>Component 1: Written Report</w:t>
      </w:r>
    </w:p>
    <w:p w14:paraId="51C8ED95" w14:textId="63E19FEC" w:rsidR="007B7545" w:rsidRPr="00EC2062" w:rsidRDefault="00371986" w:rsidP="00371986">
      <w:pPr>
        <w:rPr>
          <w:rFonts w:ascii="Arial Black" w:hAnsi="Arial Black"/>
        </w:rPr>
      </w:pPr>
      <w:r>
        <w:rPr>
          <w:rFonts w:ascii="Arial Black" w:hAnsi="Arial Black"/>
        </w:rPr>
        <w:br w:type="page"/>
      </w:r>
    </w:p>
    <w:p w14:paraId="3EF0C417" w14:textId="77777777" w:rsidR="007B7545" w:rsidRPr="00946184" w:rsidRDefault="007B7545" w:rsidP="007B7545">
      <w:pPr>
        <w:spacing w:line="360" w:lineRule="auto"/>
        <w:rPr>
          <w:rFonts w:ascii="Arial" w:hAnsi="Arial" w:cs="Arial"/>
          <w:b/>
        </w:rPr>
      </w:pPr>
      <w:r w:rsidRPr="00946184">
        <w:rPr>
          <w:rFonts w:ascii="Arial" w:hAnsi="Arial" w:cs="Arial"/>
          <w:b/>
        </w:rPr>
        <w:lastRenderedPageBreak/>
        <w:t>1. Introduction</w:t>
      </w:r>
    </w:p>
    <w:p w14:paraId="359F7E2C" w14:textId="77777777" w:rsidR="007B7545" w:rsidRPr="00946184" w:rsidRDefault="007B7545" w:rsidP="007B7545">
      <w:pPr>
        <w:spacing w:line="360" w:lineRule="auto"/>
        <w:jc w:val="both"/>
        <w:rPr>
          <w:rFonts w:ascii="Arial" w:hAnsi="Arial" w:cs="Arial"/>
        </w:rPr>
      </w:pPr>
      <w:r w:rsidRPr="00946184">
        <w:rPr>
          <w:rFonts w:ascii="Arial" w:hAnsi="Arial" w:cs="Arial"/>
        </w:rPr>
        <w:t>The NHS App is a free application for smartphones, also available on the web, acting as a "digital front door" to the National Health Service (NHS) in England, introduced in January 2019 (</w:t>
      </w:r>
      <w:proofErr w:type="spellStart"/>
      <w:r w:rsidRPr="00946184">
        <w:rPr>
          <w:rFonts w:ascii="Arial" w:hAnsi="Arial" w:cs="Arial"/>
        </w:rPr>
        <w:t>Reidy</w:t>
      </w:r>
      <w:proofErr w:type="spellEnd"/>
      <w:r w:rsidRPr="00946184">
        <w:rPr>
          <w:rFonts w:ascii="Arial" w:hAnsi="Arial" w:cs="Arial"/>
        </w:rPr>
        <w:t xml:space="preserve"> et al., 2025). The app allows individuals aged 13 and over to order repeat prescriptions, view their GP records and test results, manage certain GP and hospital appointments, and receive messages from the NHS. As at the end of August 2026, the app had over 39 million registered users, and 15.5 million unique users logged in during that month alone (NHS England Digital, 2026). </w:t>
      </w:r>
    </w:p>
    <w:p w14:paraId="42B840F7"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The app is at the heart of the country's digital policy. According to the Plan for Digital Health and Social Care, a target was set to have 75% of adults registered by March 2024 (Department of Health and Social Care (DHSC), 2022). The What Good Looks Like framework </w:t>
      </w:r>
      <w:r>
        <w:rPr>
          <w:rFonts w:ascii="Arial" w:hAnsi="Arial" w:cs="Arial"/>
        </w:rPr>
        <w:t>demands that</w:t>
      </w:r>
      <w:r w:rsidRPr="00946184">
        <w:rPr>
          <w:rFonts w:ascii="Arial" w:hAnsi="Arial" w:cs="Arial"/>
        </w:rPr>
        <w:t xml:space="preserve"> health and care </w:t>
      </w:r>
      <w:proofErr w:type="spellStart"/>
      <w:r w:rsidRPr="00946184">
        <w:rPr>
          <w:rFonts w:ascii="Arial" w:hAnsi="Arial" w:cs="Arial"/>
        </w:rPr>
        <w:t>organisations</w:t>
      </w:r>
      <w:proofErr w:type="spellEnd"/>
      <w:r w:rsidRPr="00946184">
        <w:rPr>
          <w:rFonts w:ascii="Arial" w:hAnsi="Arial" w:cs="Arial"/>
        </w:rPr>
        <w:t xml:space="preserve"> use digital tools to empower patients and support staff (DHSC</w:t>
      </w:r>
      <w:r w:rsidRPr="006F4E47">
        <w:rPr>
          <w:rFonts w:ascii="Arial" w:hAnsi="Arial" w:cs="Arial"/>
        </w:rPr>
        <w:t xml:space="preserve"> 202</w:t>
      </w:r>
      <w:r>
        <w:rPr>
          <w:rFonts w:ascii="Arial" w:hAnsi="Arial" w:cs="Arial"/>
        </w:rPr>
        <w:t>3</w:t>
      </w:r>
      <w:r w:rsidRPr="00946184">
        <w:rPr>
          <w:rFonts w:ascii="Arial" w:hAnsi="Arial" w:cs="Arial"/>
        </w:rPr>
        <w:t>). The most recent development, the 10 Year Health Plan, states that by 2028 the app will have become a "doctor in your pocket" and the full front door to the NHS (DHSC, 2025c).</w:t>
      </w:r>
    </w:p>
    <w:p w14:paraId="31A11B8C"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The report critically assesses </w:t>
      </w:r>
      <w:r>
        <w:rPr>
          <w:rFonts w:ascii="Arial" w:hAnsi="Arial" w:cs="Arial"/>
        </w:rPr>
        <w:t xml:space="preserve">the effects of the NHS App on </w:t>
      </w:r>
      <w:r w:rsidRPr="00DB29EF">
        <w:rPr>
          <w:rFonts w:ascii="Arial" w:hAnsi="Arial" w:cs="Arial"/>
        </w:rPr>
        <w:t>the workforce and patients and service users which best-evidenced effects of the app</w:t>
      </w:r>
      <w:r>
        <w:rPr>
          <w:rFonts w:ascii="Arial" w:hAnsi="Arial" w:cs="Arial"/>
          <w:b/>
        </w:rPr>
        <w:t>.</w:t>
      </w:r>
      <w:r>
        <w:rPr>
          <w:rFonts w:ascii="Arial" w:hAnsi="Arial" w:cs="Arial"/>
        </w:rPr>
        <w:t xml:space="preserve"> It employs the NASSS framework (Non-adoption, Abandonment, Scale-up, Spread and Sustainability) to explain why the app functions well in some places and not in others, showing how technology, staff, </w:t>
      </w:r>
      <w:proofErr w:type="spellStart"/>
      <w:r w:rsidRPr="00946184">
        <w:rPr>
          <w:rFonts w:ascii="Arial" w:hAnsi="Arial" w:cs="Arial"/>
        </w:rPr>
        <w:t>organisations</w:t>
      </w:r>
      <w:proofErr w:type="spellEnd"/>
      <w:r>
        <w:rPr>
          <w:rFonts w:ascii="Arial" w:hAnsi="Arial" w:cs="Arial"/>
        </w:rPr>
        <w:t xml:space="preserve"> and the wider system all influence whether a digital tool is successful (</w:t>
      </w:r>
      <w:proofErr w:type="spellStart"/>
      <w:r>
        <w:rPr>
          <w:rFonts w:ascii="Arial" w:hAnsi="Arial" w:cs="Arial"/>
        </w:rPr>
        <w:t>Greenhalgh</w:t>
      </w:r>
      <w:proofErr w:type="spellEnd"/>
      <w:r>
        <w:rPr>
          <w:rFonts w:ascii="Arial" w:hAnsi="Arial" w:cs="Arial"/>
        </w:rPr>
        <w:t xml:space="preserve"> et al., 2017). At the end of </w:t>
      </w:r>
      <w:r w:rsidRPr="00DB29EF">
        <w:rPr>
          <w:rFonts w:ascii="Arial" w:hAnsi="Arial" w:cs="Arial"/>
        </w:rPr>
        <w:t>each section, a SWOT analysis is provided to sort the evidence into internal strengths and weaknesses and external opportunities and threats (Helms and Nixon, 2010).</w:t>
      </w:r>
      <w:r>
        <w:rPr>
          <w:rFonts w:ascii="Arial" w:hAnsi="Arial" w:cs="Arial"/>
          <w:b/>
        </w:rPr>
        <w:t xml:space="preserve"> </w:t>
      </w:r>
      <w:r>
        <w:rPr>
          <w:rFonts w:ascii="Arial" w:hAnsi="Arial" w:cs="Arial"/>
        </w:rPr>
        <w:t>The report concludes with a set of recommendations.</w:t>
      </w:r>
    </w:p>
    <w:p w14:paraId="0CAA9F35" w14:textId="77777777" w:rsidR="007B7545" w:rsidRPr="00946184" w:rsidRDefault="007B7545" w:rsidP="007B7545">
      <w:pPr>
        <w:spacing w:line="360" w:lineRule="auto"/>
        <w:rPr>
          <w:rFonts w:ascii="Arial" w:hAnsi="Arial" w:cs="Arial"/>
          <w:b/>
        </w:rPr>
      </w:pPr>
      <w:r w:rsidRPr="00946184">
        <w:rPr>
          <w:rFonts w:ascii="Arial" w:hAnsi="Arial" w:cs="Arial"/>
          <w:b/>
        </w:rPr>
        <w:t>2. Impact on the Workforce</w:t>
      </w:r>
    </w:p>
    <w:p w14:paraId="08AA6376" w14:textId="77777777" w:rsidR="007B7545" w:rsidRPr="00946184" w:rsidRDefault="007B7545" w:rsidP="007B7545">
      <w:pPr>
        <w:spacing w:line="360" w:lineRule="auto"/>
        <w:jc w:val="both"/>
        <w:rPr>
          <w:rFonts w:ascii="Arial" w:hAnsi="Arial" w:cs="Arial"/>
        </w:rPr>
      </w:pPr>
      <w:r w:rsidRPr="00946184">
        <w:rPr>
          <w:rFonts w:ascii="Arial" w:hAnsi="Arial" w:cs="Arial"/>
        </w:rPr>
        <w:t>The NHS App has altered the day-to-day activities of staff in general practice, particularly affecting receptionists, administrators and practice managers. Since patients can now order prescriptions or check their test results through the app, the number of phone calls received by staff for straightforward tasks has decreased. According to the government, the increased use of the app's features led to the saving of almost 5.7 million hours of staff time in the nine months following July 2024; this amount includes 1.26 million clinical hours (DHSC, 2025a). Provided that these figures are accurate, this represents a significant benefit for a workforce that is under great pressure and aligns with the 'What Good Looks Like' objective of using digital tools to free up staff time (DHSC</w:t>
      </w:r>
      <w:r w:rsidRPr="006F4E47">
        <w:rPr>
          <w:rFonts w:ascii="Arial" w:hAnsi="Arial" w:cs="Arial"/>
        </w:rPr>
        <w:t>, 202</w:t>
      </w:r>
      <w:r>
        <w:rPr>
          <w:rFonts w:ascii="Arial" w:hAnsi="Arial" w:cs="Arial"/>
        </w:rPr>
        <w:t>3</w:t>
      </w:r>
      <w:r w:rsidRPr="00946184">
        <w:rPr>
          <w:rFonts w:ascii="Arial" w:hAnsi="Arial" w:cs="Arial"/>
        </w:rPr>
        <w:t>).</w:t>
      </w:r>
    </w:p>
    <w:p w14:paraId="0BB669FB" w14:textId="77777777" w:rsidR="007B7545" w:rsidRPr="00946184" w:rsidRDefault="007B7545" w:rsidP="007B7545">
      <w:pPr>
        <w:spacing w:line="360" w:lineRule="auto"/>
        <w:jc w:val="both"/>
        <w:rPr>
          <w:rFonts w:ascii="Arial" w:hAnsi="Arial" w:cs="Arial"/>
        </w:rPr>
      </w:pPr>
      <w:r w:rsidRPr="00946184">
        <w:rPr>
          <w:rFonts w:ascii="Arial" w:hAnsi="Arial" w:cs="Arial"/>
        </w:rPr>
        <w:lastRenderedPageBreak/>
        <w:t>Nevertheless, these figures require scrutiny because they are estimates by the government and NHS England, both of which have a clear interest in demonstrating the app's effectiveness. For instance, NHS England stated that 416,000 hours of GP time were saved because of 2.5 million test results being available in the app, but a spokesperson from the Doctors' Association UK referred to this as a "huge overstatement" (</w:t>
      </w:r>
      <w:proofErr w:type="spellStart"/>
      <w:r w:rsidRPr="00946184">
        <w:rPr>
          <w:rFonts w:ascii="Arial" w:hAnsi="Arial" w:cs="Arial"/>
        </w:rPr>
        <w:t>Colivicchi</w:t>
      </w:r>
      <w:proofErr w:type="spellEnd"/>
      <w:r w:rsidRPr="00946184">
        <w:rPr>
          <w:rFonts w:ascii="Arial" w:hAnsi="Arial" w:cs="Arial"/>
        </w:rPr>
        <w:t>, 2025). The figure assumes that each test result viewed in the app replaced a GP appointment, an assumption that has not been proven. Critically, the app does indeed save some administrative time, but the actual amount of clinical time saved remains uncertain.</w:t>
      </w:r>
    </w:p>
    <w:p w14:paraId="700C79ED" w14:textId="77777777" w:rsidR="007B7545" w:rsidRPr="00946184" w:rsidRDefault="007B7545" w:rsidP="007B7545">
      <w:pPr>
        <w:spacing w:line="360" w:lineRule="auto"/>
        <w:jc w:val="both"/>
        <w:rPr>
          <w:rFonts w:ascii="Arial" w:hAnsi="Arial" w:cs="Arial"/>
        </w:rPr>
      </w:pPr>
      <w:r w:rsidRPr="00946184">
        <w:rPr>
          <w:rFonts w:ascii="Arial" w:hAnsi="Arial" w:cs="Arial"/>
        </w:rPr>
        <w:t>Moreover, the app led to the creation of new types of work and has altered existing job roles. A national study involving five general practice practices showed that patients regarded their surgery as the first place to go when they needed to register, log in and request access to their records (</w:t>
      </w:r>
      <w:proofErr w:type="spellStart"/>
      <w:r w:rsidRPr="00946184">
        <w:rPr>
          <w:rFonts w:ascii="Arial" w:hAnsi="Arial" w:cs="Arial"/>
        </w:rPr>
        <w:t>Reidy</w:t>
      </w:r>
      <w:proofErr w:type="spellEnd"/>
      <w:r w:rsidRPr="00946184">
        <w:rPr>
          <w:rFonts w:ascii="Arial" w:hAnsi="Arial" w:cs="Arial"/>
        </w:rPr>
        <w:t xml:space="preserve"> et al., 2025). The staff were required to learn how the app functioned, to deal with technical difficulties and to decide which sections of a patient's record could safely be displayed, even though they had received no formal training. Some practice managers believed that the app had been imposed on them from above without adequate consultation (</w:t>
      </w:r>
      <w:proofErr w:type="spellStart"/>
      <w:r w:rsidRPr="00946184">
        <w:rPr>
          <w:rFonts w:ascii="Arial" w:hAnsi="Arial" w:cs="Arial"/>
        </w:rPr>
        <w:t>Reidy</w:t>
      </w:r>
      <w:proofErr w:type="spellEnd"/>
      <w:r w:rsidRPr="00946184">
        <w:rPr>
          <w:rFonts w:ascii="Arial" w:hAnsi="Arial" w:cs="Arial"/>
        </w:rPr>
        <w:t xml:space="preserve"> et al., 2025). In NASSS terms, this constitutes a problem within the 'adopter system': although the technology demanded new skills from the staff, the necessary training and the time needed to develop those skills were not provided (</w:t>
      </w:r>
      <w:proofErr w:type="spellStart"/>
      <w:r w:rsidRPr="00946184">
        <w:rPr>
          <w:rFonts w:ascii="Arial" w:hAnsi="Arial" w:cs="Arial"/>
        </w:rPr>
        <w:t>Greenhalgh</w:t>
      </w:r>
      <w:proofErr w:type="spellEnd"/>
      <w:r w:rsidRPr="00946184">
        <w:rPr>
          <w:rFonts w:ascii="Arial" w:hAnsi="Arial" w:cs="Arial"/>
        </w:rPr>
        <w:t xml:space="preserve"> et al., 2017). The complete NIHR report from the same national evaluation reached a similar conclusion, stating that both the staff and their </w:t>
      </w:r>
      <w:proofErr w:type="spellStart"/>
      <w:r w:rsidRPr="00946184">
        <w:rPr>
          <w:rFonts w:ascii="Arial" w:hAnsi="Arial" w:cs="Arial"/>
        </w:rPr>
        <w:t>organisations</w:t>
      </w:r>
      <w:proofErr w:type="spellEnd"/>
      <w:r w:rsidRPr="00946184">
        <w:rPr>
          <w:rFonts w:ascii="Arial" w:hAnsi="Arial" w:cs="Arial"/>
        </w:rPr>
        <w:t xml:space="preserve"> had to modify their own ways of working to introduce the app (Greaves et al., 2026).</w:t>
      </w:r>
    </w:p>
    <w:p w14:paraId="29AE7EB2" w14:textId="77777777" w:rsidR="007B7545" w:rsidRPr="00946184" w:rsidRDefault="007B7545" w:rsidP="007B7545">
      <w:pPr>
        <w:spacing w:line="360" w:lineRule="auto"/>
        <w:jc w:val="both"/>
        <w:rPr>
          <w:rFonts w:ascii="Arial" w:hAnsi="Arial" w:cs="Arial"/>
        </w:rPr>
      </w:pPr>
      <w:r w:rsidRPr="00946184">
        <w:rPr>
          <w:rFonts w:ascii="Arial" w:hAnsi="Arial" w:cs="Arial"/>
        </w:rPr>
        <w:t>Digital access also affected how patient demand reaches the staff. Over time, this app has been connected with online consultation services, enabling patients to send requests to their practice (</w:t>
      </w:r>
      <w:proofErr w:type="spellStart"/>
      <w:r w:rsidRPr="00946184">
        <w:rPr>
          <w:rFonts w:ascii="Arial" w:hAnsi="Arial" w:cs="Arial"/>
        </w:rPr>
        <w:t>Reidy</w:t>
      </w:r>
      <w:proofErr w:type="spellEnd"/>
      <w:r w:rsidRPr="00946184">
        <w:rPr>
          <w:rFonts w:ascii="Arial" w:hAnsi="Arial" w:cs="Arial"/>
        </w:rPr>
        <w:t xml:space="preserve"> et al., 2025). Since October 2025, the GP contract has mandated that practices keep these online facilities open during core hours. According to a British Medical Association (BMA) survey of 1,341 practices, 74% said their workload had increased, 68% revealed greater staff stress, and 70% had received urgent medical problems through online systems that were intended for routine requests (BMA, 2026). Although the BMA is a trade union and therefore not neutral, the sample size means that these findings are difficult to overlook. The evidence indicates digital access shifts the amount of work rather than just eliminating it. The advantage for staff will depend on whether the practices have sufficient people, adequate training and enough time to deal with the new digital demand.</w:t>
      </w:r>
    </w:p>
    <w:p w14:paraId="263F4769" w14:textId="77777777" w:rsidR="007B7545" w:rsidRDefault="007B7545" w:rsidP="007B7545">
      <w:pPr>
        <w:keepNext/>
        <w:spacing w:before="120" w:after="80" w:line="360" w:lineRule="auto"/>
        <w:rPr>
          <w:rFonts w:ascii="Arial" w:hAnsi="Arial" w:cs="Arial"/>
          <w:b/>
        </w:rPr>
      </w:pPr>
      <w:r>
        <w:rPr>
          <w:rFonts w:ascii="Arial" w:hAnsi="Arial" w:cs="Arial"/>
          <w:b/>
        </w:rPr>
        <w:lastRenderedPageBreak/>
        <w:t>Table 1: SWOT analysis of the NHS App's impact on the workforce</w:t>
      </w:r>
    </w:p>
    <w:tbl>
      <w:tblPr>
        <w:tblW w:w="9360"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CellMar>
          <w:left w:w="100" w:type="dxa"/>
          <w:right w:w="100" w:type="dxa"/>
        </w:tblCellMar>
        <w:tblLook w:val="04A0" w:firstRow="1" w:lastRow="0" w:firstColumn="1" w:lastColumn="0" w:noHBand="0" w:noVBand="1"/>
      </w:tblPr>
      <w:tblGrid>
        <w:gridCol w:w="4680"/>
        <w:gridCol w:w="4680"/>
      </w:tblGrid>
      <w:tr w:rsidR="007B7545" w14:paraId="433C3455" w14:textId="77777777" w:rsidTr="005D03C2">
        <w:trPr>
          <w:cantSplit/>
        </w:trPr>
        <w:tc>
          <w:tcPr>
            <w:tcW w:w="4680" w:type="dxa"/>
            <w:shd w:val="clear" w:color="auto" w:fill="DCE6F1"/>
          </w:tcPr>
          <w:p w14:paraId="64A34B54" w14:textId="77777777" w:rsidR="007B7545" w:rsidRDefault="007B7545" w:rsidP="005D03C2">
            <w:pPr>
              <w:spacing w:before="40" w:after="40" w:line="276" w:lineRule="auto"/>
              <w:rPr>
                <w:rFonts w:ascii="Arial" w:hAnsi="Arial" w:cs="Arial"/>
                <w:b/>
              </w:rPr>
            </w:pPr>
            <w:r>
              <w:rPr>
                <w:rFonts w:ascii="Arial" w:hAnsi="Arial" w:cs="Arial"/>
                <w:b/>
              </w:rPr>
              <w:t>Strengths (internal)</w:t>
            </w:r>
          </w:p>
        </w:tc>
        <w:tc>
          <w:tcPr>
            <w:tcW w:w="4680" w:type="dxa"/>
            <w:shd w:val="clear" w:color="auto" w:fill="DCE6F1"/>
          </w:tcPr>
          <w:p w14:paraId="678DBA98" w14:textId="77777777" w:rsidR="007B7545" w:rsidRDefault="007B7545" w:rsidP="005D03C2">
            <w:pPr>
              <w:spacing w:before="40" w:after="40" w:line="276" w:lineRule="auto"/>
              <w:rPr>
                <w:rFonts w:ascii="Arial" w:hAnsi="Arial" w:cs="Arial"/>
                <w:b/>
              </w:rPr>
            </w:pPr>
            <w:r>
              <w:rPr>
                <w:rFonts w:ascii="Arial" w:hAnsi="Arial" w:cs="Arial"/>
                <w:b/>
              </w:rPr>
              <w:t>Weaknesses (internal)</w:t>
            </w:r>
          </w:p>
        </w:tc>
      </w:tr>
      <w:tr w:rsidR="007B7545" w14:paraId="001F8316" w14:textId="77777777" w:rsidTr="005D03C2">
        <w:trPr>
          <w:cantSplit/>
        </w:trPr>
        <w:tc>
          <w:tcPr>
            <w:tcW w:w="4680" w:type="dxa"/>
          </w:tcPr>
          <w:p w14:paraId="77B075EB" w14:textId="77777777" w:rsidR="007B7545" w:rsidRPr="00DB29EF" w:rsidRDefault="007B7545" w:rsidP="005D03C2">
            <w:pPr>
              <w:pStyle w:val="ListParagraph"/>
              <w:numPr>
                <w:ilvl w:val="0"/>
                <w:numId w:val="1"/>
              </w:numPr>
              <w:spacing w:before="20" w:after="40" w:line="276" w:lineRule="auto"/>
              <w:ind w:left="284" w:hanging="227"/>
              <w:contextualSpacing w:val="0"/>
              <w:rPr>
                <w:rFonts w:ascii="Arial" w:hAnsi="Arial" w:cs="Arial"/>
              </w:rPr>
            </w:pPr>
            <w:r w:rsidRPr="00DB29EF">
              <w:rPr>
                <w:rFonts w:ascii="Arial" w:hAnsi="Arial" w:cs="Arial"/>
                <w:sz w:val="20"/>
                <w:szCs w:val="20"/>
              </w:rPr>
              <w:t>Fewer phone calls for prescriptions and test results</w:t>
            </w:r>
          </w:p>
          <w:p w14:paraId="47A8BECB" w14:textId="77777777" w:rsidR="007B7545" w:rsidRPr="00DB29EF" w:rsidRDefault="007B7545" w:rsidP="005D03C2">
            <w:pPr>
              <w:pStyle w:val="ListParagraph"/>
              <w:numPr>
                <w:ilvl w:val="0"/>
                <w:numId w:val="1"/>
              </w:numPr>
              <w:spacing w:before="20" w:after="40" w:line="276" w:lineRule="auto"/>
              <w:ind w:left="284" w:hanging="227"/>
              <w:contextualSpacing w:val="0"/>
              <w:rPr>
                <w:rFonts w:ascii="Arial" w:hAnsi="Arial" w:cs="Arial"/>
              </w:rPr>
            </w:pPr>
            <w:r w:rsidRPr="00DB29EF">
              <w:rPr>
                <w:rFonts w:ascii="Arial" w:hAnsi="Arial" w:cs="Arial"/>
                <w:sz w:val="20"/>
                <w:szCs w:val="20"/>
              </w:rPr>
              <w:t>Government estimate of 5.7 million staff hours saved (DHSC, 2025a)</w:t>
            </w:r>
          </w:p>
        </w:tc>
        <w:tc>
          <w:tcPr>
            <w:tcW w:w="4680" w:type="dxa"/>
          </w:tcPr>
          <w:p w14:paraId="2FAC467E" w14:textId="77777777" w:rsidR="007B7545" w:rsidRPr="00DB29EF" w:rsidRDefault="007B7545" w:rsidP="005D03C2">
            <w:pPr>
              <w:pStyle w:val="ListParagraph"/>
              <w:numPr>
                <w:ilvl w:val="0"/>
                <w:numId w:val="1"/>
              </w:numPr>
              <w:spacing w:before="20" w:after="40" w:line="276" w:lineRule="auto"/>
              <w:ind w:left="284" w:hanging="227"/>
              <w:contextualSpacing w:val="0"/>
              <w:rPr>
                <w:rFonts w:ascii="Arial" w:hAnsi="Arial" w:cs="Arial"/>
              </w:rPr>
            </w:pPr>
            <w:r w:rsidRPr="00DB29EF">
              <w:rPr>
                <w:rFonts w:ascii="Arial" w:hAnsi="Arial" w:cs="Arial"/>
                <w:sz w:val="20"/>
                <w:szCs w:val="20"/>
              </w:rPr>
              <w:t>Time savings are estimates and not independently checked (</w:t>
            </w:r>
            <w:proofErr w:type="spellStart"/>
            <w:r w:rsidRPr="00DB29EF">
              <w:rPr>
                <w:rFonts w:ascii="Arial" w:hAnsi="Arial" w:cs="Arial"/>
                <w:sz w:val="20"/>
                <w:szCs w:val="20"/>
              </w:rPr>
              <w:t>Colivicchi</w:t>
            </w:r>
            <w:proofErr w:type="spellEnd"/>
            <w:r w:rsidRPr="00DB29EF">
              <w:rPr>
                <w:rFonts w:ascii="Arial" w:hAnsi="Arial" w:cs="Arial"/>
                <w:sz w:val="20"/>
                <w:szCs w:val="20"/>
              </w:rPr>
              <w:t>, 2025)</w:t>
            </w:r>
          </w:p>
          <w:p w14:paraId="7F1913F4" w14:textId="77777777" w:rsidR="007B7545" w:rsidRPr="00DB29EF" w:rsidRDefault="007B7545" w:rsidP="005D03C2">
            <w:pPr>
              <w:pStyle w:val="ListParagraph"/>
              <w:numPr>
                <w:ilvl w:val="0"/>
                <w:numId w:val="1"/>
              </w:numPr>
              <w:spacing w:before="20" w:after="40" w:line="276" w:lineRule="auto"/>
              <w:ind w:left="284" w:hanging="227"/>
              <w:contextualSpacing w:val="0"/>
              <w:rPr>
                <w:rFonts w:ascii="Arial" w:hAnsi="Arial" w:cs="Arial"/>
              </w:rPr>
            </w:pPr>
            <w:r w:rsidRPr="00DB29EF">
              <w:rPr>
                <w:rFonts w:ascii="Arial" w:hAnsi="Arial" w:cs="Arial"/>
                <w:sz w:val="20"/>
                <w:szCs w:val="20"/>
              </w:rPr>
              <w:t>New tasks for staff with little or no training (</w:t>
            </w:r>
            <w:proofErr w:type="spellStart"/>
            <w:r w:rsidRPr="00DB29EF">
              <w:rPr>
                <w:rFonts w:ascii="Arial" w:hAnsi="Arial" w:cs="Arial"/>
                <w:sz w:val="20"/>
                <w:szCs w:val="20"/>
              </w:rPr>
              <w:t>Reidy</w:t>
            </w:r>
            <w:proofErr w:type="spellEnd"/>
            <w:r w:rsidRPr="00DB29EF">
              <w:rPr>
                <w:rFonts w:ascii="Arial" w:hAnsi="Arial" w:cs="Arial"/>
                <w:sz w:val="20"/>
                <w:szCs w:val="20"/>
              </w:rPr>
              <w:t xml:space="preserve"> et al., 2025)</w:t>
            </w:r>
          </w:p>
        </w:tc>
      </w:tr>
      <w:tr w:rsidR="007B7545" w14:paraId="3070C983" w14:textId="77777777" w:rsidTr="005D03C2">
        <w:trPr>
          <w:cantSplit/>
        </w:trPr>
        <w:tc>
          <w:tcPr>
            <w:tcW w:w="4680" w:type="dxa"/>
            <w:shd w:val="clear" w:color="auto" w:fill="DCE6F1"/>
          </w:tcPr>
          <w:p w14:paraId="53F497D1" w14:textId="77777777" w:rsidR="007B7545" w:rsidRPr="00DB29EF" w:rsidRDefault="007B7545" w:rsidP="005D03C2">
            <w:pPr>
              <w:spacing w:before="40" w:after="40" w:line="276" w:lineRule="auto"/>
              <w:rPr>
                <w:rFonts w:ascii="Arial" w:hAnsi="Arial" w:cs="Arial"/>
                <w:b/>
              </w:rPr>
            </w:pPr>
            <w:r w:rsidRPr="00DB29EF">
              <w:rPr>
                <w:rFonts w:ascii="Arial" w:hAnsi="Arial" w:cs="Arial"/>
                <w:b/>
              </w:rPr>
              <w:t>Opportunities (external)</w:t>
            </w:r>
          </w:p>
        </w:tc>
        <w:tc>
          <w:tcPr>
            <w:tcW w:w="4680" w:type="dxa"/>
            <w:shd w:val="clear" w:color="auto" w:fill="DCE6F1"/>
          </w:tcPr>
          <w:p w14:paraId="697108F0" w14:textId="77777777" w:rsidR="007B7545" w:rsidRPr="00DB29EF" w:rsidRDefault="007B7545" w:rsidP="005D03C2">
            <w:pPr>
              <w:spacing w:before="40" w:after="40" w:line="276" w:lineRule="auto"/>
              <w:rPr>
                <w:rFonts w:ascii="Arial" w:hAnsi="Arial" w:cs="Arial"/>
                <w:b/>
              </w:rPr>
            </w:pPr>
            <w:r w:rsidRPr="00DB29EF">
              <w:rPr>
                <w:rFonts w:ascii="Arial" w:hAnsi="Arial" w:cs="Arial"/>
                <w:b/>
              </w:rPr>
              <w:t>Threats (external)</w:t>
            </w:r>
          </w:p>
        </w:tc>
      </w:tr>
      <w:tr w:rsidR="007B7545" w14:paraId="2D824DCC" w14:textId="77777777" w:rsidTr="005D03C2">
        <w:trPr>
          <w:cantSplit/>
        </w:trPr>
        <w:tc>
          <w:tcPr>
            <w:tcW w:w="4680" w:type="dxa"/>
          </w:tcPr>
          <w:p w14:paraId="71EF76C3" w14:textId="77777777" w:rsidR="007B7545" w:rsidRPr="00DB29EF" w:rsidRDefault="007B7545" w:rsidP="005D03C2">
            <w:pPr>
              <w:pStyle w:val="ListParagraph"/>
              <w:numPr>
                <w:ilvl w:val="0"/>
                <w:numId w:val="1"/>
              </w:numPr>
              <w:spacing w:before="20" w:after="40" w:line="276" w:lineRule="auto"/>
              <w:ind w:left="284" w:hanging="227"/>
              <w:contextualSpacing w:val="0"/>
              <w:rPr>
                <w:rFonts w:ascii="Arial" w:hAnsi="Arial" w:cs="Arial"/>
              </w:rPr>
            </w:pPr>
            <w:r w:rsidRPr="00DB29EF">
              <w:rPr>
                <w:rFonts w:ascii="Arial" w:hAnsi="Arial" w:cs="Arial"/>
                <w:sz w:val="20"/>
                <w:szCs w:val="20"/>
              </w:rPr>
              <w:t>Shared digital support roles across groups of practices</w:t>
            </w:r>
          </w:p>
          <w:p w14:paraId="0AABFE52" w14:textId="77777777" w:rsidR="007B7545" w:rsidRPr="00DB29EF" w:rsidRDefault="007B7545" w:rsidP="005D03C2">
            <w:pPr>
              <w:pStyle w:val="ListParagraph"/>
              <w:numPr>
                <w:ilvl w:val="0"/>
                <w:numId w:val="1"/>
              </w:numPr>
              <w:spacing w:before="20" w:after="40" w:line="276" w:lineRule="auto"/>
              <w:ind w:left="284" w:hanging="227"/>
              <w:contextualSpacing w:val="0"/>
              <w:rPr>
                <w:rFonts w:ascii="Arial" w:hAnsi="Arial" w:cs="Arial"/>
              </w:rPr>
            </w:pPr>
            <w:r w:rsidRPr="00DB29EF">
              <w:rPr>
                <w:rFonts w:ascii="Arial" w:hAnsi="Arial" w:cs="Arial"/>
                <w:sz w:val="20"/>
                <w:szCs w:val="20"/>
              </w:rPr>
              <w:t>Training linked to the What Good Looks Like workforce measure (DHSC, 2023)</w:t>
            </w:r>
          </w:p>
        </w:tc>
        <w:tc>
          <w:tcPr>
            <w:tcW w:w="4680" w:type="dxa"/>
          </w:tcPr>
          <w:p w14:paraId="03483D6D" w14:textId="77777777" w:rsidR="007B7545" w:rsidRPr="00DB29EF" w:rsidRDefault="007B7545" w:rsidP="005D03C2">
            <w:pPr>
              <w:pStyle w:val="ListParagraph"/>
              <w:numPr>
                <w:ilvl w:val="0"/>
                <w:numId w:val="1"/>
              </w:numPr>
              <w:spacing w:before="20" w:after="40" w:line="276" w:lineRule="auto"/>
              <w:ind w:left="284" w:hanging="227"/>
              <w:contextualSpacing w:val="0"/>
              <w:rPr>
                <w:rFonts w:ascii="Arial" w:hAnsi="Arial" w:cs="Arial"/>
              </w:rPr>
            </w:pPr>
            <w:r w:rsidRPr="00DB29EF">
              <w:rPr>
                <w:rFonts w:ascii="Arial" w:hAnsi="Arial" w:cs="Arial"/>
                <w:sz w:val="20"/>
                <w:szCs w:val="20"/>
              </w:rPr>
              <w:t>Rising online demand: 74% of practices report more workload (BMA, 2026)</w:t>
            </w:r>
          </w:p>
          <w:p w14:paraId="05692377" w14:textId="77777777" w:rsidR="007B7545" w:rsidRPr="00DB29EF" w:rsidRDefault="007B7545" w:rsidP="005D03C2">
            <w:pPr>
              <w:pStyle w:val="ListParagraph"/>
              <w:numPr>
                <w:ilvl w:val="0"/>
                <w:numId w:val="1"/>
              </w:numPr>
              <w:spacing w:before="20" w:after="40" w:line="276" w:lineRule="auto"/>
              <w:ind w:left="284" w:hanging="227"/>
              <w:contextualSpacing w:val="0"/>
              <w:rPr>
                <w:rFonts w:ascii="Arial" w:hAnsi="Arial" w:cs="Arial"/>
              </w:rPr>
            </w:pPr>
            <w:r w:rsidRPr="00DB29EF">
              <w:rPr>
                <w:rFonts w:ascii="Arial" w:hAnsi="Arial" w:cs="Arial"/>
                <w:sz w:val="20"/>
                <w:szCs w:val="20"/>
              </w:rPr>
              <w:t>Urgent problems arriving through routine online routes (BMA, 2026)</w:t>
            </w:r>
          </w:p>
        </w:tc>
      </w:tr>
    </w:tbl>
    <w:p w14:paraId="7AEF531A" w14:textId="77777777" w:rsidR="007B7545" w:rsidRPr="00DB29EF" w:rsidRDefault="007B7545" w:rsidP="007B7545">
      <w:pPr>
        <w:spacing w:after="0" w:line="240" w:lineRule="auto"/>
      </w:pPr>
    </w:p>
    <w:p w14:paraId="4A5412C1" w14:textId="77777777" w:rsidR="007B7545" w:rsidRPr="00DB29EF" w:rsidRDefault="007B7545" w:rsidP="007B7545">
      <w:pPr>
        <w:spacing w:line="360" w:lineRule="auto"/>
        <w:jc w:val="both"/>
        <w:rPr>
          <w:rFonts w:ascii="Arial" w:hAnsi="Arial" w:cs="Arial"/>
        </w:rPr>
      </w:pPr>
      <w:r w:rsidRPr="00DB29EF">
        <w:rPr>
          <w:rFonts w:ascii="Arial" w:hAnsi="Arial" w:cs="Arial"/>
        </w:rPr>
        <w:t>Table 1 reveals that the strengths for staff are mainly administrative, while the weaknesses and threats concern training and workload. The weaknesses are internal and can be fixed through training and protected time, but the threats come from contract rules and rising demand that practices cannot control.</w:t>
      </w:r>
    </w:p>
    <w:p w14:paraId="1660538D" w14:textId="77777777" w:rsidR="007B7545" w:rsidRPr="00946184" w:rsidRDefault="007B7545" w:rsidP="007B7545">
      <w:pPr>
        <w:spacing w:line="360" w:lineRule="auto"/>
        <w:rPr>
          <w:rFonts w:ascii="Arial" w:hAnsi="Arial" w:cs="Arial"/>
          <w:b/>
        </w:rPr>
      </w:pPr>
      <w:r w:rsidRPr="00946184">
        <w:rPr>
          <w:rFonts w:ascii="Arial" w:hAnsi="Arial" w:cs="Arial"/>
          <w:b/>
        </w:rPr>
        <w:t>3. Impact on Patients and Service Users</w:t>
      </w:r>
    </w:p>
    <w:p w14:paraId="08720F1C" w14:textId="77777777" w:rsidR="007B7545" w:rsidRPr="00946184" w:rsidRDefault="007B7545" w:rsidP="007B7545">
      <w:pPr>
        <w:spacing w:line="360" w:lineRule="auto"/>
        <w:jc w:val="both"/>
        <w:rPr>
          <w:rFonts w:ascii="Arial" w:hAnsi="Arial" w:cs="Arial"/>
        </w:rPr>
      </w:pPr>
      <w:r w:rsidRPr="00946184">
        <w:rPr>
          <w:rFonts w:ascii="Arial" w:hAnsi="Arial" w:cs="Arial"/>
        </w:rPr>
        <w:t>The NHS App made it easier and quicker for many patients to carry out everyday health-related tasks. In August 2026 alone, 7.6 million repeat prescriptions were placed using the app, which was 27% higher than the number placed at the same time the previous year (NHS England Digital, 2026). With the app, patients can carry out this action at any time without having to wait on the phone. A study involving patients showed that simple functions such as ordering prescriptions provided the greatest benefit, and that viewing their own records gave many people a greater sense of control and enabled them to keep the health services accountable (</w:t>
      </w:r>
      <w:proofErr w:type="spellStart"/>
      <w:r w:rsidRPr="00946184">
        <w:rPr>
          <w:rFonts w:ascii="Arial" w:hAnsi="Arial" w:cs="Arial"/>
        </w:rPr>
        <w:t>Reidy</w:t>
      </w:r>
      <w:proofErr w:type="spellEnd"/>
      <w:r w:rsidRPr="00946184">
        <w:rPr>
          <w:rFonts w:ascii="Arial" w:hAnsi="Arial" w:cs="Arial"/>
        </w:rPr>
        <w:t xml:space="preserve"> et al., 2025). Fingerprint and face login were also regarded as valuable, particularly by those who had health conditions they wanted to keep private (</w:t>
      </w:r>
      <w:proofErr w:type="spellStart"/>
      <w:r w:rsidRPr="00946184">
        <w:rPr>
          <w:rFonts w:ascii="Arial" w:hAnsi="Arial" w:cs="Arial"/>
        </w:rPr>
        <w:t>Reidy</w:t>
      </w:r>
      <w:proofErr w:type="spellEnd"/>
      <w:r w:rsidRPr="00946184">
        <w:rPr>
          <w:rFonts w:ascii="Arial" w:hAnsi="Arial" w:cs="Arial"/>
        </w:rPr>
        <w:t xml:space="preserve"> et al., 2025).</w:t>
      </w:r>
    </w:p>
    <w:p w14:paraId="1ABA5235"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The patient experience, however, is highly inconsistent. The app mainly acts as a means of gaining access to each general practice's own computer system, and it is up to each practice to choose which features to enable. Consequently, two </w:t>
      </w:r>
      <w:proofErr w:type="spellStart"/>
      <w:r w:rsidRPr="00946184">
        <w:rPr>
          <w:rFonts w:ascii="Arial" w:hAnsi="Arial" w:cs="Arial"/>
        </w:rPr>
        <w:t>neighbours</w:t>
      </w:r>
      <w:proofErr w:type="spellEnd"/>
      <w:r w:rsidRPr="00946184">
        <w:rPr>
          <w:rFonts w:ascii="Arial" w:hAnsi="Arial" w:cs="Arial"/>
        </w:rPr>
        <w:t xml:space="preserve"> who have registered with different practices can end up receiving very different services (</w:t>
      </w:r>
      <w:proofErr w:type="spellStart"/>
      <w:r w:rsidRPr="00946184">
        <w:rPr>
          <w:rFonts w:ascii="Arial" w:hAnsi="Arial" w:cs="Arial"/>
        </w:rPr>
        <w:t>Reidy</w:t>
      </w:r>
      <w:proofErr w:type="spellEnd"/>
      <w:r w:rsidRPr="00946184">
        <w:rPr>
          <w:rFonts w:ascii="Arial" w:hAnsi="Arial" w:cs="Arial"/>
        </w:rPr>
        <w:t xml:space="preserve"> et al., 2025). The information in the records frequently appears in coded, technical language which patients find difficult to understand. People whose care is mostly provided in hospitals found that a great deal of their information was missing from the app (</w:t>
      </w:r>
      <w:proofErr w:type="spellStart"/>
      <w:r w:rsidRPr="00946184">
        <w:rPr>
          <w:rFonts w:ascii="Arial" w:hAnsi="Arial" w:cs="Arial"/>
        </w:rPr>
        <w:t>Reidy</w:t>
      </w:r>
      <w:proofErr w:type="spellEnd"/>
      <w:r w:rsidRPr="00946184">
        <w:rPr>
          <w:rFonts w:ascii="Arial" w:hAnsi="Arial" w:cs="Arial"/>
        </w:rPr>
        <w:t xml:space="preserve"> et al., 2025). The comprehensive national evaluation showed that patients mainly cared for by their general practitioner were more likely to </w:t>
      </w:r>
      <w:r w:rsidRPr="00946184">
        <w:rPr>
          <w:rFonts w:ascii="Arial" w:hAnsi="Arial" w:cs="Arial"/>
        </w:rPr>
        <w:lastRenderedPageBreak/>
        <w:t xml:space="preserve">find the app useful than those cared for by hospital specialists (Greaves et al., 2026). In a similar way, a survey carried out by </w:t>
      </w:r>
      <w:proofErr w:type="spellStart"/>
      <w:r w:rsidRPr="00946184">
        <w:rPr>
          <w:rFonts w:ascii="Arial" w:hAnsi="Arial" w:cs="Arial"/>
        </w:rPr>
        <w:t>Healthwatch</w:t>
      </w:r>
      <w:proofErr w:type="spellEnd"/>
      <w:r w:rsidRPr="00946184">
        <w:rPr>
          <w:rFonts w:ascii="Arial" w:hAnsi="Arial" w:cs="Arial"/>
        </w:rPr>
        <w:t xml:space="preserve"> Oxfordshire (2025) found that missing or incorrect information in the records caused patients to place less trust in the app. This demonstrates a clear discrepancy between the policy commitment to having "one front door" and the actual situation in the NHS where information remains divided among different services.</w:t>
      </w:r>
    </w:p>
    <w:p w14:paraId="78F07518" w14:textId="77777777" w:rsidR="007B7545" w:rsidRPr="00946184" w:rsidRDefault="007B7545" w:rsidP="007B7545">
      <w:pPr>
        <w:spacing w:line="360" w:lineRule="auto"/>
        <w:jc w:val="both"/>
        <w:rPr>
          <w:rFonts w:ascii="Arial" w:hAnsi="Arial" w:cs="Arial"/>
        </w:rPr>
      </w:pPr>
      <w:r w:rsidRPr="00946184">
        <w:rPr>
          <w:rFonts w:ascii="Arial" w:hAnsi="Arial" w:cs="Arial"/>
        </w:rPr>
        <w:t>Privacy is also a major point of concern. According to the UK General Data Protection Regulation (UK GDPR) and the Data Protection Act 2018, health information is classified as "special category" data and must therefore be processed in a lawful, fair and secure manner. Since this is the case, accessing records online comes with certain responsibilities and advantages. Members of the practice were worried that the technical records might confuse or distress patients and had raised safeguarding issues about the possibility of things being seen (</w:t>
      </w:r>
      <w:proofErr w:type="spellStart"/>
      <w:r w:rsidRPr="00946184">
        <w:rPr>
          <w:rFonts w:ascii="Arial" w:hAnsi="Arial" w:cs="Arial"/>
        </w:rPr>
        <w:t>Reidy</w:t>
      </w:r>
      <w:proofErr w:type="spellEnd"/>
      <w:r w:rsidRPr="00946184">
        <w:rPr>
          <w:rFonts w:ascii="Arial" w:hAnsi="Arial" w:cs="Arial"/>
        </w:rPr>
        <w:t xml:space="preserve"> et al., 2025). This is one of the reasons why full access to the records has been such a controversial feature of the app.</w:t>
      </w:r>
    </w:p>
    <w:p w14:paraId="3BC9229D"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In the end, people are using the app in a much more restricted manner than the policy indicates. A survey carried out by 19 local </w:t>
      </w:r>
      <w:proofErr w:type="spellStart"/>
      <w:r w:rsidRPr="00946184">
        <w:rPr>
          <w:rFonts w:ascii="Arial" w:hAnsi="Arial" w:cs="Arial"/>
        </w:rPr>
        <w:t>Healthwatch</w:t>
      </w:r>
      <w:proofErr w:type="spellEnd"/>
      <w:r w:rsidRPr="00946184">
        <w:rPr>
          <w:rFonts w:ascii="Arial" w:hAnsi="Arial" w:cs="Arial"/>
        </w:rPr>
        <w:t xml:space="preserve"> groups and involving 1,709 people showed that the majority of users used the app in a passive way, for instance by looking at their records or messages, rather than actively managing their health. Many people continued to prefer talking to a human being (Local </w:t>
      </w:r>
      <w:proofErr w:type="spellStart"/>
      <w:r w:rsidRPr="00946184">
        <w:rPr>
          <w:rFonts w:ascii="Arial" w:hAnsi="Arial" w:cs="Arial"/>
        </w:rPr>
        <w:t>Healthwatch</w:t>
      </w:r>
      <w:proofErr w:type="spellEnd"/>
      <w:r w:rsidRPr="00946184">
        <w:rPr>
          <w:rFonts w:ascii="Arial" w:hAnsi="Arial" w:cs="Arial"/>
        </w:rPr>
        <w:t>, 2026). Overall, the app does indeed make things more convenient for confident users who have regular needs, but it has not yet resulted in the fully 'empowered' patient that the national policy speaks of</w:t>
      </w:r>
      <w:r>
        <w:rPr>
          <w:rFonts w:ascii="Arial" w:hAnsi="Arial" w:cs="Arial"/>
        </w:rPr>
        <w:t>.</w:t>
      </w:r>
    </w:p>
    <w:p w14:paraId="2E41B57B" w14:textId="77777777" w:rsidR="007B7545" w:rsidRPr="00E8184A" w:rsidRDefault="007B7545" w:rsidP="007B7545">
      <w:pPr>
        <w:spacing w:line="360" w:lineRule="auto"/>
        <w:jc w:val="both"/>
        <w:rPr>
          <w:rFonts w:ascii="Arial" w:hAnsi="Arial" w:cs="Arial"/>
        </w:rPr>
      </w:pPr>
      <w:r w:rsidRPr="00E8184A">
        <w:rPr>
          <w:rFonts w:ascii="Arial" w:hAnsi="Arial" w:cs="Arial"/>
        </w:rPr>
        <w:t xml:space="preserve">Access fairness for service users is the most serious concern. Approximately 10 million UK adults are not digitally skilled (NHS England, 2023), and app registration was 25% lower in the most deprived GP practices (KC et al., 2023). Use also falls sharply among older adults, who most need care (Local </w:t>
      </w:r>
      <w:proofErr w:type="spellStart"/>
      <w:r w:rsidRPr="00E8184A">
        <w:rPr>
          <w:rFonts w:ascii="Arial" w:hAnsi="Arial" w:cs="Arial"/>
        </w:rPr>
        <w:t>Healthwatch</w:t>
      </w:r>
      <w:proofErr w:type="spellEnd"/>
      <w:r w:rsidRPr="00E8184A">
        <w:rPr>
          <w:rFonts w:ascii="Arial" w:hAnsi="Arial" w:cs="Arial"/>
        </w:rPr>
        <w:t>, 2026). This reflects Hart's (1971) 'inverse care law', where those with the greatest need receive the least care, now in a digital form. However, this evidence uses practice-level rather than individual data, so it cannot prove exactly who is left out (Greaves et al., 2026). The risk grows as the NHS now sends messages through the app first (DHSC, 2025b), since only 42% of app messages were read within 24 hours in August 2026 (NHS England Digital, 2026).</w:t>
      </w:r>
    </w:p>
    <w:p w14:paraId="4C1A099A" w14:textId="77777777" w:rsidR="000412B7" w:rsidRDefault="000412B7" w:rsidP="007B7545">
      <w:pPr>
        <w:keepNext/>
        <w:spacing w:before="120" w:after="80" w:line="360" w:lineRule="auto"/>
        <w:rPr>
          <w:rFonts w:ascii="Arial" w:hAnsi="Arial" w:cs="Arial"/>
          <w:b/>
        </w:rPr>
      </w:pPr>
    </w:p>
    <w:p w14:paraId="29DBFE5C" w14:textId="197F84E5" w:rsidR="007B7545" w:rsidRDefault="007B7545" w:rsidP="007B7545">
      <w:pPr>
        <w:keepNext/>
        <w:spacing w:before="120" w:after="80" w:line="360" w:lineRule="auto"/>
        <w:rPr>
          <w:rFonts w:ascii="Arial" w:hAnsi="Arial" w:cs="Arial"/>
          <w:b/>
        </w:rPr>
      </w:pPr>
      <w:r>
        <w:rPr>
          <w:rFonts w:ascii="Arial" w:hAnsi="Arial" w:cs="Arial"/>
          <w:b/>
        </w:rPr>
        <w:t>Table 2: SWOT analysis of the NHS App's impact on patients and service users</w:t>
      </w:r>
    </w:p>
    <w:tbl>
      <w:tblPr>
        <w:tblW w:w="9360"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CellMar>
          <w:left w:w="100" w:type="dxa"/>
          <w:right w:w="100" w:type="dxa"/>
        </w:tblCellMar>
        <w:tblLook w:val="04A0" w:firstRow="1" w:lastRow="0" w:firstColumn="1" w:lastColumn="0" w:noHBand="0" w:noVBand="1"/>
      </w:tblPr>
      <w:tblGrid>
        <w:gridCol w:w="4680"/>
        <w:gridCol w:w="4680"/>
      </w:tblGrid>
      <w:tr w:rsidR="007B7545" w14:paraId="44F16D01" w14:textId="77777777" w:rsidTr="005D03C2">
        <w:trPr>
          <w:cantSplit/>
        </w:trPr>
        <w:tc>
          <w:tcPr>
            <w:tcW w:w="4680" w:type="dxa"/>
            <w:shd w:val="clear" w:color="auto" w:fill="DCE6F1"/>
          </w:tcPr>
          <w:p w14:paraId="77B9DE9E" w14:textId="77777777" w:rsidR="007B7545" w:rsidRDefault="007B7545" w:rsidP="005D03C2">
            <w:pPr>
              <w:spacing w:before="40" w:after="40" w:line="276" w:lineRule="auto"/>
              <w:rPr>
                <w:rFonts w:ascii="Arial" w:hAnsi="Arial" w:cs="Arial"/>
                <w:b/>
              </w:rPr>
            </w:pPr>
            <w:r>
              <w:rPr>
                <w:rFonts w:ascii="Arial" w:hAnsi="Arial" w:cs="Arial"/>
                <w:b/>
              </w:rPr>
              <w:t>Strengths (internal)</w:t>
            </w:r>
          </w:p>
        </w:tc>
        <w:tc>
          <w:tcPr>
            <w:tcW w:w="4680" w:type="dxa"/>
            <w:shd w:val="clear" w:color="auto" w:fill="DCE6F1"/>
          </w:tcPr>
          <w:p w14:paraId="309E5361" w14:textId="77777777" w:rsidR="007B7545" w:rsidRDefault="007B7545" w:rsidP="005D03C2">
            <w:pPr>
              <w:spacing w:before="40" w:after="40" w:line="276" w:lineRule="auto"/>
              <w:rPr>
                <w:rFonts w:ascii="Arial" w:hAnsi="Arial" w:cs="Arial"/>
                <w:b/>
              </w:rPr>
            </w:pPr>
            <w:r>
              <w:rPr>
                <w:rFonts w:ascii="Arial" w:hAnsi="Arial" w:cs="Arial"/>
                <w:b/>
              </w:rPr>
              <w:t>Weaknesses (internal)</w:t>
            </w:r>
          </w:p>
        </w:tc>
      </w:tr>
      <w:tr w:rsidR="007B7545" w14:paraId="33407BB7" w14:textId="77777777" w:rsidTr="005D03C2">
        <w:trPr>
          <w:cantSplit/>
        </w:trPr>
        <w:tc>
          <w:tcPr>
            <w:tcW w:w="4680" w:type="dxa"/>
          </w:tcPr>
          <w:p w14:paraId="7CEFA51D" w14:textId="77777777" w:rsidR="007B7545" w:rsidRPr="00C43D6C" w:rsidRDefault="007B7545" w:rsidP="005D03C2">
            <w:pPr>
              <w:pStyle w:val="ListParagraph"/>
              <w:numPr>
                <w:ilvl w:val="0"/>
                <w:numId w:val="1"/>
              </w:numPr>
              <w:spacing w:before="20" w:after="40" w:line="276" w:lineRule="auto"/>
              <w:ind w:left="284" w:hanging="227"/>
              <w:contextualSpacing w:val="0"/>
              <w:rPr>
                <w:rFonts w:ascii="Arial" w:hAnsi="Arial" w:cs="Arial"/>
              </w:rPr>
            </w:pPr>
            <w:r w:rsidRPr="00C43D6C">
              <w:rPr>
                <w:rFonts w:ascii="Arial" w:hAnsi="Arial" w:cs="Arial"/>
                <w:sz w:val="20"/>
                <w:szCs w:val="20"/>
              </w:rPr>
              <w:t>7.6 million prescriptions ordered in one month (NHS England Digital, 2026)</w:t>
            </w:r>
          </w:p>
          <w:p w14:paraId="109E3D01" w14:textId="77777777" w:rsidR="007B7545" w:rsidRPr="00C43D6C" w:rsidRDefault="007B7545" w:rsidP="005D03C2">
            <w:pPr>
              <w:pStyle w:val="ListParagraph"/>
              <w:numPr>
                <w:ilvl w:val="0"/>
                <w:numId w:val="1"/>
              </w:numPr>
              <w:spacing w:before="20" w:after="40" w:line="276" w:lineRule="auto"/>
              <w:ind w:left="284" w:hanging="227"/>
              <w:contextualSpacing w:val="0"/>
              <w:rPr>
                <w:rFonts w:ascii="Arial" w:hAnsi="Arial" w:cs="Arial"/>
              </w:rPr>
            </w:pPr>
            <w:r w:rsidRPr="00C43D6C">
              <w:rPr>
                <w:rFonts w:ascii="Arial" w:hAnsi="Arial" w:cs="Arial"/>
                <w:sz w:val="20"/>
                <w:szCs w:val="20"/>
              </w:rPr>
              <w:t>Record access and secure login give a sense of control (</w:t>
            </w:r>
            <w:proofErr w:type="spellStart"/>
            <w:r w:rsidRPr="00C43D6C">
              <w:rPr>
                <w:rFonts w:ascii="Arial" w:hAnsi="Arial" w:cs="Arial"/>
                <w:sz w:val="20"/>
                <w:szCs w:val="20"/>
              </w:rPr>
              <w:t>Reidy</w:t>
            </w:r>
            <w:proofErr w:type="spellEnd"/>
            <w:r w:rsidRPr="00C43D6C">
              <w:rPr>
                <w:rFonts w:ascii="Arial" w:hAnsi="Arial" w:cs="Arial"/>
                <w:sz w:val="20"/>
                <w:szCs w:val="20"/>
              </w:rPr>
              <w:t xml:space="preserve"> et al., 2025)</w:t>
            </w:r>
          </w:p>
        </w:tc>
        <w:tc>
          <w:tcPr>
            <w:tcW w:w="4680" w:type="dxa"/>
          </w:tcPr>
          <w:p w14:paraId="2196FF65" w14:textId="77777777" w:rsidR="007B7545" w:rsidRPr="00C43D6C" w:rsidRDefault="007B7545" w:rsidP="005D03C2">
            <w:pPr>
              <w:pStyle w:val="ListParagraph"/>
              <w:numPr>
                <w:ilvl w:val="0"/>
                <w:numId w:val="1"/>
              </w:numPr>
              <w:spacing w:before="20" w:after="40" w:line="276" w:lineRule="auto"/>
              <w:ind w:left="284" w:hanging="227"/>
              <w:contextualSpacing w:val="0"/>
              <w:rPr>
                <w:rFonts w:ascii="Arial" w:hAnsi="Arial" w:cs="Arial"/>
              </w:rPr>
            </w:pPr>
            <w:r w:rsidRPr="00C43D6C">
              <w:rPr>
                <w:rFonts w:ascii="Arial" w:hAnsi="Arial" w:cs="Arial"/>
                <w:sz w:val="20"/>
                <w:szCs w:val="20"/>
              </w:rPr>
              <w:t>Features differ by practice</w:t>
            </w:r>
            <w:r>
              <w:rPr>
                <w:rFonts w:ascii="Arial" w:hAnsi="Arial" w:cs="Arial"/>
                <w:sz w:val="20"/>
                <w:szCs w:val="20"/>
              </w:rPr>
              <w:t>,</w:t>
            </w:r>
            <w:r w:rsidRPr="00C43D6C">
              <w:rPr>
                <w:rFonts w:ascii="Arial" w:hAnsi="Arial" w:cs="Arial"/>
                <w:sz w:val="20"/>
                <w:szCs w:val="20"/>
              </w:rPr>
              <w:t xml:space="preserve"> and records use coded language (</w:t>
            </w:r>
            <w:proofErr w:type="spellStart"/>
            <w:r w:rsidRPr="00C43D6C">
              <w:rPr>
                <w:rFonts w:ascii="Arial" w:hAnsi="Arial" w:cs="Arial"/>
                <w:sz w:val="20"/>
                <w:szCs w:val="20"/>
              </w:rPr>
              <w:t>Reidy</w:t>
            </w:r>
            <w:proofErr w:type="spellEnd"/>
            <w:r w:rsidRPr="00C43D6C">
              <w:rPr>
                <w:rFonts w:ascii="Arial" w:hAnsi="Arial" w:cs="Arial"/>
                <w:sz w:val="20"/>
                <w:szCs w:val="20"/>
              </w:rPr>
              <w:t xml:space="preserve"> et al., 2025)</w:t>
            </w:r>
          </w:p>
          <w:p w14:paraId="38D089BA" w14:textId="77777777" w:rsidR="007B7545" w:rsidRPr="00C43D6C" w:rsidRDefault="007B7545" w:rsidP="005D03C2">
            <w:pPr>
              <w:pStyle w:val="ListParagraph"/>
              <w:numPr>
                <w:ilvl w:val="0"/>
                <w:numId w:val="1"/>
              </w:numPr>
              <w:spacing w:before="20" w:after="40" w:line="276" w:lineRule="auto"/>
              <w:ind w:left="284" w:hanging="227"/>
              <w:contextualSpacing w:val="0"/>
              <w:rPr>
                <w:rFonts w:ascii="Arial" w:hAnsi="Arial" w:cs="Arial"/>
              </w:rPr>
            </w:pPr>
            <w:r w:rsidRPr="00C43D6C">
              <w:rPr>
                <w:rFonts w:ascii="Arial" w:hAnsi="Arial" w:cs="Arial"/>
                <w:sz w:val="20"/>
                <w:szCs w:val="20"/>
              </w:rPr>
              <w:t>Hospital information often missing (Greaves et al., 2026)</w:t>
            </w:r>
          </w:p>
        </w:tc>
      </w:tr>
      <w:tr w:rsidR="007B7545" w14:paraId="5F01745A" w14:textId="77777777" w:rsidTr="005D03C2">
        <w:trPr>
          <w:cantSplit/>
        </w:trPr>
        <w:tc>
          <w:tcPr>
            <w:tcW w:w="4680" w:type="dxa"/>
            <w:shd w:val="clear" w:color="auto" w:fill="DCE6F1"/>
          </w:tcPr>
          <w:p w14:paraId="4BD6D879" w14:textId="77777777" w:rsidR="007B7545" w:rsidRDefault="007B7545" w:rsidP="005D03C2">
            <w:pPr>
              <w:spacing w:before="40" w:after="40" w:line="276" w:lineRule="auto"/>
              <w:rPr>
                <w:rFonts w:ascii="Arial" w:hAnsi="Arial" w:cs="Arial"/>
                <w:b/>
              </w:rPr>
            </w:pPr>
            <w:r>
              <w:rPr>
                <w:rFonts w:ascii="Arial" w:hAnsi="Arial" w:cs="Arial"/>
                <w:b/>
              </w:rPr>
              <w:t>Opportunities (external)</w:t>
            </w:r>
          </w:p>
        </w:tc>
        <w:tc>
          <w:tcPr>
            <w:tcW w:w="4680" w:type="dxa"/>
            <w:shd w:val="clear" w:color="auto" w:fill="DCE6F1"/>
          </w:tcPr>
          <w:p w14:paraId="0C3B6E41" w14:textId="77777777" w:rsidR="007B7545" w:rsidRDefault="007B7545" w:rsidP="005D03C2">
            <w:pPr>
              <w:spacing w:before="40" w:after="40" w:line="276" w:lineRule="auto"/>
              <w:rPr>
                <w:rFonts w:ascii="Arial" w:hAnsi="Arial" w:cs="Arial"/>
                <w:b/>
              </w:rPr>
            </w:pPr>
            <w:r>
              <w:rPr>
                <w:rFonts w:ascii="Arial" w:hAnsi="Arial" w:cs="Arial"/>
                <w:b/>
              </w:rPr>
              <w:t>Threats (external)</w:t>
            </w:r>
          </w:p>
        </w:tc>
      </w:tr>
      <w:tr w:rsidR="007B7545" w14:paraId="50B38BBD" w14:textId="77777777" w:rsidTr="005D03C2">
        <w:trPr>
          <w:cantSplit/>
        </w:trPr>
        <w:tc>
          <w:tcPr>
            <w:tcW w:w="4680" w:type="dxa"/>
          </w:tcPr>
          <w:p w14:paraId="55D97823" w14:textId="77777777" w:rsidR="007B7545" w:rsidRPr="00C43D6C" w:rsidRDefault="007B7545" w:rsidP="005D03C2">
            <w:pPr>
              <w:pStyle w:val="ListParagraph"/>
              <w:numPr>
                <w:ilvl w:val="0"/>
                <w:numId w:val="1"/>
              </w:numPr>
              <w:spacing w:before="20" w:after="40" w:line="276" w:lineRule="auto"/>
              <w:ind w:left="284" w:hanging="227"/>
              <w:contextualSpacing w:val="0"/>
              <w:rPr>
                <w:rFonts w:ascii="Arial" w:hAnsi="Arial" w:cs="Arial"/>
              </w:rPr>
            </w:pPr>
            <w:r w:rsidRPr="00C43D6C">
              <w:rPr>
                <w:rFonts w:ascii="Arial" w:hAnsi="Arial" w:cs="Arial"/>
                <w:sz w:val="20"/>
                <w:szCs w:val="20"/>
              </w:rPr>
              <w:t>A full front door and single record by 2028 (DHSC, 2025c)</w:t>
            </w:r>
          </w:p>
          <w:p w14:paraId="12E2AF95" w14:textId="77777777" w:rsidR="007B7545" w:rsidRPr="00C43D6C" w:rsidRDefault="007B7545" w:rsidP="005D03C2">
            <w:pPr>
              <w:pStyle w:val="ListParagraph"/>
              <w:numPr>
                <w:ilvl w:val="0"/>
                <w:numId w:val="1"/>
              </w:numPr>
              <w:spacing w:before="20" w:after="40" w:line="276" w:lineRule="auto"/>
              <w:ind w:left="284" w:hanging="227"/>
              <w:contextualSpacing w:val="0"/>
              <w:rPr>
                <w:rFonts w:ascii="Arial" w:hAnsi="Arial" w:cs="Arial"/>
              </w:rPr>
            </w:pPr>
            <w:r w:rsidRPr="00C43D6C">
              <w:rPr>
                <w:rFonts w:ascii="Arial" w:hAnsi="Arial" w:cs="Arial"/>
                <w:sz w:val="20"/>
                <w:szCs w:val="20"/>
              </w:rPr>
              <w:t>Plain-language records and more languages</w:t>
            </w:r>
          </w:p>
        </w:tc>
        <w:tc>
          <w:tcPr>
            <w:tcW w:w="4680" w:type="dxa"/>
          </w:tcPr>
          <w:p w14:paraId="1D76AAF1" w14:textId="77777777" w:rsidR="007B7545" w:rsidRPr="00C43D6C" w:rsidRDefault="007B7545" w:rsidP="005D03C2">
            <w:pPr>
              <w:pStyle w:val="ListParagraph"/>
              <w:numPr>
                <w:ilvl w:val="0"/>
                <w:numId w:val="1"/>
              </w:numPr>
              <w:spacing w:before="20" w:after="40" w:line="276" w:lineRule="auto"/>
              <w:ind w:left="284" w:hanging="227"/>
              <w:contextualSpacing w:val="0"/>
              <w:rPr>
                <w:rFonts w:ascii="Arial" w:hAnsi="Arial" w:cs="Arial"/>
              </w:rPr>
            </w:pPr>
            <w:r w:rsidRPr="00C43D6C">
              <w:rPr>
                <w:rFonts w:ascii="Arial" w:hAnsi="Arial" w:cs="Arial"/>
                <w:sz w:val="20"/>
                <w:szCs w:val="20"/>
              </w:rPr>
              <w:t>Digital exclusion of older and poorer groups (KC et al., 2023)</w:t>
            </w:r>
          </w:p>
          <w:p w14:paraId="6C88A1C9" w14:textId="77777777" w:rsidR="007B7545" w:rsidRPr="00C43D6C" w:rsidRDefault="007B7545" w:rsidP="005D03C2">
            <w:pPr>
              <w:pStyle w:val="ListParagraph"/>
              <w:numPr>
                <w:ilvl w:val="0"/>
                <w:numId w:val="1"/>
              </w:numPr>
              <w:spacing w:before="20" w:after="40" w:line="276" w:lineRule="auto"/>
              <w:ind w:left="284" w:hanging="227"/>
              <w:contextualSpacing w:val="0"/>
              <w:rPr>
                <w:rFonts w:ascii="Arial" w:hAnsi="Arial" w:cs="Arial"/>
              </w:rPr>
            </w:pPr>
            <w:r w:rsidRPr="00C43D6C">
              <w:rPr>
                <w:rFonts w:ascii="Arial" w:hAnsi="Arial" w:cs="Arial"/>
                <w:sz w:val="20"/>
                <w:szCs w:val="20"/>
              </w:rPr>
              <w:t>Unread messages and privacy risks under UK GDPR (NHS England Digital, 2026)</w:t>
            </w:r>
          </w:p>
        </w:tc>
      </w:tr>
    </w:tbl>
    <w:p w14:paraId="1304A4E9" w14:textId="77777777" w:rsidR="007B7545" w:rsidRDefault="007B7545" w:rsidP="007B7545">
      <w:pPr>
        <w:spacing w:after="0" w:line="240" w:lineRule="auto"/>
      </w:pPr>
    </w:p>
    <w:p w14:paraId="34372A8E" w14:textId="77777777" w:rsidR="007B7545" w:rsidRPr="00E8184A" w:rsidRDefault="007B7545" w:rsidP="007B7545">
      <w:pPr>
        <w:spacing w:line="360" w:lineRule="auto"/>
        <w:jc w:val="both"/>
        <w:rPr>
          <w:rFonts w:ascii="Arial" w:hAnsi="Arial" w:cs="Arial"/>
        </w:rPr>
      </w:pPr>
      <w:r w:rsidRPr="00E8184A">
        <w:rPr>
          <w:rFonts w:ascii="Arial" w:hAnsi="Arial" w:cs="Arial"/>
        </w:rPr>
        <w:t>Table 2 indicates the App mainly helps confident users with routine needs, while the threats fall on older, poorer and less confident users. If the 10 Year Health Plan (DHSC, 2025c) builds on current weaknesses, such as uneven features and coded records, it could widen this gap rather than close it.</w:t>
      </w:r>
    </w:p>
    <w:p w14:paraId="43684DFF" w14:textId="77777777" w:rsidR="007B7545" w:rsidRPr="00946184" w:rsidRDefault="007B7545" w:rsidP="007B7545">
      <w:pPr>
        <w:spacing w:line="360" w:lineRule="auto"/>
        <w:rPr>
          <w:rFonts w:ascii="Arial" w:hAnsi="Arial" w:cs="Arial"/>
          <w:b/>
        </w:rPr>
      </w:pPr>
      <w:r w:rsidRPr="00946184">
        <w:rPr>
          <w:rFonts w:ascii="Arial" w:hAnsi="Arial" w:cs="Arial"/>
          <w:b/>
        </w:rPr>
        <w:t>4. Conclusion and Recommendations</w:t>
      </w:r>
    </w:p>
    <w:p w14:paraId="13850342"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The NHS App is successful scale-wise, with over 39 million registered users (NHS England Digital, 2026). It saves time on routine tasks, gives many patients more control over their care, and offers a fast way to send public health messages. However, its benefits are not shared equally. Staff have taken on new tasks without enough training, claimed time savings are uncertain, features differ between practices, and older people, poorer people, or less confident online </w:t>
      </w:r>
      <w:r>
        <w:rPr>
          <w:rFonts w:ascii="Arial" w:hAnsi="Arial" w:cs="Arial"/>
        </w:rPr>
        <w:t xml:space="preserve">users </w:t>
      </w:r>
      <w:r w:rsidRPr="00946184">
        <w:rPr>
          <w:rFonts w:ascii="Arial" w:hAnsi="Arial" w:cs="Arial"/>
        </w:rPr>
        <w:t xml:space="preserve">benefit least. </w:t>
      </w:r>
      <w:r w:rsidRPr="00056770">
        <w:rPr>
          <w:rFonts w:ascii="Arial" w:hAnsi="Arial" w:cs="Arial"/>
        </w:rPr>
        <w:t>The SWOT reveals that administrative support is a strength, while the rising workload and digital exclusion pose threats that lie largely outside individual practices.</w:t>
      </w:r>
      <w:r>
        <w:rPr>
          <w:rFonts w:ascii="Arial" w:hAnsi="Arial" w:cs="Arial"/>
          <w:b/>
        </w:rPr>
        <w:t xml:space="preserve"> </w:t>
      </w:r>
      <w:r>
        <w:rPr>
          <w:rFonts w:ascii="Arial" w:hAnsi="Arial" w:cs="Arial"/>
        </w:rPr>
        <w:t>To address the identified challenges with the app, the NHS should do the following:</w:t>
      </w:r>
    </w:p>
    <w:p w14:paraId="70DAC9B9" w14:textId="77777777" w:rsidR="007B7545" w:rsidRPr="00946184" w:rsidRDefault="007B7545" w:rsidP="007B7545">
      <w:pPr>
        <w:pStyle w:val="ListParagraph"/>
        <w:numPr>
          <w:ilvl w:val="0"/>
          <w:numId w:val="2"/>
        </w:numPr>
        <w:spacing w:line="360" w:lineRule="auto"/>
        <w:jc w:val="both"/>
        <w:rPr>
          <w:rFonts w:ascii="Arial" w:hAnsi="Arial" w:cs="Arial"/>
        </w:rPr>
      </w:pPr>
      <w:r w:rsidRPr="00946184">
        <w:rPr>
          <w:rFonts w:ascii="Arial" w:hAnsi="Arial" w:cs="Arial"/>
        </w:rPr>
        <w:t>Practices should receive funded time and training for staff who help patients use the app. The main barrier is cost and staff shortages. Integrated care boards could reduce this by funding shared digital support roles across groups of practices.</w:t>
      </w:r>
      <w:r>
        <w:rPr>
          <w:rFonts w:ascii="Arial" w:hAnsi="Arial" w:cs="Arial"/>
          <w:b/>
        </w:rPr>
        <w:t xml:space="preserve"> </w:t>
      </w:r>
      <w:r w:rsidRPr="00974109">
        <w:rPr>
          <w:rFonts w:ascii="Arial" w:hAnsi="Arial" w:cs="Arial"/>
        </w:rPr>
        <w:t xml:space="preserve">This </w:t>
      </w:r>
      <w:r>
        <w:rPr>
          <w:rFonts w:ascii="Arial" w:hAnsi="Arial" w:cs="Arial"/>
        </w:rPr>
        <w:t>transforms</w:t>
      </w:r>
      <w:r w:rsidRPr="00974109">
        <w:rPr>
          <w:rFonts w:ascii="Arial" w:hAnsi="Arial" w:cs="Arial"/>
        </w:rPr>
        <w:t xml:space="preserve"> a workforce weakness in Table 1 into an opportunity.</w:t>
      </w:r>
    </w:p>
    <w:p w14:paraId="1479BABE" w14:textId="77777777" w:rsidR="007B7545" w:rsidRPr="00946184" w:rsidRDefault="007B7545" w:rsidP="007B7545">
      <w:pPr>
        <w:pStyle w:val="ListParagraph"/>
        <w:numPr>
          <w:ilvl w:val="0"/>
          <w:numId w:val="2"/>
        </w:numPr>
        <w:spacing w:line="360" w:lineRule="auto"/>
        <w:jc w:val="both"/>
        <w:rPr>
          <w:rFonts w:ascii="Arial" w:hAnsi="Arial" w:cs="Arial"/>
        </w:rPr>
      </w:pPr>
      <w:r w:rsidRPr="00946184">
        <w:rPr>
          <w:rFonts w:ascii="Arial" w:hAnsi="Arial" w:cs="Arial"/>
        </w:rPr>
        <w:t>Non-digital routes must remain equal in quality. Services should track who does not read app messages and ensure that letters and phone calls still reach them. This will reduce some of the expected savings, but it protects patient safety and fairness.</w:t>
      </w:r>
      <w:r>
        <w:rPr>
          <w:rFonts w:ascii="Arial" w:hAnsi="Arial" w:cs="Arial"/>
          <w:b/>
        </w:rPr>
        <w:t xml:space="preserve"> </w:t>
      </w:r>
      <w:r w:rsidRPr="00974109">
        <w:rPr>
          <w:rFonts w:ascii="Arial" w:hAnsi="Arial" w:cs="Arial"/>
        </w:rPr>
        <w:t>This addresses the digital exclusion threat.</w:t>
      </w:r>
    </w:p>
    <w:p w14:paraId="1CFDBA4E" w14:textId="77777777" w:rsidR="007B7545" w:rsidRPr="00946184" w:rsidRDefault="007B7545" w:rsidP="007B7545">
      <w:pPr>
        <w:pStyle w:val="ListParagraph"/>
        <w:numPr>
          <w:ilvl w:val="0"/>
          <w:numId w:val="2"/>
        </w:numPr>
        <w:spacing w:line="360" w:lineRule="auto"/>
        <w:jc w:val="both"/>
        <w:rPr>
          <w:rFonts w:ascii="Arial" w:hAnsi="Arial" w:cs="Arial"/>
        </w:rPr>
      </w:pPr>
      <w:r w:rsidRPr="00946184">
        <w:rPr>
          <w:rFonts w:ascii="Arial" w:hAnsi="Arial" w:cs="Arial"/>
        </w:rPr>
        <w:lastRenderedPageBreak/>
        <w:t>New features should be co-produced with staff, carers and digitally excluded groups, with plain-language records and more languages.</w:t>
      </w:r>
      <w:r w:rsidRPr="00974109">
        <w:rPr>
          <w:rFonts w:ascii="Arial" w:hAnsi="Arial" w:cs="Arial"/>
        </w:rPr>
        <w:t xml:space="preserve"> This would help the opportunities in Table 2 reach those who benefit least.</w:t>
      </w:r>
    </w:p>
    <w:p w14:paraId="4CE10D6A" w14:textId="77777777" w:rsidR="007B7545" w:rsidRPr="00073468" w:rsidRDefault="007B7545" w:rsidP="007B7545">
      <w:pPr>
        <w:pStyle w:val="ListParagraph"/>
        <w:numPr>
          <w:ilvl w:val="0"/>
          <w:numId w:val="2"/>
        </w:numPr>
        <w:spacing w:line="360" w:lineRule="auto"/>
        <w:jc w:val="both"/>
        <w:rPr>
          <w:rFonts w:ascii="Arial" w:hAnsi="Arial" w:cs="Arial"/>
        </w:rPr>
      </w:pPr>
      <w:r w:rsidRPr="00946184">
        <w:rPr>
          <w:rFonts w:ascii="Arial" w:hAnsi="Arial" w:cs="Arial"/>
        </w:rPr>
        <w:t>Claims about time saved should be checked by independent researchers, so that national policy is based on reliable evidence rather than estimates from the bodies that run the app.</w:t>
      </w:r>
    </w:p>
    <w:p w14:paraId="70CC757E" w14:textId="77777777" w:rsidR="007B7545" w:rsidRDefault="007B7545" w:rsidP="007B7545">
      <w:pPr>
        <w:rPr>
          <w:rFonts w:ascii="Arial" w:hAnsi="Arial" w:cs="Arial"/>
          <w:b/>
        </w:rPr>
      </w:pPr>
      <w:r>
        <w:rPr>
          <w:rFonts w:ascii="Arial" w:hAnsi="Arial" w:cs="Arial"/>
          <w:b/>
        </w:rPr>
        <w:br w:type="page"/>
      </w:r>
    </w:p>
    <w:p w14:paraId="6EC468BE" w14:textId="77777777" w:rsidR="007B7545" w:rsidRPr="00946184" w:rsidRDefault="007B7545" w:rsidP="007B7545">
      <w:pPr>
        <w:spacing w:line="360" w:lineRule="auto"/>
        <w:jc w:val="center"/>
        <w:rPr>
          <w:rFonts w:ascii="Arial" w:hAnsi="Arial" w:cs="Arial"/>
          <w:b/>
        </w:rPr>
      </w:pPr>
      <w:r w:rsidRPr="00946184">
        <w:rPr>
          <w:rFonts w:ascii="Arial" w:hAnsi="Arial" w:cs="Arial"/>
          <w:b/>
        </w:rPr>
        <w:lastRenderedPageBreak/>
        <w:t>Reference</w:t>
      </w:r>
      <w:r>
        <w:rPr>
          <w:rFonts w:ascii="Arial" w:hAnsi="Arial" w:cs="Arial"/>
          <w:b/>
        </w:rPr>
        <w:t>s</w:t>
      </w:r>
    </w:p>
    <w:p w14:paraId="7FF33888"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British Medical Association (BMA) (2026) </w:t>
      </w:r>
      <w:r w:rsidRPr="00946184">
        <w:rPr>
          <w:rFonts w:ascii="Arial" w:hAnsi="Arial" w:cs="Arial"/>
          <w:i/>
        </w:rPr>
        <w:t>Online consultation tools: managing patient care safely in compliance with practice contracts</w:t>
      </w:r>
      <w:r w:rsidRPr="00946184">
        <w:rPr>
          <w:rFonts w:ascii="Arial" w:hAnsi="Arial" w:cs="Arial"/>
        </w:rPr>
        <w:t>. Available at: https://www.bma.org.uk/advice-and-support/gp-practices/safe-working-and-managing-workload/online-consultation-tools-managing-patient-care-safely-in-compliance-with-practice-contracts (Accessed: 2 October 2026).</w:t>
      </w:r>
    </w:p>
    <w:p w14:paraId="30CCAED2" w14:textId="77777777" w:rsidR="007B7545" w:rsidRPr="00946184" w:rsidRDefault="007B7545" w:rsidP="007B7545">
      <w:pPr>
        <w:spacing w:line="360" w:lineRule="auto"/>
        <w:jc w:val="both"/>
        <w:rPr>
          <w:rFonts w:ascii="Arial" w:hAnsi="Arial" w:cs="Arial"/>
        </w:rPr>
      </w:pPr>
      <w:proofErr w:type="spellStart"/>
      <w:r w:rsidRPr="00946184">
        <w:rPr>
          <w:rFonts w:ascii="Arial" w:hAnsi="Arial" w:cs="Arial"/>
        </w:rPr>
        <w:t>Colivicchi</w:t>
      </w:r>
      <w:proofErr w:type="spellEnd"/>
      <w:r w:rsidRPr="00946184">
        <w:rPr>
          <w:rFonts w:ascii="Arial" w:hAnsi="Arial" w:cs="Arial"/>
        </w:rPr>
        <w:t xml:space="preserve">, A. (2025) 'NHS App saved 400,000 hours of GP time last year, NHS England claims', </w:t>
      </w:r>
      <w:r w:rsidRPr="00946184">
        <w:rPr>
          <w:rFonts w:ascii="Arial" w:hAnsi="Arial" w:cs="Arial"/>
          <w:i/>
        </w:rPr>
        <w:t>Pulse</w:t>
      </w:r>
      <w:r w:rsidRPr="00946184">
        <w:rPr>
          <w:rFonts w:ascii="Arial" w:hAnsi="Arial" w:cs="Arial"/>
        </w:rPr>
        <w:t>. Available at: https://www.pulsetoday.co.uk/news/technology/nhs-app-saved-400000-hours-of-gp-time-last-year-nhs-england-claims/ (Accessed: 2 October 2026).</w:t>
      </w:r>
    </w:p>
    <w:p w14:paraId="375B7A0B" w14:textId="77777777" w:rsidR="007B7545" w:rsidRPr="00946184" w:rsidRDefault="007B7545" w:rsidP="007B7545">
      <w:pPr>
        <w:spacing w:line="360" w:lineRule="auto"/>
        <w:jc w:val="both"/>
        <w:rPr>
          <w:rFonts w:ascii="Arial" w:hAnsi="Arial" w:cs="Arial"/>
        </w:rPr>
      </w:pPr>
      <w:r w:rsidRPr="00946184">
        <w:rPr>
          <w:rFonts w:ascii="Arial" w:hAnsi="Arial" w:cs="Arial"/>
          <w:i/>
        </w:rPr>
        <w:t>Data Protection Act 2018</w:t>
      </w:r>
      <w:r w:rsidRPr="00946184">
        <w:rPr>
          <w:rFonts w:ascii="Arial" w:hAnsi="Arial" w:cs="Arial"/>
        </w:rPr>
        <w:t>, c. 12. Available at: https://www.legislation.gov.uk/ukpga/2018/12/contents (Accessed: 2 October 2026).</w:t>
      </w:r>
    </w:p>
    <w:p w14:paraId="4B65C3F9" w14:textId="77777777" w:rsidR="007B7545" w:rsidRDefault="007B7545" w:rsidP="007B7545">
      <w:pPr>
        <w:spacing w:line="360" w:lineRule="auto"/>
        <w:jc w:val="both"/>
        <w:rPr>
          <w:rFonts w:ascii="Arial" w:hAnsi="Arial" w:cs="Arial"/>
        </w:rPr>
      </w:pPr>
      <w:r w:rsidRPr="00946184">
        <w:rPr>
          <w:rFonts w:ascii="Arial" w:hAnsi="Arial" w:cs="Arial"/>
        </w:rPr>
        <w:t xml:space="preserve">Department of Health and Social Care (DHSC) (2022) </w:t>
      </w:r>
      <w:r w:rsidRPr="00946184">
        <w:rPr>
          <w:rFonts w:ascii="Arial" w:hAnsi="Arial" w:cs="Arial"/>
          <w:i/>
        </w:rPr>
        <w:t>A plan for digital health and social care</w:t>
      </w:r>
      <w:r w:rsidRPr="00946184">
        <w:rPr>
          <w:rFonts w:ascii="Arial" w:hAnsi="Arial" w:cs="Arial"/>
        </w:rPr>
        <w:t>. Available at: https://www.gov.uk/government/publications/a-plan-for-digital-health-and-social-care (Accessed: 2 October 2026).</w:t>
      </w:r>
    </w:p>
    <w:p w14:paraId="1A1C0858" w14:textId="77777777" w:rsidR="007B7545" w:rsidRPr="00946184" w:rsidRDefault="007B7545" w:rsidP="007B7545">
      <w:pPr>
        <w:spacing w:line="360" w:lineRule="auto"/>
        <w:jc w:val="both"/>
        <w:rPr>
          <w:rFonts w:ascii="Arial" w:hAnsi="Arial" w:cs="Arial"/>
        </w:rPr>
      </w:pPr>
      <w:r w:rsidRPr="00D24D2C">
        <w:rPr>
          <w:rFonts w:ascii="Arial" w:hAnsi="Arial" w:cs="Arial"/>
        </w:rPr>
        <w:t xml:space="preserve">Department of Health and Social Care (DHSC) (2023) </w:t>
      </w:r>
      <w:r w:rsidRPr="00D24D2C">
        <w:rPr>
          <w:rFonts w:ascii="Arial" w:hAnsi="Arial" w:cs="Arial"/>
          <w:i/>
        </w:rPr>
        <w:t>Digital working in adult social care: What Good Looks Like for local authorities and care providers.</w:t>
      </w:r>
      <w:r w:rsidRPr="00D24D2C">
        <w:rPr>
          <w:rFonts w:ascii="Arial" w:hAnsi="Arial" w:cs="Arial"/>
        </w:rPr>
        <w:t xml:space="preserve"> Available at: </w:t>
      </w:r>
      <w:hyperlink r:id="rId7" w:history="1">
        <w:r w:rsidRPr="00105CF4">
          <w:rPr>
            <w:rStyle w:val="Hyperlink"/>
            <w:rFonts w:ascii="Arial" w:hAnsi="Arial" w:cs="Arial"/>
          </w:rPr>
          <w:t>https://www.gov.uk/government/publications/digital-working-in-adult-social-care-what-good-looks-like/digital-working-in-adult-social-care-what-good-looks-like-for-local-authorities-and-care-providers</w:t>
        </w:r>
      </w:hyperlink>
      <w:r>
        <w:rPr>
          <w:rFonts w:ascii="Arial" w:hAnsi="Arial" w:cs="Arial"/>
        </w:rPr>
        <w:t xml:space="preserve"> </w:t>
      </w:r>
      <w:r w:rsidRPr="00D24D2C">
        <w:rPr>
          <w:rFonts w:ascii="Arial" w:hAnsi="Arial" w:cs="Arial"/>
        </w:rPr>
        <w:t>(Accessed: 10 October 2026).</w:t>
      </w:r>
    </w:p>
    <w:p w14:paraId="4078C620"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Department of Health and Social Care (DHSC) (2025a) </w:t>
      </w:r>
      <w:r w:rsidRPr="00946184">
        <w:rPr>
          <w:rFonts w:ascii="Arial" w:hAnsi="Arial" w:cs="Arial"/>
          <w:i/>
        </w:rPr>
        <w:t>Major NHS App expansion cuts waiting times</w:t>
      </w:r>
      <w:r w:rsidRPr="00946184">
        <w:rPr>
          <w:rFonts w:ascii="Arial" w:hAnsi="Arial" w:cs="Arial"/>
        </w:rPr>
        <w:t>. 28 April. Available at: https://www.gov.uk/government/news/major-nhs-app-expansion-cuts-waiting-times (Accessed: 2 October 2026).</w:t>
      </w:r>
    </w:p>
    <w:p w14:paraId="74558F44"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Department of Health and Social Care (DHSC) (2025b) </w:t>
      </w:r>
      <w:r w:rsidRPr="00946184">
        <w:rPr>
          <w:rFonts w:ascii="Arial" w:hAnsi="Arial" w:cs="Arial"/>
          <w:i/>
        </w:rPr>
        <w:t>Patients to receive reminders and test results via the NHS App</w:t>
      </w:r>
      <w:r w:rsidRPr="00946184">
        <w:rPr>
          <w:rFonts w:ascii="Arial" w:hAnsi="Arial" w:cs="Arial"/>
        </w:rPr>
        <w:t>. 7 June. Available at: https://www.gov.uk/government/news/patients-to-receive-reminders-and-test-results-via-the-nhs-app (Accessed: 2 October 2026).</w:t>
      </w:r>
    </w:p>
    <w:p w14:paraId="11661526"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Department of Health and Social Care (DHSC) (2025c) </w:t>
      </w:r>
      <w:r w:rsidRPr="00946184">
        <w:rPr>
          <w:rFonts w:ascii="Arial" w:hAnsi="Arial" w:cs="Arial"/>
          <w:i/>
        </w:rPr>
        <w:t>Fit for the future: 10 Year Health Plan for England</w:t>
      </w:r>
      <w:r w:rsidRPr="00946184">
        <w:rPr>
          <w:rFonts w:ascii="Arial" w:hAnsi="Arial" w:cs="Arial"/>
        </w:rPr>
        <w:t>. Available at: https://www.gov.uk/government/publications/10-year-health-plan-for-england-fit-for-the-future (Accessed: 2 October 2026).</w:t>
      </w:r>
    </w:p>
    <w:p w14:paraId="14460695"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Greaves F, </w:t>
      </w:r>
      <w:proofErr w:type="spellStart"/>
      <w:r w:rsidRPr="00946184">
        <w:rPr>
          <w:rFonts w:ascii="Arial" w:hAnsi="Arial" w:cs="Arial"/>
        </w:rPr>
        <w:t>Papoutsi</w:t>
      </w:r>
      <w:proofErr w:type="spellEnd"/>
      <w:r w:rsidRPr="00946184">
        <w:rPr>
          <w:rFonts w:ascii="Arial" w:hAnsi="Arial" w:cs="Arial"/>
        </w:rPr>
        <w:t xml:space="preserve"> C, Kc S, </w:t>
      </w:r>
      <w:proofErr w:type="spellStart"/>
      <w:r w:rsidRPr="00946184">
        <w:rPr>
          <w:rFonts w:ascii="Arial" w:hAnsi="Arial" w:cs="Arial"/>
        </w:rPr>
        <w:t>Tewolde</w:t>
      </w:r>
      <w:proofErr w:type="spellEnd"/>
      <w:r w:rsidRPr="00946184">
        <w:rPr>
          <w:rFonts w:ascii="Arial" w:hAnsi="Arial" w:cs="Arial"/>
        </w:rPr>
        <w:t xml:space="preserve"> S, </w:t>
      </w:r>
      <w:proofErr w:type="spellStart"/>
      <w:r w:rsidRPr="00946184">
        <w:rPr>
          <w:rFonts w:ascii="Arial" w:hAnsi="Arial" w:cs="Arial"/>
        </w:rPr>
        <w:t>Reidy</w:t>
      </w:r>
      <w:proofErr w:type="spellEnd"/>
      <w:r w:rsidRPr="00946184">
        <w:rPr>
          <w:rFonts w:ascii="Arial" w:hAnsi="Arial" w:cs="Arial"/>
        </w:rPr>
        <w:t xml:space="preserve"> C, </w:t>
      </w:r>
      <w:proofErr w:type="spellStart"/>
      <w:r w:rsidRPr="00946184">
        <w:rPr>
          <w:rFonts w:ascii="Arial" w:hAnsi="Arial" w:cs="Arial"/>
        </w:rPr>
        <w:t>Gudgin</w:t>
      </w:r>
      <w:proofErr w:type="spellEnd"/>
      <w:r w:rsidRPr="00946184">
        <w:rPr>
          <w:rFonts w:ascii="Arial" w:hAnsi="Arial" w:cs="Arial"/>
        </w:rPr>
        <w:t xml:space="preserve"> B, et al. (2026) 'Evaluating the national rollout of the NHS App in England using qualitative and quantitative methods', </w:t>
      </w:r>
      <w:r w:rsidRPr="00946184">
        <w:rPr>
          <w:rFonts w:ascii="Arial" w:hAnsi="Arial" w:cs="Arial"/>
          <w:i/>
        </w:rPr>
        <w:t>Health and Social Care Delivery Research</w:t>
      </w:r>
      <w:r w:rsidRPr="00946184">
        <w:rPr>
          <w:rFonts w:ascii="Arial" w:hAnsi="Arial" w:cs="Arial"/>
        </w:rPr>
        <w:t>, 14(15), pp. 1-91. Available at: https://doi.org/10.3310/XYRV6485</w:t>
      </w:r>
    </w:p>
    <w:p w14:paraId="5D77494F" w14:textId="77777777" w:rsidR="007B7545" w:rsidRPr="00946184" w:rsidRDefault="007B7545" w:rsidP="007B7545">
      <w:pPr>
        <w:spacing w:line="360" w:lineRule="auto"/>
        <w:jc w:val="both"/>
        <w:rPr>
          <w:rFonts w:ascii="Arial" w:hAnsi="Arial" w:cs="Arial"/>
        </w:rPr>
      </w:pPr>
      <w:proofErr w:type="spellStart"/>
      <w:r w:rsidRPr="00946184">
        <w:rPr>
          <w:rFonts w:ascii="Arial" w:hAnsi="Arial" w:cs="Arial"/>
        </w:rPr>
        <w:lastRenderedPageBreak/>
        <w:t>Greenhalgh</w:t>
      </w:r>
      <w:proofErr w:type="spellEnd"/>
      <w:r w:rsidRPr="00946184">
        <w:rPr>
          <w:rFonts w:ascii="Arial" w:hAnsi="Arial" w:cs="Arial"/>
        </w:rPr>
        <w:t xml:space="preserve">, T., </w:t>
      </w:r>
      <w:proofErr w:type="spellStart"/>
      <w:r w:rsidRPr="00946184">
        <w:rPr>
          <w:rFonts w:ascii="Arial" w:hAnsi="Arial" w:cs="Arial"/>
        </w:rPr>
        <w:t>Wherton</w:t>
      </w:r>
      <w:proofErr w:type="spellEnd"/>
      <w:r w:rsidRPr="00946184">
        <w:rPr>
          <w:rFonts w:ascii="Arial" w:hAnsi="Arial" w:cs="Arial"/>
        </w:rPr>
        <w:t xml:space="preserve">, J., </w:t>
      </w:r>
      <w:proofErr w:type="spellStart"/>
      <w:r w:rsidRPr="00946184">
        <w:rPr>
          <w:rFonts w:ascii="Arial" w:hAnsi="Arial" w:cs="Arial"/>
        </w:rPr>
        <w:t>Papoutsi</w:t>
      </w:r>
      <w:proofErr w:type="spellEnd"/>
      <w:r w:rsidRPr="00946184">
        <w:rPr>
          <w:rFonts w:ascii="Arial" w:hAnsi="Arial" w:cs="Arial"/>
        </w:rPr>
        <w:t xml:space="preserve">, C., Lynch, J., Hughes, G., A'Court, C., Hinder, S., </w:t>
      </w:r>
      <w:proofErr w:type="spellStart"/>
      <w:r w:rsidRPr="00946184">
        <w:rPr>
          <w:rFonts w:ascii="Arial" w:hAnsi="Arial" w:cs="Arial"/>
        </w:rPr>
        <w:t>Fahy</w:t>
      </w:r>
      <w:proofErr w:type="spellEnd"/>
      <w:r w:rsidRPr="00946184">
        <w:rPr>
          <w:rFonts w:ascii="Arial" w:hAnsi="Arial" w:cs="Arial"/>
        </w:rPr>
        <w:t xml:space="preserve">, N., Procter, R., and Shaw, S. (2017) 'Beyond adoption: a new framework for theorizing and evaluating </w:t>
      </w:r>
      <w:proofErr w:type="spellStart"/>
      <w:r w:rsidRPr="00946184">
        <w:rPr>
          <w:rFonts w:ascii="Arial" w:hAnsi="Arial" w:cs="Arial"/>
        </w:rPr>
        <w:t>nonadoption</w:t>
      </w:r>
      <w:proofErr w:type="spellEnd"/>
      <w:r w:rsidRPr="00946184">
        <w:rPr>
          <w:rFonts w:ascii="Arial" w:hAnsi="Arial" w:cs="Arial"/>
        </w:rPr>
        <w:t xml:space="preserve">, abandonment, and challenges to the scale-up, spread, and sustainability of health and care technologies', </w:t>
      </w:r>
      <w:r w:rsidRPr="00946184">
        <w:rPr>
          <w:rFonts w:ascii="Arial" w:hAnsi="Arial" w:cs="Arial"/>
          <w:i/>
        </w:rPr>
        <w:t>Journal of Medical Internet Research</w:t>
      </w:r>
      <w:r w:rsidRPr="00946184">
        <w:rPr>
          <w:rFonts w:ascii="Arial" w:hAnsi="Arial" w:cs="Arial"/>
        </w:rPr>
        <w:t>, 19(11), e367. Available at: https://doi.org/10.2196/jmir.8775</w:t>
      </w:r>
    </w:p>
    <w:p w14:paraId="44444AF8"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Hart, J.T. (1971) 'The inverse care law', </w:t>
      </w:r>
      <w:r w:rsidRPr="00946184">
        <w:rPr>
          <w:rFonts w:ascii="Arial" w:hAnsi="Arial" w:cs="Arial"/>
          <w:i/>
        </w:rPr>
        <w:t>The Lancet</w:t>
      </w:r>
      <w:r w:rsidRPr="00946184">
        <w:rPr>
          <w:rFonts w:ascii="Arial" w:hAnsi="Arial" w:cs="Arial"/>
        </w:rPr>
        <w:t xml:space="preserve">, 297(7696), pp. 405-412. Available at: </w:t>
      </w:r>
      <w:hyperlink r:id="rId8" w:history="1">
        <w:r w:rsidRPr="00946184">
          <w:rPr>
            <w:rStyle w:val="Hyperlink"/>
            <w:rFonts w:ascii="Arial" w:hAnsi="Arial" w:cs="Arial"/>
          </w:rPr>
          <w:t>https://doi.org/10.1016/S0140-6736(71)92410-X</w:t>
        </w:r>
      </w:hyperlink>
      <w:r w:rsidRPr="00946184">
        <w:rPr>
          <w:rFonts w:ascii="Arial" w:hAnsi="Arial" w:cs="Arial"/>
        </w:rPr>
        <w:t xml:space="preserve"> </w:t>
      </w:r>
    </w:p>
    <w:p w14:paraId="0AFCDBD2" w14:textId="77777777" w:rsidR="007B7545" w:rsidRPr="00946184" w:rsidRDefault="007B7545" w:rsidP="007B7545">
      <w:pPr>
        <w:spacing w:line="360" w:lineRule="auto"/>
        <w:jc w:val="both"/>
        <w:rPr>
          <w:rFonts w:ascii="Arial" w:hAnsi="Arial" w:cs="Arial"/>
        </w:rPr>
      </w:pPr>
      <w:proofErr w:type="spellStart"/>
      <w:r w:rsidRPr="00946184">
        <w:rPr>
          <w:rFonts w:ascii="Arial" w:hAnsi="Arial" w:cs="Arial"/>
        </w:rPr>
        <w:t>Healthwatch</w:t>
      </w:r>
      <w:proofErr w:type="spellEnd"/>
      <w:r w:rsidRPr="00946184">
        <w:rPr>
          <w:rFonts w:ascii="Arial" w:hAnsi="Arial" w:cs="Arial"/>
        </w:rPr>
        <w:t xml:space="preserve"> Oxfordshire (2025) </w:t>
      </w:r>
      <w:r w:rsidRPr="00946184">
        <w:rPr>
          <w:rFonts w:ascii="Arial" w:hAnsi="Arial" w:cs="Arial"/>
          <w:i/>
        </w:rPr>
        <w:t>Digital health care and the NHS App: voices from Oxfordshire</w:t>
      </w:r>
      <w:r w:rsidRPr="00946184">
        <w:rPr>
          <w:rFonts w:ascii="Arial" w:hAnsi="Arial" w:cs="Arial"/>
        </w:rPr>
        <w:t>. Available at: https://nds.healthwatch.co.uk/reports-library/digital-health-care-and-nhs-app-voices-oxfordshire (Accessed: 2 October 2026).</w:t>
      </w:r>
    </w:p>
    <w:p w14:paraId="2189C4F5" w14:textId="77777777" w:rsidR="007B7545" w:rsidRPr="000F7455" w:rsidRDefault="007B7545" w:rsidP="007B7545">
      <w:pPr>
        <w:spacing w:line="360" w:lineRule="auto"/>
        <w:jc w:val="both"/>
        <w:rPr>
          <w:rFonts w:ascii="Arial" w:hAnsi="Arial" w:cs="Arial"/>
        </w:rPr>
      </w:pPr>
      <w:r w:rsidRPr="000F7455">
        <w:rPr>
          <w:rFonts w:ascii="Arial" w:hAnsi="Arial" w:cs="Arial"/>
        </w:rPr>
        <w:t xml:space="preserve">Helms, M.M. and Nixon, J. (2010) 'Exploring SWOT analysis – where are we now? A review of academic research from the last decade', </w:t>
      </w:r>
      <w:r w:rsidRPr="000F7455">
        <w:rPr>
          <w:rFonts w:ascii="Arial" w:hAnsi="Arial" w:cs="Arial"/>
          <w:i/>
        </w:rPr>
        <w:t>Journal of Strategy and Management</w:t>
      </w:r>
      <w:r w:rsidRPr="000F7455">
        <w:rPr>
          <w:rFonts w:ascii="Arial" w:hAnsi="Arial" w:cs="Arial"/>
        </w:rPr>
        <w:t>, 3(3), pp. 215-251. Available at: https://doi.org/10.1108/17554251011064837</w:t>
      </w:r>
    </w:p>
    <w:p w14:paraId="3D55B14A"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KC, S., </w:t>
      </w:r>
      <w:proofErr w:type="spellStart"/>
      <w:r w:rsidRPr="00946184">
        <w:rPr>
          <w:rFonts w:ascii="Arial" w:hAnsi="Arial" w:cs="Arial"/>
        </w:rPr>
        <w:t>Tewolde</w:t>
      </w:r>
      <w:proofErr w:type="spellEnd"/>
      <w:r w:rsidRPr="00946184">
        <w:rPr>
          <w:rFonts w:ascii="Arial" w:hAnsi="Arial" w:cs="Arial"/>
        </w:rPr>
        <w:t xml:space="preserve">, S., </w:t>
      </w:r>
      <w:proofErr w:type="spellStart"/>
      <w:r w:rsidRPr="00946184">
        <w:rPr>
          <w:rFonts w:ascii="Arial" w:hAnsi="Arial" w:cs="Arial"/>
        </w:rPr>
        <w:t>Laverty</w:t>
      </w:r>
      <w:proofErr w:type="spellEnd"/>
      <w:r w:rsidRPr="00946184">
        <w:rPr>
          <w:rFonts w:ascii="Arial" w:hAnsi="Arial" w:cs="Arial"/>
        </w:rPr>
        <w:t xml:space="preserve">, A., et al. (2023) 'Uptake and adoption of the NHS App in England: an observational study', </w:t>
      </w:r>
      <w:r w:rsidRPr="00946184">
        <w:rPr>
          <w:rFonts w:ascii="Arial" w:hAnsi="Arial" w:cs="Arial"/>
          <w:i/>
        </w:rPr>
        <w:t>British Journal of General Practice</w:t>
      </w:r>
      <w:r w:rsidRPr="00946184">
        <w:rPr>
          <w:rFonts w:ascii="Arial" w:hAnsi="Arial" w:cs="Arial"/>
        </w:rPr>
        <w:t>, 73(737), pp. e932-e940. Available at: https://doi.org/10.3399/BJGP.2022.0150</w:t>
      </w:r>
    </w:p>
    <w:p w14:paraId="1B7F25E6"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Local </w:t>
      </w:r>
      <w:proofErr w:type="spellStart"/>
      <w:r w:rsidRPr="00946184">
        <w:rPr>
          <w:rFonts w:ascii="Arial" w:hAnsi="Arial" w:cs="Arial"/>
        </w:rPr>
        <w:t>Healthwatch</w:t>
      </w:r>
      <w:proofErr w:type="spellEnd"/>
      <w:r w:rsidRPr="00946184">
        <w:rPr>
          <w:rFonts w:ascii="Arial" w:hAnsi="Arial" w:cs="Arial"/>
        </w:rPr>
        <w:t xml:space="preserve"> (2026) </w:t>
      </w:r>
      <w:r w:rsidRPr="00946184">
        <w:rPr>
          <w:rFonts w:ascii="Arial" w:hAnsi="Arial" w:cs="Arial"/>
          <w:i/>
        </w:rPr>
        <w:t xml:space="preserve">Local </w:t>
      </w:r>
      <w:proofErr w:type="spellStart"/>
      <w:r w:rsidRPr="00946184">
        <w:rPr>
          <w:rFonts w:ascii="Arial" w:hAnsi="Arial" w:cs="Arial"/>
          <w:i/>
        </w:rPr>
        <w:t>Healthwatch</w:t>
      </w:r>
      <w:proofErr w:type="spellEnd"/>
      <w:r w:rsidRPr="00946184">
        <w:rPr>
          <w:rFonts w:ascii="Arial" w:hAnsi="Arial" w:cs="Arial"/>
          <w:i/>
        </w:rPr>
        <w:t xml:space="preserve"> NHS App and independent feedback report</w:t>
      </w:r>
      <w:r w:rsidRPr="00946184">
        <w:rPr>
          <w:rFonts w:ascii="Arial" w:hAnsi="Arial" w:cs="Arial"/>
        </w:rPr>
        <w:t xml:space="preserve">. Kingston upon Thames: </w:t>
      </w:r>
      <w:proofErr w:type="spellStart"/>
      <w:r w:rsidRPr="00946184">
        <w:rPr>
          <w:rFonts w:ascii="Arial" w:hAnsi="Arial" w:cs="Arial"/>
        </w:rPr>
        <w:t>Healthwatch</w:t>
      </w:r>
      <w:proofErr w:type="spellEnd"/>
      <w:r w:rsidRPr="00946184">
        <w:rPr>
          <w:rFonts w:ascii="Arial" w:hAnsi="Arial" w:cs="Arial"/>
        </w:rPr>
        <w:t xml:space="preserve"> Kingston. Available at: https://www.healthwatchkingston.org.uk/report/2026-03-19/local-healthwatch-nhs-app-and-independent-feedback-report (Accessed: 2 October 2026).</w:t>
      </w:r>
    </w:p>
    <w:p w14:paraId="77DD9D00"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NHS England (2023) </w:t>
      </w:r>
      <w:r w:rsidRPr="00946184">
        <w:rPr>
          <w:rFonts w:ascii="Arial" w:hAnsi="Arial" w:cs="Arial"/>
          <w:i/>
        </w:rPr>
        <w:t>Inclusive digital healthcare: a framework for NHS action on digital inclusion</w:t>
      </w:r>
      <w:r w:rsidRPr="00946184">
        <w:rPr>
          <w:rFonts w:ascii="Arial" w:hAnsi="Arial" w:cs="Arial"/>
        </w:rPr>
        <w:t>. Available at: https://www.england.nhs.uk/long-read/inclusive-digital-healthcare-a-framework-for-nhs-action-on-digital-inclusion/ (Accessed: 2 October 2026).</w:t>
      </w:r>
    </w:p>
    <w:p w14:paraId="0BDD0EE6" w14:textId="77777777" w:rsidR="007B7545" w:rsidRPr="00946184" w:rsidRDefault="007B7545" w:rsidP="007B7545">
      <w:pPr>
        <w:spacing w:line="360" w:lineRule="auto"/>
        <w:jc w:val="both"/>
        <w:rPr>
          <w:rFonts w:ascii="Arial" w:hAnsi="Arial" w:cs="Arial"/>
        </w:rPr>
      </w:pPr>
      <w:r w:rsidRPr="00946184">
        <w:rPr>
          <w:rFonts w:ascii="Arial" w:hAnsi="Arial" w:cs="Arial"/>
        </w:rPr>
        <w:t xml:space="preserve">NHS England Digital (2026) </w:t>
      </w:r>
      <w:r w:rsidRPr="00946184">
        <w:rPr>
          <w:rFonts w:ascii="Arial" w:hAnsi="Arial" w:cs="Arial"/>
          <w:i/>
        </w:rPr>
        <w:t>NHS App management information: August 2026</w:t>
      </w:r>
      <w:r w:rsidRPr="00946184">
        <w:rPr>
          <w:rFonts w:ascii="Arial" w:hAnsi="Arial" w:cs="Arial"/>
        </w:rPr>
        <w:t>. Available at: https://digital.nhs.uk/data-and-information/publications/statistical/nhs-app-statistics/august-2026 (Accessed: 2 October 2026).</w:t>
      </w:r>
    </w:p>
    <w:p w14:paraId="28926ED1" w14:textId="5A08FE79" w:rsidR="0003628D" w:rsidRPr="00946184" w:rsidRDefault="007B7545" w:rsidP="00946184">
      <w:pPr>
        <w:spacing w:line="360" w:lineRule="auto"/>
        <w:jc w:val="both"/>
        <w:rPr>
          <w:rFonts w:ascii="Arial" w:hAnsi="Arial" w:cs="Arial"/>
        </w:rPr>
      </w:pPr>
      <w:proofErr w:type="spellStart"/>
      <w:r w:rsidRPr="000F7455">
        <w:rPr>
          <w:rFonts w:ascii="Arial" w:hAnsi="Arial" w:cs="Arial"/>
        </w:rPr>
        <w:t>Reidy</w:t>
      </w:r>
      <w:proofErr w:type="spellEnd"/>
      <w:r w:rsidRPr="000F7455">
        <w:rPr>
          <w:rFonts w:ascii="Arial" w:hAnsi="Arial" w:cs="Arial"/>
        </w:rPr>
        <w:t xml:space="preserve">, C., </w:t>
      </w:r>
      <w:proofErr w:type="spellStart"/>
      <w:r w:rsidRPr="000F7455">
        <w:rPr>
          <w:rFonts w:ascii="Arial" w:hAnsi="Arial" w:cs="Arial"/>
        </w:rPr>
        <w:t>Papoutsi</w:t>
      </w:r>
      <w:proofErr w:type="spellEnd"/>
      <w:r w:rsidRPr="000F7455">
        <w:rPr>
          <w:rFonts w:ascii="Arial" w:hAnsi="Arial" w:cs="Arial"/>
        </w:rPr>
        <w:t xml:space="preserve">, C., KC, S., </w:t>
      </w:r>
      <w:proofErr w:type="spellStart"/>
      <w:r w:rsidRPr="000F7455">
        <w:rPr>
          <w:rFonts w:ascii="Arial" w:hAnsi="Arial" w:cs="Arial"/>
        </w:rPr>
        <w:t>Gudgin</w:t>
      </w:r>
      <w:proofErr w:type="spellEnd"/>
      <w:r w:rsidRPr="000F7455">
        <w:rPr>
          <w:rFonts w:ascii="Arial" w:hAnsi="Arial" w:cs="Arial"/>
        </w:rPr>
        <w:t xml:space="preserve">, B., </w:t>
      </w:r>
      <w:proofErr w:type="spellStart"/>
      <w:r w:rsidRPr="000F7455">
        <w:rPr>
          <w:rFonts w:ascii="Arial" w:hAnsi="Arial" w:cs="Arial"/>
        </w:rPr>
        <w:t>Laverty</w:t>
      </w:r>
      <w:proofErr w:type="spellEnd"/>
      <w:r w:rsidRPr="000F7455">
        <w:rPr>
          <w:rFonts w:ascii="Arial" w:hAnsi="Arial" w:cs="Arial"/>
        </w:rPr>
        <w:t>, A.A., Greaves, F. and Powell, J.</w:t>
      </w:r>
      <w:r>
        <w:rPr>
          <w:rFonts w:ascii="Arial" w:hAnsi="Arial" w:cs="Arial"/>
        </w:rPr>
        <w:t xml:space="preserve"> (2025) 'Qualitative evaluation of the implementation and national roll-out of the NHS App in England', </w:t>
      </w:r>
      <w:r>
        <w:rPr>
          <w:rFonts w:ascii="Arial" w:hAnsi="Arial" w:cs="Arial"/>
          <w:i/>
        </w:rPr>
        <w:t>BMC Medicine</w:t>
      </w:r>
      <w:r>
        <w:rPr>
          <w:rFonts w:ascii="Arial" w:hAnsi="Arial" w:cs="Arial"/>
        </w:rPr>
        <w:t>, 23, 20. Available at: https://doi.org/10.1186/s12916-024-03842-w</w:t>
      </w:r>
    </w:p>
    <w:sectPr w:rsidR="0003628D" w:rsidRPr="00946184">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2EF3C40" w14:textId="77777777" w:rsidR="00A012EA" w:rsidRDefault="00A012EA" w:rsidP="002379E0">
      <w:pPr>
        <w:spacing w:after="0" w:line="240" w:lineRule="auto"/>
      </w:pPr>
      <w:r>
        <w:separator/>
      </w:r>
    </w:p>
  </w:endnote>
  <w:endnote w:type="continuationSeparator" w:id="0">
    <w:p w14:paraId="49671E49" w14:textId="77777777" w:rsidR="00A012EA" w:rsidRDefault="00A012EA" w:rsidP="00237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80F033E" w14:textId="77777777" w:rsidR="00A012EA" w:rsidRDefault="00A012EA" w:rsidP="002379E0">
      <w:pPr>
        <w:spacing w:after="0" w:line="240" w:lineRule="auto"/>
      </w:pPr>
      <w:r>
        <w:separator/>
      </w:r>
    </w:p>
  </w:footnote>
  <w:footnote w:type="continuationSeparator" w:id="0">
    <w:p w14:paraId="33417C27" w14:textId="77777777" w:rsidR="00A012EA" w:rsidRDefault="00A012EA" w:rsidP="002379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C35E3E"/>
    <w:multiLevelType w:val="hybridMultilevel"/>
    <w:tmpl w:val="835E17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321F3E"/>
    <w:multiLevelType w:val="hybridMultilevel"/>
    <w:tmpl w:val="A03479B4"/>
    <w:lvl w:ilvl="0" w:tplc="8F8EAC56">
      <w:start w:val="1"/>
      <w:numFmt w:val="bullet"/>
      <w:lvlText w:val="•"/>
      <w:lvlJc w:val="left"/>
      <w:pPr>
        <w:ind w:left="720" w:hanging="360"/>
      </w:pPr>
    </w:lvl>
    <w:lvl w:ilvl="1" w:tplc="EA323AF6">
      <w:start w:val="1"/>
      <w:numFmt w:val="bullet"/>
      <w:lvlText w:val="o"/>
      <w:lvlJc w:val="left"/>
      <w:pPr>
        <w:ind w:left="1440" w:hanging="360"/>
      </w:pPr>
    </w:lvl>
    <w:lvl w:ilvl="2" w:tplc="82E05FF2">
      <w:start w:val="1"/>
      <w:numFmt w:val="bullet"/>
      <w:lvlText w:val="▪"/>
      <w:lvlJc w:val="left"/>
      <w:pPr>
        <w:ind w:left="2160" w:hanging="360"/>
      </w:pPr>
    </w:lvl>
    <w:lvl w:ilvl="3" w:tplc="359CFC8A">
      <w:start w:val="1"/>
      <w:numFmt w:val="bullet"/>
      <w:lvlText w:val="•"/>
      <w:lvlJc w:val="left"/>
      <w:pPr>
        <w:ind w:left="2880" w:hanging="360"/>
      </w:pPr>
    </w:lvl>
    <w:lvl w:ilvl="4" w:tplc="F0C69D0E">
      <w:start w:val="1"/>
      <w:numFmt w:val="bullet"/>
      <w:lvlText w:val="o"/>
      <w:lvlJc w:val="left"/>
      <w:pPr>
        <w:ind w:left="3600" w:hanging="360"/>
      </w:pPr>
    </w:lvl>
    <w:lvl w:ilvl="5" w:tplc="C6401F20">
      <w:start w:val="1"/>
      <w:numFmt w:val="bullet"/>
      <w:lvlText w:val="▪"/>
      <w:lvlJc w:val="left"/>
      <w:pPr>
        <w:ind w:left="4320" w:hanging="360"/>
      </w:pPr>
    </w:lvl>
    <w:lvl w:ilvl="6" w:tplc="5B763096">
      <w:start w:val="1"/>
      <w:numFmt w:val="bullet"/>
      <w:lvlText w:val="•"/>
      <w:lvlJc w:val="left"/>
      <w:pPr>
        <w:ind w:left="5040" w:hanging="360"/>
      </w:pPr>
    </w:lvl>
    <w:lvl w:ilvl="7" w:tplc="7532757A">
      <w:start w:val="1"/>
      <w:numFmt w:val="bullet"/>
      <w:lvlText w:val="o"/>
      <w:lvlJc w:val="left"/>
      <w:pPr>
        <w:ind w:left="5760" w:hanging="360"/>
      </w:pPr>
    </w:lvl>
    <w:lvl w:ilvl="8" w:tplc="2E9C70E4">
      <w:start w:val="1"/>
      <w:numFmt w:val="bullet"/>
      <w:lvlText w:val="▪"/>
      <w:lvlJc w:val="left"/>
      <w:pPr>
        <w:ind w:left="6480" w:hanging="360"/>
      </w:pPr>
    </w:lvl>
  </w:abstractNum>
  <w:abstractNum w:abstractNumId="2" w15:restartNumberingAfterBreak="0">
    <w:nsid w:val="26B76C90"/>
    <w:multiLevelType w:val="hybridMultilevel"/>
    <w:tmpl w:val="343C37CE"/>
    <w:lvl w:ilvl="0" w:tplc="59628716">
      <w:start w:val="1"/>
      <w:numFmt w:val="decimal"/>
      <w:lvlText w:val="%1."/>
      <w:lvlJc w:val="left"/>
      <w:pPr>
        <w:ind w:left="720" w:hanging="360"/>
      </w:pPr>
    </w:lvl>
    <w:lvl w:ilvl="1" w:tplc="FB5E0754">
      <w:start w:val="1"/>
      <w:numFmt w:val="lowerLetter"/>
      <w:lvlText w:val="%2."/>
      <w:lvlJc w:val="left"/>
      <w:pPr>
        <w:ind w:left="1440" w:hanging="360"/>
      </w:pPr>
    </w:lvl>
    <w:lvl w:ilvl="2" w:tplc="77489F5A">
      <w:start w:val="1"/>
      <w:numFmt w:val="lowerRoman"/>
      <w:lvlText w:val="%3."/>
      <w:lvlJc w:val="left"/>
      <w:pPr>
        <w:ind w:left="2160" w:hanging="360"/>
      </w:pPr>
    </w:lvl>
    <w:lvl w:ilvl="3" w:tplc="BB008362">
      <w:start w:val="1"/>
      <w:numFmt w:val="decimal"/>
      <w:lvlText w:val="%4."/>
      <w:lvlJc w:val="left"/>
      <w:pPr>
        <w:ind w:left="2880" w:hanging="360"/>
      </w:pPr>
    </w:lvl>
    <w:lvl w:ilvl="4" w:tplc="E6363FAC">
      <w:start w:val="1"/>
      <w:numFmt w:val="lowerLetter"/>
      <w:lvlText w:val="%5."/>
      <w:lvlJc w:val="left"/>
      <w:pPr>
        <w:ind w:left="3600" w:hanging="360"/>
      </w:pPr>
    </w:lvl>
    <w:lvl w:ilvl="5" w:tplc="F668B71C">
      <w:start w:val="1"/>
      <w:numFmt w:val="lowerRoman"/>
      <w:lvlText w:val="%6."/>
      <w:lvlJc w:val="left"/>
      <w:pPr>
        <w:ind w:left="4320" w:hanging="360"/>
      </w:pPr>
    </w:lvl>
    <w:lvl w:ilvl="6" w:tplc="20EA3678">
      <w:start w:val="1"/>
      <w:numFmt w:val="decimal"/>
      <w:lvlText w:val="%7."/>
      <w:lvlJc w:val="left"/>
      <w:pPr>
        <w:ind w:left="5040" w:hanging="360"/>
      </w:pPr>
    </w:lvl>
    <w:lvl w:ilvl="7" w:tplc="E0EA28C2">
      <w:start w:val="1"/>
      <w:numFmt w:val="lowerLetter"/>
      <w:lvlText w:val="%8."/>
      <w:lvlJc w:val="left"/>
      <w:pPr>
        <w:ind w:left="5760" w:hanging="360"/>
      </w:pPr>
    </w:lvl>
    <w:lvl w:ilvl="8" w:tplc="11FE7CE4">
      <w:start w:val="1"/>
      <w:numFmt w:val="lowerRoman"/>
      <w:lvlText w:val="%9."/>
      <w:lvlJc w:val="left"/>
      <w:pPr>
        <w:ind w:left="6480" w:hanging="360"/>
      </w:pPr>
    </w:lvl>
  </w:abstractNum>
  <w:num w:numId="1" w16cid:durableId="868685199">
    <w:abstractNumId w:val="1"/>
  </w:num>
  <w:num w:numId="2" w16cid:durableId="111983852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28D"/>
    <w:rsid w:val="0003628D"/>
    <w:rsid w:val="000412B7"/>
    <w:rsid w:val="00073468"/>
    <w:rsid w:val="00074B8B"/>
    <w:rsid w:val="00082515"/>
    <w:rsid w:val="00137D55"/>
    <w:rsid w:val="00177534"/>
    <w:rsid w:val="00181F4B"/>
    <w:rsid w:val="001A75EF"/>
    <w:rsid w:val="00217308"/>
    <w:rsid w:val="00224D55"/>
    <w:rsid w:val="00230671"/>
    <w:rsid w:val="002379E0"/>
    <w:rsid w:val="00244645"/>
    <w:rsid w:val="00291568"/>
    <w:rsid w:val="00301CCC"/>
    <w:rsid w:val="0036108E"/>
    <w:rsid w:val="00371986"/>
    <w:rsid w:val="0037294F"/>
    <w:rsid w:val="003B3B86"/>
    <w:rsid w:val="003B5ED9"/>
    <w:rsid w:val="00443656"/>
    <w:rsid w:val="00463261"/>
    <w:rsid w:val="004B7070"/>
    <w:rsid w:val="004D2987"/>
    <w:rsid w:val="004D5FBA"/>
    <w:rsid w:val="004F40AA"/>
    <w:rsid w:val="005052CB"/>
    <w:rsid w:val="005205C3"/>
    <w:rsid w:val="00526032"/>
    <w:rsid w:val="00535ECF"/>
    <w:rsid w:val="00536B80"/>
    <w:rsid w:val="00567FD2"/>
    <w:rsid w:val="005823BC"/>
    <w:rsid w:val="005E048C"/>
    <w:rsid w:val="00621EEE"/>
    <w:rsid w:val="00685F2C"/>
    <w:rsid w:val="006A02E5"/>
    <w:rsid w:val="006F4E47"/>
    <w:rsid w:val="00772B6D"/>
    <w:rsid w:val="007B7545"/>
    <w:rsid w:val="007C1246"/>
    <w:rsid w:val="00821068"/>
    <w:rsid w:val="00874B7C"/>
    <w:rsid w:val="008C59E5"/>
    <w:rsid w:val="008F1F01"/>
    <w:rsid w:val="00906001"/>
    <w:rsid w:val="00914ABC"/>
    <w:rsid w:val="00914ADE"/>
    <w:rsid w:val="009343CF"/>
    <w:rsid w:val="00946184"/>
    <w:rsid w:val="00974C73"/>
    <w:rsid w:val="00987F31"/>
    <w:rsid w:val="00A012EA"/>
    <w:rsid w:val="00A024A3"/>
    <w:rsid w:val="00A5450A"/>
    <w:rsid w:val="00A93810"/>
    <w:rsid w:val="00AB681D"/>
    <w:rsid w:val="00AD5196"/>
    <w:rsid w:val="00B47903"/>
    <w:rsid w:val="00B56819"/>
    <w:rsid w:val="00B931FF"/>
    <w:rsid w:val="00BD5FF8"/>
    <w:rsid w:val="00C26F16"/>
    <w:rsid w:val="00C654FF"/>
    <w:rsid w:val="00C86099"/>
    <w:rsid w:val="00CB7932"/>
    <w:rsid w:val="00CF02C9"/>
    <w:rsid w:val="00D24D2C"/>
    <w:rsid w:val="00D2687A"/>
    <w:rsid w:val="00DB4E23"/>
    <w:rsid w:val="00DC468A"/>
    <w:rsid w:val="00E31E8E"/>
    <w:rsid w:val="00EC2062"/>
    <w:rsid w:val="00ED3EEC"/>
    <w:rsid w:val="00ED5D70"/>
    <w:rsid w:val="00ED6CDA"/>
    <w:rsid w:val="00F06F2F"/>
    <w:rsid w:val="00F37198"/>
    <w:rsid w:val="00F41C56"/>
    <w:rsid w:val="00F61243"/>
    <w:rsid w:val="00F70EE2"/>
    <w:rsid w:val="00FB64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7E7C9F"/>
  <w15:docId w15:val="{746E1238-F79E-4FF3-BCC6-3E35D3280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360" w:after="120"/>
      <w:outlineLvl w:val="0"/>
    </w:pPr>
    <w:rPr>
      <w:b/>
      <w:sz w:val="32"/>
    </w:rPr>
  </w:style>
  <w:style w:type="paragraph" w:styleId="Heading2">
    <w:name w:val="heading 2"/>
    <w:basedOn w:val="Normal"/>
    <w:next w:val="Normal"/>
    <w:uiPriority w:val="9"/>
    <w:unhideWhenUsed/>
    <w:qFormat/>
    <w:pPr>
      <w:keepNext/>
      <w:spacing w:before="280" w:after="100"/>
      <w:outlineLvl w:val="1"/>
    </w:pPr>
    <w:rPr>
      <w:b/>
      <w:sz w:val="26"/>
    </w:rPr>
  </w:style>
  <w:style w:type="paragraph" w:styleId="Heading3">
    <w:name w:val="heading 3"/>
    <w:basedOn w:val="Normal"/>
    <w:next w:val="Normal"/>
    <w:uiPriority w:val="9"/>
    <w:semiHidden/>
    <w:unhideWhenUsed/>
    <w:qFormat/>
    <w:pPr>
      <w:keepNext/>
      <w:spacing w:before="240" w:after="80"/>
      <w:outlineLvl w:val="2"/>
    </w:pPr>
    <w:rPr>
      <w:b/>
      <w:sz w:val="24"/>
    </w:rPr>
  </w:style>
  <w:style w:type="paragraph" w:styleId="Heading4">
    <w:name w:val="heading 4"/>
    <w:basedOn w:val="Normal"/>
    <w:next w:val="Normal"/>
    <w:uiPriority w:val="9"/>
    <w:semiHidden/>
    <w:unhideWhenUsed/>
    <w:qFormat/>
    <w:pPr>
      <w:keepNext/>
      <w:outlineLvl w:val="3"/>
    </w:pPr>
    <w:rPr>
      <w:b/>
    </w:rPr>
  </w:style>
  <w:style w:type="paragraph" w:styleId="Heading5">
    <w:name w:val="heading 5"/>
    <w:basedOn w:val="Normal"/>
    <w:next w:val="Normal"/>
    <w:uiPriority w:val="9"/>
    <w:semiHidden/>
    <w:unhideWhenUsed/>
    <w:qFormat/>
    <w:pPr>
      <w:keepNext/>
      <w:outlineLvl w:val="4"/>
    </w:pPr>
    <w:rPr>
      <w:b/>
    </w:rPr>
  </w:style>
  <w:style w:type="paragraph" w:styleId="Heading6">
    <w:name w:val="heading 6"/>
    <w:basedOn w:val="Normal"/>
    <w:next w:val="Normal"/>
    <w:uiPriority w:val="9"/>
    <w:semiHidden/>
    <w:unhideWhenUsed/>
    <w:qFormat/>
    <w:pPr>
      <w:keepNext/>
      <w:outlineLvl w:val="5"/>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contextualSpacing/>
    </w:pPr>
    <w:rPr>
      <w:sz w:val="56"/>
    </w:rPr>
  </w:style>
  <w:style w:type="paragraph" w:styleId="Quote">
    <w:name w:val="Quote"/>
    <w:basedOn w:val="Normal"/>
    <w:qFormat/>
    <w:pPr>
      <w:pBdr>
        <w:left w:val="single" w:sz="12" w:space="8" w:color="A0A0A0"/>
      </w:pBdr>
      <w:ind w:left="720" w:right="720"/>
    </w:pPr>
    <w:rPr>
      <w:i/>
      <w:color w:val="404040"/>
    </w:rPr>
  </w:style>
  <w:style w:type="paragraph" w:customStyle="1" w:styleId="Code">
    <w:name w:val="Code"/>
    <w:basedOn w:val="Normal"/>
    <w:link w:val="CodeChar"/>
    <w:pPr>
      <w:shd w:val="clear" w:color="auto" w:fill="F5F5F5"/>
      <w:spacing w:after="0" w:line="240" w:lineRule="auto"/>
      <w:contextualSpacing/>
    </w:pPr>
    <w:rPr>
      <w:rFonts w:ascii="Consolas" w:eastAsia="Consolas" w:hAnsi="Consolas" w:cs="Consolas"/>
      <w:sz w:val="20"/>
    </w:rPr>
  </w:style>
  <w:style w:type="character" w:customStyle="1" w:styleId="CodeChar">
    <w:name w:val="Code Char"/>
    <w:link w:val="Code"/>
    <w:rPr>
      <w:rFonts w:ascii="Consolas" w:eastAsia="Consolas" w:hAnsi="Consolas" w:cs="Consolas"/>
      <w:sz w:val="20"/>
      <w:shd w:val="clear" w:color="auto" w:fill="F5F5F5"/>
    </w:rPr>
  </w:style>
  <w:style w:type="paragraph" w:styleId="ListParagraph">
    <w:name w:val="List Paragraph"/>
    <w:basedOn w:val="Normal"/>
    <w:qFormat/>
    <w:pPr>
      <w:ind w:left="720"/>
      <w:contextualSpacing/>
    </w:pPr>
  </w:style>
  <w:style w:type="character" w:styleId="Hyperlink">
    <w:name w:val="Hyperlink"/>
    <w:rPr>
      <w:color w:val="0563C1"/>
      <w:u w:val="single"/>
    </w:rPr>
  </w:style>
  <w:style w:type="paragraph" w:styleId="CommentText">
    <w:name w:val="annotation text"/>
    <w:basedOn w:val="Normal"/>
    <w:pPr>
      <w:spacing w:line="240" w:lineRule="auto"/>
    </w:pPr>
    <w:rPr>
      <w:sz w:val="20"/>
      <w:szCs w:val="20"/>
    </w:rPr>
  </w:style>
  <w:style w:type="character" w:styleId="CommentReference">
    <w:name w:val="annotation reference"/>
    <w:rPr>
      <w:sz w:val="16"/>
      <w:szCs w:val="16"/>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9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79E0"/>
  </w:style>
  <w:style w:type="paragraph" w:styleId="Footer">
    <w:name w:val="footer"/>
    <w:basedOn w:val="Normal"/>
    <w:link w:val="FooterChar"/>
    <w:uiPriority w:val="99"/>
    <w:unhideWhenUsed/>
    <w:rsid w:val="002379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79E0"/>
  </w:style>
  <w:style w:type="character" w:styleId="UnresolvedMention">
    <w:name w:val="Unresolved Mention"/>
    <w:basedOn w:val="DefaultParagraphFont"/>
    <w:uiPriority w:val="99"/>
    <w:semiHidden/>
    <w:unhideWhenUsed/>
    <w:rsid w:val="00CF02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16/S0140-6736(71)92410-X" TargetMode="External"/><Relationship Id="rId3" Type="http://schemas.openxmlformats.org/officeDocument/2006/relationships/settings" Target="settings.xml"/><Relationship Id="rId7" Type="http://schemas.openxmlformats.org/officeDocument/2006/relationships/hyperlink" Target="https://www.gov.uk/government/publications/digital-working-in-adult-social-care-what-good-looks-like/digital-working-in-adult-social-care-what-good-looks-like-for-local-authorities-and-care-provid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2782</Words>
  <Characters>15860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The NHS App A Critical Evaluation of a Digital Innovation in Health Care in Engl</vt:lpstr>
    </vt:vector>
  </TitlesOfParts>
  <Company/>
  <LinksUpToDate>false</LinksUpToDate>
  <CharactersWithSpaces>18605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NHS App A Critical Evaluation of a Digital Innovation in Health Care in Engl</dc:title>
  <dc:creator>Maureen</dc:creator>
  <dc:description>Claude Docs node/1fd1af5f-13f8@30 docx-w6</dc:description>
  <cp:lastModifiedBy>Aimnumhenfo Iyoha (2329981)</cp:lastModifiedBy>
  <cp:revision>30</cp:revision>
  <dcterms:created xsi:type="dcterms:W3CDTF">2026-10-17T16:22:00Z</dcterms:created>
  <dcterms:modified xsi:type="dcterms:W3CDTF">2026-10-17T17:17:00Z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4c531149b739cae11eb8216e1e998df9e4348d94602d2f3e84a5406134533917</vt:lpwstr>
  </property>
</Properties>
</file>