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1"/>
        <w:spacing w:after="200" w:before="0" w:line="276" w:lineRule="auto"/>
        <w:jc w:val="both"/>
        <w:rPr/>
      </w:pPr>
      <w:r w:rsidDel="00000000" w:rsidR="00000000" w:rsidRPr="00000000">
        <w:rPr/>
        <w:drawing>
          <wp:inline distB="0" distT="0" distL="0" distR="0">
            <wp:extent cx="1810385" cy="600075"/>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10385" cy="6000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1"/>
        <w:spacing w:after="200" w:before="0" w:line="276" w:lineRule="auto"/>
        <w:jc w:val="both"/>
        <w:rPr/>
      </w:pPr>
      <w:r w:rsidDel="00000000" w:rsidR="00000000" w:rsidRPr="00000000">
        <w:rPr>
          <w:rtl w:val="0"/>
        </w:rPr>
      </w:r>
    </w:p>
    <w:p w:rsidR="00000000" w:rsidDel="00000000" w:rsidP="00000000" w:rsidRDefault="00000000" w:rsidRPr="00000000" w14:paraId="00000003">
      <w:pPr>
        <w:widowControl w:val="1"/>
        <w:spacing w:after="200" w:before="0" w:line="276" w:lineRule="auto"/>
        <w:jc w:val="both"/>
        <w:rPr/>
      </w:pPr>
      <w:r w:rsidDel="00000000" w:rsidR="00000000" w:rsidRPr="00000000">
        <w:rPr>
          <w:rtl w:val="0"/>
        </w:rPr>
      </w:r>
    </w:p>
    <w:tbl>
      <w:tblPr>
        <w:tblStyle w:val="Table1"/>
        <w:tblW w:w="90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1"/>
        <w:gridCol w:w="3135"/>
        <w:gridCol w:w="1934"/>
        <w:gridCol w:w="2066"/>
        <w:tblGridChange w:id="0">
          <w:tblGrid>
            <w:gridCol w:w="1901"/>
            <w:gridCol w:w="3135"/>
            <w:gridCol w:w="1934"/>
            <w:gridCol w:w="2066"/>
          </w:tblGrid>
        </w:tblGridChange>
      </w:tblGrid>
      <w:tr>
        <w:trPr>
          <w:cantSplit w:val="0"/>
          <w:trHeight w:val="568" w:hRule="atLeast"/>
          <w:tblHeader w:val="0"/>
        </w:trPr>
        <w:tc>
          <w:tcPr>
            <w:shd w:fill="d9d9d9" w:val="clear"/>
          </w:tcPr>
          <w:p w:rsidR="00000000" w:rsidDel="00000000" w:rsidP="00000000" w:rsidRDefault="00000000" w:rsidRPr="00000000" w14:paraId="00000004">
            <w:pPr>
              <w:spacing w:after="0" w:before="163" w:line="240" w:lineRule="auto"/>
              <w:ind w:left="107"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Programme:</w:t>
            </w:r>
          </w:p>
        </w:tc>
        <w:tc>
          <w:tcPr>
            <w:gridSpan w:val="3"/>
          </w:tcPr>
          <w:p w:rsidR="00000000" w:rsidDel="00000000" w:rsidP="00000000" w:rsidRDefault="00000000" w:rsidRPr="00000000" w14:paraId="00000005">
            <w:pPr>
              <w:spacing w:after="0" w:before="163" w:line="240" w:lineRule="auto"/>
              <w:ind w:left="114"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BA Business Management</w:t>
            </w:r>
          </w:p>
        </w:tc>
      </w:tr>
      <w:tr>
        <w:trPr>
          <w:cantSplit w:val="0"/>
          <w:trHeight w:val="575" w:hRule="atLeast"/>
          <w:tblHeader w:val="0"/>
        </w:trPr>
        <w:tc>
          <w:tcPr>
            <w:shd w:fill="d9d9d9" w:val="clear"/>
          </w:tcPr>
          <w:p w:rsidR="00000000" w:rsidDel="00000000" w:rsidP="00000000" w:rsidRDefault="00000000" w:rsidRPr="00000000" w14:paraId="00000008">
            <w:pPr>
              <w:spacing w:after="0" w:before="165" w:line="240" w:lineRule="auto"/>
              <w:ind w:left="107"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w:t>
            </w:r>
          </w:p>
        </w:tc>
        <w:tc>
          <w:tcPr>
            <w:gridSpan w:val="3"/>
          </w:tcPr>
          <w:p w:rsidR="00000000" w:rsidDel="00000000" w:rsidP="00000000" w:rsidRDefault="00000000" w:rsidRPr="00000000" w14:paraId="00000009">
            <w:pPr>
              <w:spacing w:after="0" w:before="165" w:line="240" w:lineRule="auto"/>
              <w:ind w:left="114"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International Financial Management</w:t>
            </w:r>
          </w:p>
        </w:tc>
      </w:tr>
      <w:tr>
        <w:trPr>
          <w:cantSplit w:val="0"/>
          <w:trHeight w:val="883" w:hRule="atLeast"/>
          <w:tblHeader w:val="0"/>
        </w:trPr>
        <w:tc>
          <w:tcPr>
            <w:shd w:fill="d9d9d9" w:val="clear"/>
          </w:tcPr>
          <w:p w:rsidR="00000000" w:rsidDel="00000000" w:rsidP="00000000" w:rsidRDefault="00000000" w:rsidRPr="00000000" w14:paraId="0000000C">
            <w:pPr>
              <w:spacing w:after="0" w:before="27" w:line="240" w:lineRule="auto"/>
              <w:ind w:left="107"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code:</w:t>
            </w:r>
          </w:p>
        </w:tc>
        <w:tc>
          <w:tcPr/>
          <w:p w:rsidR="00000000" w:rsidDel="00000000" w:rsidP="00000000" w:rsidRDefault="00000000" w:rsidRPr="00000000" w14:paraId="0000000D">
            <w:pPr>
              <w:spacing w:after="0" w:before="27" w:line="240" w:lineRule="auto"/>
              <w:ind w:left="114"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LCBB6002</w:t>
            </w:r>
          </w:p>
        </w:tc>
        <w:tc>
          <w:tcPr>
            <w:shd w:fill="d9d9d9" w:val="clear"/>
          </w:tcPr>
          <w:p w:rsidR="00000000" w:rsidDel="00000000" w:rsidP="00000000" w:rsidRDefault="00000000" w:rsidRPr="00000000" w14:paraId="0000000E">
            <w:pPr>
              <w:spacing w:after="0" w:before="24" w:line="256" w:lineRule="auto"/>
              <w:ind w:left="106" w:right="232"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Contribution to Overall Module Assessment (%):</w:t>
            </w:r>
          </w:p>
        </w:tc>
        <w:tc>
          <w:tcPr/>
          <w:p w:rsidR="00000000" w:rsidDel="00000000" w:rsidP="00000000" w:rsidRDefault="00000000" w:rsidRPr="00000000" w14:paraId="0000000F">
            <w:pPr>
              <w:spacing w:after="0" w:before="27" w:line="240" w:lineRule="auto"/>
              <w:ind w:left="113"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30%</w:t>
            </w:r>
          </w:p>
        </w:tc>
      </w:tr>
      <w:tr>
        <w:trPr>
          <w:cantSplit w:val="0"/>
          <w:trHeight w:val="1072" w:hRule="atLeast"/>
          <w:tblHeader w:val="0"/>
        </w:trPr>
        <w:tc>
          <w:tcPr>
            <w:shd w:fill="d9d9d9" w:val="clear"/>
          </w:tcPr>
          <w:p w:rsidR="00000000" w:rsidDel="00000000" w:rsidP="00000000" w:rsidRDefault="00000000" w:rsidRPr="00000000" w14:paraId="00000010">
            <w:pPr>
              <w:spacing w:after="0" w:before="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1">
            <w:pPr>
              <w:spacing w:after="0" w:before="139" w:line="240" w:lineRule="auto"/>
              <w:ind w:left="107"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Lecturer:</w:t>
            </w:r>
          </w:p>
        </w:tc>
        <w:tc>
          <w:tcPr/>
          <w:p w:rsidR="00000000" w:rsidDel="00000000" w:rsidP="00000000" w:rsidRDefault="00000000" w:rsidRPr="00000000" w14:paraId="00000012">
            <w:pPr>
              <w:spacing w:after="0" w:before="24" w:line="259" w:lineRule="auto"/>
              <w:ind w:left="18" w:right="1395"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Zainab Atta Thomas Adeyemi</w:t>
            </w:r>
          </w:p>
        </w:tc>
        <w:tc>
          <w:tcPr>
            <w:shd w:fill="d9d9d9" w:val="clear"/>
          </w:tcPr>
          <w:p w:rsidR="00000000" w:rsidDel="00000000" w:rsidP="00000000" w:rsidRDefault="00000000" w:rsidRPr="00000000" w14:paraId="00000013">
            <w:pPr>
              <w:spacing w:after="0" w:before="9" w:line="240" w:lineRule="auto"/>
              <w:rPr>
                <w:rFonts w:ascii="Arial" w:cs="Arial" w:eastAsia="Arial" w:hAnsi="Arial"/>
                <w:b w:val="1"/>
                <w:sz w:val="25"/>
                <w:szCs w:val="25"/>
              </w:rPr>
            </w:pPr>
            <w:r w:rsidDel="00000000" w:rsidR="00000000" w:rsidRPr="00000000">
              <w:rPr>
                <w:rtl w:val="0"/>
              </w:rPr>
            </w:r>
          </w:p>
          <w:p w:rsidR="00000000" w:rsidDel="00000000" w:rsidP="00000000" w:rsidRDefault="00000000" w:rsidRPr="00000000" w14:paraId="00000014">
            <w:pPr>
              <w:spacing w:after="0" w:before="1" w:line="240" w:lineRule="auto"/>
              <w:ind w:left="106"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Internal Verifier:</w:t>
            </w:r>
          </w:p>
        </w:tc>
        <w:tc>
          <w:tcPr/>
          <w:p w:rsidR="00000000" w:rsidDel="00000000" w:rsidP="00000000" w:rsidRDefault="00000000" w:rsidRPr="00000000" w14:paraId="00000015">
            <w:pPr>
              <w:spacing w:after="0" w:before="9" w:line="240" w:lineRule="auto"/>
              <w:rPr>
                <w:rFonts w:ascii="Arial" w:cs="Arial" w:eastAsia="Arial" w:hAnsi="Arial"/>
                <w:b w:val="1"/>
                <w:sz w:val="25"/>
                <w:szCs w:val="25"/>
              </w:rPr>
            </w:pPr>
            <w:r w:rsidDel="00000000" w:rsidR="00000000" w:rsidRPr="00000000">
              <w:rPr>
                <w:rtl w:val="0"/>
              </w:rPr>
            </w:r>
          </w:p>
          <w:p w:rsidR="00000000" w:rsidDel="00000000" w:rsidP="00000000" w:rsidRDefault="00000000" w:rsidRPr="00000000" w14:paraId="00000016">
            <w:pPr>
              <w:spacing w:after="0" w:before="1" w:line="240" w:lineRule="auto"/>
              <w:ind w:left="106"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Dr Konstantina Mari</w:t>
            </w:r>
          </w:p>
        </w:tc>
      </w:tr>
      <w:tr>
        <w:trPr>
          <w:cantSplit w:val="0"/>
          <w:trHeight w:val="830" w:hRule="atLeast"/>
          <w:tblHeader w:val="0"/>
        </w:trPr>
        <w:tc>
          <w:tcPr>
            <w:shd w:fill="d9d9d9" w:val="clear"/>
          </w:tcPr>
          <w:p w:rsidR="00000000" w:rsidDel="00000000" w:rsidP="00000000" w:rsidRDefault="00000000" w:rsidRPr="00000000" w14:paraId="00000017">
            <w:pPr>
              <w:spacing w:after="0" w:before="26" w:line="240" w:lineRule="auto"/>
              <w:ind w:left="107"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Assignment Title:</w:t>
            </w:r>
          </w:p>
        </w:tc>
        <w:tc>
          <w:tcPr/>
          <w:p w:rsidR="00000000" w:rsidDel="00000000" w:rsidP="00000000" w:rsidRDefault="00000000" w:rsidRPr="00000000" w14:paraId="00000018">
            <w:pPr>
              <w:spacing w:after="0" w:before="26" w:line="240" w:lineRule="auto"/>
              <w:ind w:left="49"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Assessment 1: Written Report</w:t>
            </w:r>
          </w:p>
        </w:tc>
        <w:tc>
          <w:tcPr>
            <w:shd w:fill="d9d9d9" w:val="clear"/>
          </w:tcPr>
          <w:p w:rsidR="00000000" w:rsidDel="00000000" w:rsidP="00000000" w:rsidRDefault="00000000" w:rsidRPr="00000000" w14:paraId="00000019">
            <w:pPr>
              <w:spacing w:after="0" w:before="156" w:line="259" w:lineRule="auto"/>
              <w:ind w:left="106" w:right="232"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Word count (or equivalent):</w:t>
            </w:r>
          </w:p>
        </w:tc>
        <w:tc>
          <w:tcPr/>
          <w:p w:rsidR="00000000" w:rsidDel="00000000" w:rsidP="00000000" w:rsidRDefault="00000000" w:rsidRPr="00000000" w14:paraId="0000001A">
            <w:pPr>
              <w:spacing w:after="0" w:before="26" w:line="240" w:lineRule="auto"/>
              <w:ind w:left="113"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1500 Words (+/-</w:t>
            </w:r>
          </w:p>
          <w:p w:rsidR="00000000" w:rsidDel="00000000" w:rsidP="00000000" w:rsidRDefault="00000000" w:rsidRPr="00000000" w14:paraId="0000001B">
            <w:pPr>
              <w:spacing w:after="0" w:before="18" w:line="240" w:lineRule="auto"/>
              <w:ind w:left="113"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w:t>
            </w:r>
          </w:p>
        </w:tc>
      </w:tr>
      <w:tr>
        <w:trPr>
          <w:cantSplit w:val="0"/>
          <w:trHeight w:val="1612" w:hRule="atLeast"/>
          <w:tblHeader w:val="0"/>
        </w:trPr>
        <w:tc>
          <w:tcPr>
            <w:shd w:fill="d9d9d9" w:val="clear"/>
          </w:tcPr>
          <w:p w:rsidR="00000000" w:rsidDel="00000000" w:rsidP="00000000" w:rsidRDefault="00000000" w:rsidRPr="00000000" w14:paraId="0000001C">
            <w:pPr>
              <w:spacing w:after="0" w:before="26" w:line="256" w:lineRule="auto"/>
              <w:ind w:left="107"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deadline:</w:t>
            </w:r>
          </w:p>
        </w:tc>
        <w:tc>
          <w:tcPr/>
          <w:p w:rsidR="00000000" w:rsidDel="00000000" w:rsidP="00000000" w:rsidRDefault="00000000" w:rsidRPr="00000000" w14:paraId="0000001D">
            <w:pPr>
              <w:spacing w:after="0" w:before="26" w:line="516" w:lineRule="auto"/>
              <w:ind w:left="126" w:right="123" w:hanging="11.999999999999993"/>
              <w:rPr>
                <w:rFonts w:ascii="Arial" w:cs="Arial" w:eastAsia="Arial" w:hAnsi="Arial"/>
                <w:b w:val="1"/>
                <w:sz w:val="22"/>
                <w:szCs w:val="22"/>
              </w:rPr>
            </w:pPr>
            <w:r w:rsidDel="00000000" w:rsidR="00000000" w:rsidRPr="00000000">
              <w:rPr>
                <w:rFonts w:ascii="Arial" w:cs="Arial" w:eastAsia="Arial" w:hAnsi="Arial"/>
                <w:b w:val="1"/>
                <w:color w:val="ff0000"/>
                <w:sz w:val="22"/>
                <w:szCs w:val="22"/>
                <w:rtl w:val="0"/>
              </w:rPr>
              <w:t xml:space="preserve">Weekday: 05/05/2023 Weekend: 07/05/2023</w:t>
            </w:r>
            <w:r w:rsidDel="00000000" w:rsidR="00000000" w:rsidRPr="00000000">
              <w:rPr>
                <w:rtl w:val="0"/>
              </w:rPr>
            </w:r>
          </w:p>
        </w:tc>
        <w:tc>
          <w:tcPr>
            <w:shd w:fill="d9d9d9" w:val="clear"/>
          </w:tcPr>
          <w:p w:rsidR="00000000" w:rsidDel="00000000" w:rsidP="00000000" w:rsidRDefault="00000000" w:rsidRPr="00000000" w14:paraId="0000001E">
            <w:pPr>
              <w:spacing w:after="0" w:before="19" w:line="249" w:lineRule="auto"/>
              <w:ind w:left="106" w:right="78"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Return date of provisional marks &amp; written feedback:</w:t>
            </w:r>
          </w:p>
        </w:tc>
        <w:tc>
          <w:tcPr/>
          <w:p w:rsidR="00000000" w:rsidDel="00000000" w:rsidP="00000000" w:rsidRDefault="00000000" w:rsidRPr="00000000" w14:paraId="0000001F">
            <w:pPr>
              <w:spacing w:after="0" w:before="26" w:line="259" w:lineRule="auto"/>
              <w:ind w:left="113" w:right="65" w:firstLine="0"/>
              <w:rPr>
                <w:rFonts w:ascii="Arial" w:cs="Arial" w:eastAsia="Arial" w:hAnsi="Arial"/>
                <w:b w:val="1"/>
                <w:sz w:val="22"/>
                <w:szCs w:val="22"/>
              </w:rPr>
            </w:pPr>
            <w:r w:rsidDel="00000000" w:rsidR="00000000" w:rsidRPr="00000000">
              <w:rPr>
                <w:rFonts w:ascii="Arial" w:cs="Arial" w:eastAsia="Arial" w:hAnsi="Arial"/>
                <w:b w:val="1"/>
                <w:color w:val="ff0000"/>
                <w:sz w:val="22"/>
                <w:szCs w:val="22"/>
                <w:rtl w:val="0"/>
              </w:rPr>
              <w:t xml:space="preserve">20 working days from the submission date</w:t>
            </w:r>
            <w:r w:rsidDel="00000000" w:rsidR="00000000" w:rsidRPr="00000000">
              <w:rPr>
                <w:rtl w:val="0"/>
              </w:rPr>
            </w:r>
          </w:p>
        </w:tc>
      </w:tr>
    </w:tbl>
    <w:p w:rsidR="00000000" w:rsidDel="00000000" w:rsidP="00000000" w:rsidRDefault="00000000" w:rsidRPr="00000000" w14:paraId="00000020">
      <w:pPr>
        <w:widowControl w:val="1"/>
        <w:spacing w:after="200" w:before="0" w:line="276" w:lineRule="auto"/>
        <w:jc w:val="both"/>
        <w:rPr/>
      </w:pPr>
      <w:r w:rsidDel="00000000" w:rsidR="00000000" w:rsidRPr="00000000">
        <w:rPr>
          <w:rtl w:val="0"/>
        </w:rPr>
      </w:r>
    </w:p>
    <w:p w:rsidR="00000000" w:rsidDel="00000000" w:rsidP="00000000" w:rsidRDefault="00000000" w:rsidRPr="00000000" w14:paraId="00000021">
      <w:pPr>
        <w:widowControl w:val="1"/>
        <w:spacing w:after="200" w:before="0" w:line="276" w:lineRule="auto"/>
        <w:jc w:val="center"/>
        <w:rPr/>
      </w:pPr>
      <w:r w:rsidDel="00000000" w:rsidR="00000000" w:rsidRPr="00000000">
        <w:rPr>
          <w:rtl w:val="0"/>
        </w:rPr>
        <w:t xml:space="preserve">Student Name: Nina Angelova </w:t>
      </w:r>
    </w:p>
    <w:p w:rsidR="00000000" w:rsidDel="00000000" w:rsidP="00000000" w:rsidRDefault="00000000" w:rsidRPr="00000000" w14:paraId="00000022">
      <w:pPr>
        <w:widowControl w:val="1"/>
        <w:spacing w:after="200" w:before="0" w:line="276" w:lineRule="auto"/>
        <w:jc w:val="center"/>
        <w:rPr/>
      </w:pPr>
      <w:r w:rsidDel="00000000" w:rsidR="00000000" w:rsidRPr="00000000">
        <w:rPr>
          <w:rtl w:val="0"/>
        </w:rPr>
        <w:t xml:space="preserve">Student ID: 2023254</w:t>
      </w:r>
    </w:p>
    <w:p w:rsidR="00000000" w:rsidDel="00000000" w:rsidP="00000000" w:rsidRDefault="00000000" w:rsidRPr="00000000" w14:paraId="00000023">
      <w:pPr>
        <w:widowControl w:val="1"/>
        <w:spacing w:after="200" w:before="0" w:line="276" w:lineRule="auto"/>
        <w:jc w:val="center"/>
        <w:rPr/>
      </w:pPr>
      <w:r w:rsidDel="00000000" w:rsidR="00000000" w:rsidRPr="00000000">
        <w:rPr>
          <w:rtl w:val="0"/>
        </w:rPr>
        <w:t xml:space="preserve">Lecturer name : Dr Konstantina Mari</w:t>
      </w:r>
      <w:r w:rsidDel="00000000" w:rsidR="00000000" w:rsidRPr="00000000">
        <w:br w:type="page"/>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Table of Contents</w:t>
        <w:br w:type="textWrapping"/>
      </w:r>
    </w:p>
    <w:sdt>
      <w:sdtPr>
        <w:docPartObj>
          <w:docPartGallery w:val="Table of Contents"/>
          <w:docPartUnique w:val="1"/>
        </w:docPartObj>
      </w:sdtPr>
      <w:sdtContent>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016"/>
            </w:tabs>
            <w:spacing w:after="120" w:before="120" w:line="36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016"/>
            </w:tabs>
            <w:spacing w:after="120" w:before="12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016"/>
            </w:tabs>
            <w:spacing w:after="120" w:before="12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Discussion</w:t>
              <w:tab/>
              <w:t xml:space="preserve">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016"/>
            </w:tabs>
            <w:spacing w:after="120" w:before="12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016"/>
            </w:tabs>
            <w:spacing w:after="120" w:before="12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Reference List</w:t>
              <w:tab/>
              <w:t xml:space="preserve">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widowControl w:val="1"/>
        <w:spacing w:after="200" w:before="0" w:lineRule="auto"/>
        <w:rPr>
          <w:b w:val="1"/>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jc w:val="both"/>
        <w:rPr/>
      </w:pPr>
      <w:bookmarkStart w:colFirst="0" w:colLast="0" w:name="_heading=h.30j0zll" w:id="1"/>
      <w:bookmarkEnd w:id="1"/>
      <w:r w:rsidDel="00000000" w:rsidR="00000000" w:rsidRPr="00000000">
        <w:rPr>
          <w:rtl w:val="0"/>
        </w:rPr>
        <w:t xml:space="preserve">Introduction </w:t>
      </w:r>
    </w:p>
    <w:p w:rsidR="00000000" w:rsidDel="00000000" w:rsidP="00000000" w:rsidRDefault="00000000" w:rsidRPr="00000000" w14:paraId="0000002C">
      <w:pPr>
        <w:jc w:val="both"/>
        <w:rPr/>
      </w:pPr>
      <w:r w:rsidDel="00000000" w:rsidR="00000000" w:rsidRPr="00000000">
        <w:rPr>
          <w:rtl w:val="0"/>
        </w:rPr>
        <w:t xml:space="preserve">Financial management is of great importance and relevance to all business organisations. BT Group is one of the leading communication services organisations in the world that provides solutions to customers that have an integral role in the modern life of people (BT Plc, 2023). The company employs about 105,300 employees all over the world (BT Plc, 2023). BT Group is also one of the most technologically advanced organisations. In this study, international financial management and its importance in BT Group will be discussed. Besides this, discussions will be made on the challenges experienced in diverse international financial markets. A critical analysis will also be conducted on the organisation's corporate dividend policy, efficient market hypothesis and project appraising methods, which are important aspects of international financial management.</w:t>
      </w: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jc w:val="both"/>
        <w:rPr/>
      </w:pPr>
      <w:bookmarkStart w:colFirst="0" w:colLast="0" w:name="_heading=h.1fob9te" w:id="2"/>
      <w:bookmarkEnd w:id="2"/>
      <w:r w:rsidDel="00000000" w:rsidR="00000000" w:rsidRPr="00000000">
        <w:rPr>
          <w:rtl w:val="0"/>
        </w:rPr>
        <w:t xml:space="preserve">Discussion</w:t>
      </w:r>
    </w:p>
    <w:p w:rsidR="00000000" w:rsidDel="00000000" w:rsidP="00000000" w:rsidRDefault="00000000" w:rsidRPr="00000000" w14:paraId="0000002E">
      <w:pPr>
        <w:jc w:val="both"/>
        <w:rPr/>
      </w:pPr>
      <w:r w:rsidDel="00000000" w:rsidR="00000000" w:rsidRPr="00000000">
        <w:rPr>
          <w:rtl w:val="0"/>
        </w:rPr>
        <w:t xml:space="preserve">Since multinational companies operate in the international market, international financial management is important for all these companies. According to Madura (2020), the study </w:t>
      </w:r>
      <w:r w:rsidDel="00000000" w:rsidR="00000000" w:rsidRPr="00000000">
        <w:rPr>
          <w:sz w:val="26"/>
          <w:szCs w:val="26"/>
          <w:rtl w:val="0"/>
        </w:rPr>
        <w:t xml:space="preserve">that engaged the evaluation of the financial collaboration that takes place between two or more nations is noted as </w:t>
      </w:r>
      <w:r w:rsidDel="00000000" w:rsidR="00000000" w:rsidRPr="00000000">
        <w:rPr>
          <w:b w:val="1"/>
          <w:i w:val="1"/>
          <w:sz w:val="26"/>
          <w:szCs w:val="26"/>
          <w:rtl w:val="0"/>
        </w:rPr>
        <w:t xml:space="preserve">international finance</w:t>
      </w:r>
      <w:r w:rsidDel="00000000" w:rsidR="00000000" w:rsidRPr="00000000">
        <w:rPr>
          <w:rtl w:val="0"/>
        </w:rPr>
        <w:t xml:space="preserve">. However, Shapiro and Hanouna (2019) mentioned that the maximisation of the wealth of shareholders present in a company, making strong financial decisions and managing overall financial performance in the international market is called </w:t>
      </w:r>
      <w:r w:rsidDel="00000000" w:rsidR="00000000" w:rsidRPr="00000000">
        <w:rPr>
          <w:b w:val="1"/>
          <w:i w:val="1"/>
          <w:rtl w:val="0"/>
        </w:rPr>
        <w:t xml:space="preserve">international financial management</w:t>
      </w:r>
      <w:r w:rsidDel="00000000" w:rsidR="00000000" w:rsidRPr="00000000">
        <w:rPr>
          <w:rtl w:val="0"/>
        </w:rPr>
        <w:t xml:space="preserve">. International financial management holds substantial importance in multinational companies such as BT Group. This is because it helps the company in terms of maximising the wealth of all its shareholders while assisting it in terms of managing financial risks. International financial management is also important in BT Group for managing and allocating funds, managing financial resources, making investment decisions and such other ways. However, international financial management poses a variety of challenges for companies. </w:t>
      </w:r>
    </w:p>
    <w:p w:rsidR="00000000" w:rsidDel="00000000" w:rsidP="00000000" w:rsidRDefault="00000000" w:rsidRPr="00000000" w14:paraId="0000002F">
      <w:pPr>
        <w:jc w:val="both"/>
        <w:rPr/>
      </w:pPr>
      <w:r w:rsidDel="00000000" w:rsidR="00000000" w:rsidRPr="00000000">
        <w:rPr>
          <w:rtl w:val="0"/>
        </w:rPr>
        <w:t xml:space="preserve">One of the main challenges related to international financial management in the context of BT Group is the </w:t>
      </w:r>
      <w:r w:rsidDel="00000000" w:rsidR="00000000" w:rsidRPr="00000000">
        <w:rPr>
          <w:b w:val="1"/>
          <w:i w:val="1"/>
          <w:rtl w:val="0"/>
        </w:rPr>
        <w:t xml:space="preserve">agency problem</w:t>
      </w:r>
      <w:r w:rsidDel="00000000" w:rsidR="00000000" w:rsidRPr="00000000">
        <w:rPr>
          <w:rtl w:val="0"/>
        </w:rPr>
        <w:t xml:space="preserve">. As mentioned by Chod and Lyandres (2021), the agency problem is an issue occurring in companies whenever there exists a conflict between the goals of their shareholders and the interests of their managers. BT Group has huge shareholders who are often distant, scattered and have differences in culture. This increases the agency costs of the company, which creates a challenge related to international financial management. The challenge is however managed by the adoption of the </w:t>
      </w:r>
      <w:r w:rsidDel="00000000" w:rsidR="00000000" w:rsidRPr="00000000">
        <w:rPr>
          <w:b w:val="1"/>
          <w:i w:val="1"/>
          <w:rtl w:val="0"/>
        </w:rPr>
        <w:t xml:space="preserve">agency theory</w:t>
      </w:r>
      <w:r w:rsidDel="00000000" w:rsidR="00000000" w:rsidRPr="00000000">
        <w:rPr>
          <w:rtl w:val="0"/>
        </w:rPr>
        <w:t xml:space="preserve">. As stated by Davis </w:t>
      </w:r>
      <w:r w:rsidDel="00000000" w:rsidR="00000000" w:rsidRPr="00000000">
        <w:rPr>
          <w:i w:val="1"/>
          <w:rtl w:val="0"/>
        </w:rPr>
        <w:t xml:space="preserve">et al</w:t>
      </w:r>
      <w:r w:rsidDel="00000000" w:rsidR="00000000" w:rsidRPr="00000000">
        <w:rPr>
          <w:rtl w:val="0"/>
        </w:rPr>
        <w:t xml:space="preserve">. (2021), the agency theory is a theory utilised for the explanation and solution of the problems that occur between the relationships of agents (managers) and principles (shareholders). The agency theory helps BT Group in elucidating the disputes of its shareholders and managers while solving them efficiently. This theory also helps the company in ensuring that all fiduciary responsibilities and duties are placed with its directors while the partial control of ownership and control lies with the shareholders. Such a balance of the interests of agents and principles in turn helps the company in managing agency problems.</w:t>
      </w:r>
    </w:p>
    <w:p w:rsidR="00000000" w:rsidDel="00000000" w:rsidP="00000000" w:rsidRDefault="00000000" w:rsidRPr="00000000" w14:paraId="00000030">
      <w:pPr>
        <w:jc w:val="both"/>
        <w:rPr/>
      </w:pPr>
      <w:r w:rsidDel="00000000" w:rsidR="00000000" w:rsidRPr="00000000">
        <w:rPr>
          <w:rtl w:val="0"/>
        </w:rPr>
        <w:t xml:space="preserve">In BT Group, </w:t>
      </w:r>
      <w:r w:rsidDel="00000000" w:rsidR="00000000" w:rsidRPr="00000000">
        <w:rPr>
          <w:b w:val="1"/>
          <w:i w:val="1"/>
          <w:rtl w:val="0"/>
        </w:rPr>
        <w:t xml:space="preserve">foreign currency risk </w:t>
      </w:r>
      <w:r w:rsidDel="00000000" w:rsidR="00000000" w:rsidRPr="00000000">
        <w:rPr>
          <w:rtl w:val="0"/>
        </w:rPr>
        <w:t xml:space="preserve">is a major challenge arising in the context of international financial management. According to Bitar (2021), the changes in the value of the currency of a nation inclusive of the potential for converting all profitable deals to losses is called the foreign currency risk. In BT Group, all foreign currency risks related to international financial management are operated by the means of adopting the </w:t>
      </w:r>
      <w:r w:rsidDel="00000000" w:rsidR="00000000" w:rsidRPr="00000000">
        <w:rPr>
          <w:b w:val="1"/>
          <w:i w:val="1"/>
          <w:rtl w:val="0"/>
        </w:rPr>
        <w:t xml:space="preserve">working capital management theory</w:t>
      </w:r>
      <w:r w:rsidDel="00000000" w:rsidR="00000000" w:rsidRPr="00000000">
        <w:rPr>
          <w:rtl w:val="0"/>
        </w:rPr>
        <w:t xml:space="preserve">. As per the working capital management theory, current assets should be managed efficiently and cash flows must be optimised. In BT Group, as per this theory, all internal trading transactions are matched by a central system and strong inter-firm payment terms are developed to reduce the terms of exchanging foreign currency. Forward contracts are used for the managing subsidiary borrowing needs and cash surpluses. This in turn manages the foreign currency risks of BT Group, thereby ensuring strong international financial management.</w:t>
      </w:r>
    </w:p>
    <w:p w:rsidR="00000000" w:rsidDel="00000000" w:rsidP="00000000" w:rsidRDefault="00000000" w:rsidRPr="00000000" w14:paraId="00000031">
      <w:pPr>
        <w:jc w:val="both"/>
        <w:rPr/>
      </w:pPr>
      <w:r w:rsidDel="00000000" w:rsidR="00000000" w:rsidRPr="00000000">
        <w:rPr>
          <w:rtl w:val="0"/>
        </w:rPr>
        <w:t xml:space="preserve">However, another major challenge that is experienced in terms of international financial management within BT Group is managing and maximising shareholders’ wealth. One of the main ways in which shareholders’ wealth is maximised in organisations is paying out dividends. As defined by Srikumar (2022), </w:t>
      </w:r>
      <w:r w:rsidDel="00000000" w:rsidR="00000000" w:rsidRPr="00000000">
        <w:rPr>
          <w:b w:val="1"/>
          <w:i w:val="1"/>
          <w:rtl w:val="0"/>
        </w:rPr>
        <w:t xml:space="preserve">dividends </w:t>
      </w:r>
      <w:r w:rsidDel="00000000" w:rsidR="00000000" w:rsidRPr="00000000">
        <w:rPr>
          <w:rtl w:val="0"/>
        </w:rPr>
        <w:t xml:space="preserve">are the types of rewards that a public organisation provides to its shareholders as returns according to the number of shares they hold within its context. However, to tackle the challenge of managing and maximising shareholders’ wealth, various types of dividends are offered to shareholders, which include scrip dividends. Besides this, ensuring the presence of soundness in its </w:t>
      </w:r>
      <w:r w:rsidDel="00000000" w:rsidR="00000000" w:rsidRPr="00000000">
        <w:rPr>
          <w:b w:val="1"/>
          <w:i w:val="1"/>
          <w:rtl w:val="0"/>
        </w:rPr>
        <w:t xml:space="preserve">dividend distribution policy </w:t>
      </w:r>
      <w:r w:rsidDel="00000000" w:rsidR="00000000" w:rsidRPr="00000000">
        <w:rPr>
          <w:rtl w:val="0"/>
        </w:rPr>
        <w:t xml:space="preserve">is also a key strategy for tackling this challenge. As mentioned by KANAKRIYAH (2020), a </w:t>
      </w:r>
      <w:r w:rsidDel="00000000" w:rsidR="00000000" w:rsidRPr="00000000">
        <w:rPr>
          <w:b w:val="1"/>
          <w:i w:val="1"/>
          <w:rtl w:val="0"/>
        </w:rPr>
        <w:t xml:space="preserve">dividend distribution policy </w:t>
      </w:r>
      <w:r w:rsidDel="00000000" w:rsidR="00000000" w:rsidRPr="00000000">
        <w:rPr>
          <w:rtl w:val="0"/>
        </w:rPr>
        <w:t xml:space="preserve">is a set of principles adopted in organisations for the establishment of accurate returns or compensations to shareholders in the form of dividends. In the context of BT Group, the dividend distribution policy adopted for international financial management is the progressive dividend policy. </w:t>
      </w:r>
    </w:p>
    <w:p w:rsidR="00000000" w:rsidDel="00000000" w:rsidP="00000000" w:rsidRDefault="00000000" w:rsidRPr="00000000" w14:paraId="00000032">
      <w:pPr>
        <w:jc w:val="both"/>
        <w:rPr/>
      </w:pPr>
      <w:r w:rsidDel="00000000" w:rsidR="00000000" w:rsidRPr="00000000">
        <w:rPr>
          <w:rtl w:val="0"/>
        </w:rPr>
        <w:t xml:space="preserve">According to Abdullahi </w:t>
      </w:r>
      <w:r w:rsidDel="00000000" w:rsidR="00000000" w:rsidRPr="00000000">
        <w:rPr>
          <w:i w:val="1"/>
          <w:rtl w:val="0"/>
        </w:rPr>
        <w:t xml:space="preserve">et al</w:t>
      </w:r>
      <w:r w:rsidDel="00000000" w:rsidR="00000000" w:rsidRPr="00000000">
        <w:rPr>
          <w:rtl w:val="0"/>
        </w:rPr>
        <w:t xml:space="preserve">. (2020), a </w:t>
      </w:r>
      <w:r w:rsidDel="00000000" w:rsidR="00000000" w:rsidRPr="00000000">
        <w:rPr>
          <w:b w:val="1"/>
          <w:i w:val="1"/>
          <w:rtl w:val="0"/>
        </w:rPr>
        <w:t xml:space="preserve">progressive dividend policy</w:t>
      </w:r>
      <w:r w:rsidDel="00000000" w:rsidR="00000000" w:rsidRPr="00000000">
        <w:rPr>
          <w:rtl w:val="0"/>
        </w:rPr>
        <w:t xml:space="preserve"> refers to a policy of distributing dividends wherein the dividends are expected to rise at least in accordance with the increases occurring in earnings per share. However, as per this dividend distribution policy, if there is a fall in earnings per share, dividends are not going to reduce. In 2021, BT Group did not pay out any dividend, as it earned huge losses in 2020 and the entire 2021 was used for recovering this loss. However, in 2022, as the company earned a huge amount of profit, it paid a final dividend worth 5.39 pence per share (BT Plc, 2023). As mentioned by BT Plc (2023), the progressive dividend policy is adopted in BT Group for growing and maintaining dividends each year alongside considering factors. These factors include business reinvestment levels and medium-term earnings expectations. Such a strong and efficient dividend distribution policy helps the company in tackling the challenge of managing and maximising shareholders’ wealth.</w:t>
      </w:r>
    </w:p>
    <w:p w:rsidR="00000000" w:rsidDel="00000000" w:rsidP="00000000" w:rsidRDefault="00000000" w:rsidRPr="00000000" w14:paraId="00000033">
      <w:pPr>
        <w:jc w:val="both"/>
        <w:rPr/>
      </w:pPr>
      <w:r w:rsidDel="00000000" w:rsidR="00000000" w:rsidRPr="00000000">
        <w:rPr>
          <w:rtl w:val="0"/>
        </w:rPr>
        <w:t xml:space="preserve">However, in international financial management, one of the main theories used is </w:t>
      </w:r>
      <w:r w:rsidDel="00000000" w:rsidR="00000000" w:rsidRPr="00000000">
        <w:rPr>
          <w:b w:val="1"/>
          <w:i w:val="1"/>
          <w:rtl w:val="0"/>
        </w:rPr>
        <w:t xml:space="preserve">efficient market hypothesis</w:t>
      </w:r>
      <w:r w:rsidDel="00000000" w:rsidR="00000000" w:rsidRPr="00000000">
        <w:rPr>
          <w:rtl w:val="0"/>
        </w:rPr>
        <w:t xml:space="preserve">. As mentioned by Kyriazis (2019), the theory of efficient market hypothesis states that the cost of a firm's financial instruments provide a reflection of all their available business information. However, there are diverse strategies that multinational organisations adopt as a part of the theory of efficient market hypothesis. The two of these theories involve active management and passive management. The BT Group context uses as a part the active management strategy of efficient market hypothesis theory. This strategy is adopted because BT Group is a big organisation and has a strong, large and diversified portfolio. Due to this strong, large and diversified portfolio, all the purchase and sales transactions of the company are large almost regularly. This in turn leads the company towards adopting the active management strategy according to the theory of efficient market hypothesis.</w:t>
      </w:r>
    </w:p>
    <w:p w:rsidR="00000000" w:rsidDel="00000000" w:rsidP="00000000" w:rsidRDefault="00000000" w:rsidRPr="00000000" w14:paraId="00000034">
      <w:pPr>
        <w:jc w:val="both"/>
        <w:rPr/>
      </w:pPr>
      <w:r w:rsidDel="00000000" w:rsidR="00000000" w:rsidRPr="00000000">
        <w:rPr>
          <w:rtl w:val="0"/>
        </w:rPr>
        <w:t xml:space="preserve">However, in terms of international financial management, </w:t>
      </w:r>
      <w:r w:rsidDel="00000000" w:rsidR="00000000" w:rsidRPr="00000000">
        <w:rPr>
          <w:b w:val="1"/>
          <w:i w:val="1"/>
          <w:rtl w:val="0"/>
        </w:rPr>
        <w:t xml:space="preserve">managing investments </w:t>
      </w:r>
      <w:r w:rsidDel="00000000" w:rsidR="00000000" w:rsidRPr="00000000">
        <w:rPr>
          <w:rtl w:val="0"/>
        </w:rPr>
        <w:t xml:space="preserve">is one of the main issues. According to Kevin (2022), making strong and sound investment decisions is important for multinational organisations, as investment decisions involve huge amounts of costs and the returns on investment depend on currency exchange risks. In this context, Anikina </w:t>
      </w:r>
      <w:r w:rsidDel="00000000" w:rsidR="00000000" w:rsidRPr="00000000">
        <w:rPr>
          <w:i w:val="1"/>
          <w:rtl w:val="0"/>
        </w:rPr>
        <w:t xml:space="preserve">et al</w:t>
      </w:r>
      <w:r w:rsidDel="00000000" w:rsidR="00000000" w:rsidRPr="00000000">
        <w:rPr>
          <w:rtl w:val="0"/>
        </w:rPr>
        <w:t xml:space="preserve">. (2019) mentioned that there are a variety of project appraisal methods adopted in multinational companies for the measurement and analysis of project feasibility. In BT Group, net present value, scenario planning and payback period are the three main types of methods used for the evaluation of project appraisal.</w:t>
      </w:r>
    </w:p>
    <w:p w:rsidR="00000000" w:rsidDel="00000000" w:rsidP="00000000" w:rsidRDefault="00000000" w:rsidRPr="00000000" w14:paraId="00000035">
      <w:pPr>
        <w:jc w:val="both"/>
        <w:rPr/>
      </w:pPr>
      <w:r w:rsidDel="00000000" w:rsidR="00000000" w:rsidRPr="00000000">
        <w:rPr>
          <w:rtl w:val="0"/>
        </w:rPr>
        <w:t xml:space="preserve">According to Shaturaev (2022), </w:t>
      </w:r>
      <w:r w:rsidDel="00000000" w:rsidR="00000000" w:rsidRPr="00000000">
        <w:rPr>
          <w:b w:val="1"/>
          <w:i w:val="1"/>
          <w:rtl w:val="0"/>
        </w:rPr>
        <w:t xml:space="preserve">net present value </w:t>
      </w:r>
      <w:r w:rsidDel="00000000" w:rsidR="00000000" w:rsidRPr="00000000">
        <w:rPr>
          <w:rtl w:val="0"/>
        </w:rPr>
        <w:t xml:space="preserve">is a project appraisal method that measures a project’s profitability depending on present value of each of its future cash inflows and outflows. </w:t>
      </w:r>
      <w:r w:rsidDel="00000000" w:rsidR="00000000" w:rsidRPr="00000000">
        <w:rPr>
          <w:b w:val="1"/>
          <w:i w:val="1"/>
          <w:rtl w:val="0"/>
        </w:rPr>
        <w:t xml:space="preserve">Scenario planning </w:t>
      </w:r>
      <w:r w:rsidDel="00000000" w:rsidR="00000000" w:rsidRPr="00000000">
        <w:rPr>
          <w:rtl w:val="0"/>
        </w:rPr>
        <w:t xml:space="preserve">is a method of measuring the sensitivity of a project's returns or investment relative to the changes occurring in initial assumptions to investment relative. However, Abdurofi </w:t>
      </w:r>
      <w:r w:rsidDel="00000000" w:rsidR="00000000" w:rsidRPr="00000000">
        <w:rPr>
          <w:i w:val="1"/>
          <w:rtl w:val="0"/>
        </w:rPr>
        <w:t xml:space="preserve">et al.</w:t>
      </w:r>
      <w:r w:rsidDel="00000000" w:rsidR="00000000" w:rsidRPr="00000000">
        <w:rPr>
          <w:rtl w:val="0"/>
        </w:rPr>
        <w:t xml:space="preserve"> (2021) defined </w:t>
      </w:r>
      <w:r w:rsidDel="00000000" w:rsidR="00000000" w:rsidRPr="00000000">
        <w:rPr>
          <w:b w:val="1"/>
          <w:i w:val="1"/>
          <w:rtl w:val="0"/>
        </w:rPr>
        <w:t xml:space="preserve">payback period</w:t>
      </w:r>
      <w:r w:rsidDel="00000000" w:rsidR="00000000" w:rsidRPr="00000000">
        <w:rPr>
          <w:rtl w:val="0"/>
        </w:rPr>
        <w:t xml:space="preserve"> as a project appraisal method that evaluates the total period of recoupment of the initial costs spent on investments. The net present value method adopted in BT Group helps the company in decision-making about its projects through the evaluation of their profitability. Similarly, scenario planning helps the company in terms of evaluating the opportunities, risks and uncertainties that are related to each of its projects and investments. On the contrary, the payback period helps BT Group in the evaluation of the liquidity of its projects by the consideration of the time needed for recouping initial investments.</w:t>
      </w:r>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jc w:val="both"/>
        <w:rPr/>
      </w:pPr>
      <w:bookmarkStart w:colFirst="0" w:colLast="0" w:name="_heading=h.3znysh7" w:id="3"/>
      <w:bookmarkEnd w:id="3"/>
      <w:r w:rsidDel="00000000" w:rsidR="00000000" w:rsidRPr="00000000">
        <w:rPr>
          <w:rtl w:val="0"/>
        </w:rPr>
        <w:t xml:space="preserve">Conclusion </w:t>
      </w:r>
    </w:p>
    <w:p w:rsidR="00000000" w:rsidDel="00000000" w:rsidP="00000000" w:rsidRDefault="00000000" w:rsidRPr="00000000" w14:paraId="00000037">
      <w:pPr>
        <w:jc w:val="both"/>
        <w:rPr/>
      </w:pPr>
      <w:bookmarkStart w:colFirst="0" w:colLast="0" w:name="_heading=h.2et92p0" w:id="4"/>
      <w:bookmarkEnd w:id="4"/>
      <w:r w:rsidDel="00000000" w:rsidR="00000000" w:rsidRPr="00000000">
        <w:rPr>
          <w:rtl w:val="0"/>
        </w:rPr>
        <w:t xml:space="preserve">The findings of this study have been helpful in the development of a sound knowledge about how and why international financial management is important for multinational organisations. A range of ways in which international financial management is ensured and implemented in BT Group could be identified and evaluated in detail. Moreover, the importance of the agency theory and working capital management theory in terms of managing the challenges in international financial management could be analysed. The findings indicate that the progressive dividend policy is adopted within this organisation and the active management strategy is used in its context as per the theory of efficient market hypothesis. Net present value, scenario planning and payback period are the three primary methods for appraising projects in multinational organisations.</w:t>
      </w: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jc w:val="both"/>
        <w:rPr/>
      </w:pPr>
      <w:bookmarkStart w:colFirst="0" w:colLast="0" w:name="_heading=h.tyjcwt" w:id="5"/>
      <w:bookmarkEnd w:id="5"/>
      <w:r w:rsidDel="00000000" w:rsidR="00000000" w:rsidRPr="00000000">
        <w:rPr>
          <w:rtl w:val="0"/>
        </w:rPr>
        <w:t xml:space="preserve">Reference List</w:t>
      </w:r>
    </w:p>
    <w:p w:rsidR="00000000" w:rsidDel="00000000" w:rsidP="00000000" w:rsidRDefault="00000000" w:rsidRPr="00000000" w14:paraId="00000039">
      <w:pPr>
        <w:jc w:val="both"/>
        <w:rPr/>
      </w:pPr>
      <w:r w:rsidDel="00000000" w:rsidR="00000000" w:rsidRPr="00000000">
        <w:rPr>
          <w:rtl w:val="0"/>
        </w:rPr>
        <w:t xml:space="preserve">Abdullahi, N.A., Adebayo, P.A. and Aliyu, Y.M. (2020) Determinants of dividend policy of listed deposit money banks in Nigeria. </w:t>
      </w:r>
      <w:r w:rsidDel="00000000" w:rsidR="00000000" w:rsidRPr="00000000">
        <w:rPr>
          <w:i w:val="1"/>
          <w:rtl w:val="0"/>
        </w:rPr>
        <w:t xml:space="preserve">International Journal of Economics, Commerce and Management</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(8), pp.282-299.</w:t>
      </w:r>
    </w:p>
    <w:p w:rsidR="00000000" w:rsidDel="00000000" w:rsidP="00000000" w:rsidRDefault="00000000" w:rsidRPr="00000000" w14:paraId="0000003A">
      <w:pPr>
        <w:jc w:val="both"/>
        <w:rPr/>
      </w:pPr>
      <w:r w:rsidDel="00000000" w:rsidR="00000000" w:rsidRPr="00000000">
        <w:rPr>
          <w:rtl w:val="0"/>
        </w:rPr>
        <w:t xml:space="preserve">Abdurofi, I.L.M.A.S., Ismail, M.M. and Ismail, N.W. (2021) The application OF risk analysis to the project appraisal OF stingless bee farming IN Malaysia for sustainability. </w:t>
      </w:r>
      <w:r w:rsidDel="00000000" w:rsidR="00000000" w:rsidRPr="00000000">
        <w:rPr>
          <w:i w:val="1"/>
          <w:rtl w:val="0"/>
        </w:rPr>
        <w:t xml:space="preserve">Journal of Sustainability Science and Management</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(6), pp.109-122.</w:t>
      </w:r>
    </w:p>
    <w:p w:rsidR="00000000" w:rsidDel="00000000" w:rsidP="00000000" w:rsidRDefault="00000000" w:rsidRPr="00000000" w14:paraId="0000003B">
      <w:pPr>
        <w:jc w:val="both"/>
        <w:rPr/>
      </w:pPr>
      <w:r w:rsidDel="00000000" w:rsidR="00000000" w:rsidRPr="00000000">
        <w:rPr>
          <w:rtl w:val="0"/>
        </w:rPr>
        <w:t xml:space="preserve">Anikina, Y.A., Ragozina, M.A., Malanina, Y.N. and Kurako, D.V. (2019, December) Assessment of innovative projects in the rocket and space engineering. In </w:t>
      </w:r>
      <w:r w:rsidDel="00000000" w:rsidR="00000000" w:rsidRPr="00000000">
        <w:rPr>
          <w:i w:val="1"/>
          <w:rtl w:val="0"/>
        </w:rPr>
        <w:t xml:space="preserve">Journal of Physics: Conference Series</w:t>
      </w:r>
      <w:r w:rsidDel="00000000" w:rsidR="00000000" w:rsidRPr="00000000">
        <w:rPr>
          <w:rtl w:val="0"/>
        </w:rPr>
        <w:t xml:space="preserve"> (Vol. 1399, No. 3, p. 033056). IOP Publishing.</w:t>
      </w:r>
    </w:p>
    <w:p w:rsidR="00000000" w:rsidDel="00000000" w:rsidP="00000000" w:rsidRDefault="00000000" w:rsidRPr="00000000" w14:paraId="0000003C">
      <w:pPr>
        <w:jc w:val="both"/>
        <w:rPr/>
      </w:pPr>
      <w:r w:rsidDel="00000000" w:rsidR="00000000" w:rsidRPr="00000000">
        <w:rPr>
          <w:rtl w:val="0"/>
        </w:rPr>
        <w:t xml:space="preserve">Bitar, J. (2021) Foreign currency intermediation: Systemic risk and macroprudential regulation. </w:t>
      </w:r>
      <w:r w:rsidDel="00000000" w:rsidR="00000000" w:rsidRPr="00000000">
        <w:rPr>
          <w:i w:val="1"/>
          <w:rtl w:val="0"/>
        </w:rPr>
        <w:t xml:space="preserve">Latin American Journal of Central Banking</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(2), p.100028.</w:t>
      </w:r>
    </w:p>
    <w:p w:rsidR="00000000" w:rsidDel="00000000" w:rsidP="00000000" w:rsidRDefault="00000000" w:rsidRPr="00000000" w14:paraId="0000003D">
      <w:pPr>
        <w:jc w:val="both"/>
        <w:rPr/>
      </w:pPr>
      <w:r w:rsidDel="00000000" w:rsidR="00000000" w:rsidRPr="00000000">
        <w:rPr>
          <w:rtl w:val="0"/>
        </w:rPr>
        <w:t xml:space="preserve">BT Plc. (2023) </w:t>
      </w:r>
      <w:r w:rsidDel="00000000" w:rsidR="00000000" w:rsidRPr="00000000">
        <w:rPr>
          <w:i w:val="1"/>
          <w:rtl w:val="0"/>
        </w:rPr>
        <w:t xml:space="preserve">About BT Group</w:t>
      </w:r>
      <w:r w:rsidDel="00000000" w:rsidR="00000000" w:rsidRPr="00000000">
        <w:rPr>
          <w:rtl w:val="0"/>
        </w:rPr>
        <w:t xml:space="preserve">, </w:t>
      </w:r>
      <w:r w:rsidDel="00000000" w:rsidR="00000000" w:rsidRPr="00000000">
        <w:rPr>
          <w:i w:val="1"/>
          <w:rtl w:val="0"/>
        </w:rPr>
        <w:t xml:space="preserve">BT Plc</w:t>
      </w:r>
      <w:r w:rsidDel="00000000" w:rsidR="00000000" w:rsidRPr="00000000">
        <w:rPr>
          <w:rtl w:val="0"/>
        </w:rPr>
        <w:t xml:space="preserve">. Available at: https://www.bt.com/about/bt (Accessed: April 25, 2023). </w:t>
      </w:r>
    </w:p>
    <w:p w:rsidR="00000000" w:rsidDel="00000000" w:rsidP="00000000" w:rsidRDefault="00000000" w:rsidRPr="00000000" w14:paraId="0000003E">
      <w:pPr>
        <w:jc w:val="both"/>
        <w:rPr/>
      </w:pPr>
      <w:r w:rsidDel="00000000" w:rsidR="00000000" w:rsidRPr="00000000">
        <w:rPr>
          <w:rtl w:val="0"/>
        </w:rPr>
        <w:t xml:space="preserve">BT plc. (2023) </w:t>
      </w:r>
      <w:r w:rsidDel="00000000" w:rsidR="00000000" w:rsidRPr="00000000">
        <w:rPr>
          <w:i w:val="1"/>
          <w:rtl w:val="0"/>
        </w:rPr>
        <w:t xml:space="preserve">Annual reports - Financial reporting &amp; news - Investors | BT Plc</w:t>
      </w:r>
      <w:r w:rsidDel="00000000" w:rsidR="00000000" w:rsidRPr="00000000">
        <w:rPr>
          <w:rtl w:val="0"/>
        </w:rPr>
        <w:t xml:space="preserve">. Available at: https://www.bt.com/about/investors/financial-reporting-and-news/annual-reports (Accessed: April 25, 2023).</w:t>
      </w:r>
    </w:p>
    <w:p w:rsidR="00000000" w:rsidDel="00000000" w:rsidP="00000000" w:rsidRDefault="00000000" w:rsidRPr="00000000" w14:paraId="0000003F">
      <w:pPr>
        <w:jc w:val="both"/>
        <w:rPr/>
      </w:pPr>
      <w:r w:rsidDel="00000000" w:rsidR="00000000" w:rsidRPr="00000000">
        <w:rPr>
          <w:rtl w:val="0"/>
        </w:rPr>
        <w:t xml:space="preserve">BT Plc. (2023) </w:t>
      </w:r>
      <w:r w:rsidDel="00000000" w:rsidR="00000000" w:rsidRPr="00000000">
        <w:rPr>
          <w:i w:val="1"/>
          <w:rtl w:val="0"/>
        </w:rPr>
        <w:t xml:space="preserve">Our locations</w:t>
      </w:r>
      <w:r w:rsidDel="00000000" w:rsidR="00000000" w:rsidRPr="00000000">
        <w:rPr>
          <w:rtl w:val="0"/>
        </w:rPr>
        <w:t xml:space="preserve">. Available at: </w:t>
      </w:r>
      <w:hyperlink r:id="rId8">
        <w:r w:rsidDel="00000000" w:rsidR="00000000" w:rsidRPr="00000000">
          <w:rPr>
            <w:color w:val="1155cc"/>
            <w:u w:val="single"/>
            <w:rtl w:val="0"/>
          </w:rPr>
          <w:t xml:space="preserve">Our locations</w:t>
        </w:r>
      </w:hyperlink>
      <w:r w:rsidDel="00000000" w:rsidR="00000000" w:rsidRPr="00000000">
        <w:rPr>
          <w:rtl w:val="0"/>
        </w:rPr>
        <w:t xml:space="preserve">.  (Accessed: April 25, 2023). </w:t>
      </w:r>
    </w:p>
    <w:p w:rsidR="00000000" w:rsidDel="00000000" w:rsidP="00000000" w:rsidRDefault="00000000" w:rsidRPr="00000000" w14:paraId="00000040">
      <w:pPr>
        <w:jc w:val="both"/>
        <w:rPr/>
      </w:pPr>
      <w:r w:rsidDel="00000000" w:rsidR="00000000" w:rsidRPr="00000000">
        <w:rPr>
          <w:rtl w:val="0"/>
        </w:rPr>
        <w:t xml:space="preserve">Chod, J. and Lyandres, E. (2021) A theory of ICOs: Diversification, agency, and information asymmetry. </w:t>
      </w:r>
      <w:r w:rsidDel="00000000" w:rsidR="00000000" w:rsidRPr="00000000">
        <w:rPr>
          <w:i w:val="1"/>
          <w:rtl w:val="0"/>
        </w:rPr>
        <w:t xml:space="preserve">Management Science</w:t>
      </w:r>
      <w:r w:rsidDel="00000000" w:rsidR="00000000" w:rsidRPr="00000000">
        <w:rPr>
          <w:rtl w:val="0"/>
        </w:rPr>
        <w:t xml:space="preserve">, </w:t>
      </w:r>
      <w:r w:rsidDel="00000000" w:rsidR="00000000" w:rsidRPr="00000000">
        <w:rPr>
          <w:i w:val="1"/>
          <w:rtl w:val="0"/>
        </w:rPr>
        <w:t xml:space="preserve">67</w:t>
      </w:r>
      <w:r w:rsidDel="00000000" w:rsidR="00000000" w:rsidRPr="00000000">
        <w:rPr>
          <w:rtl w:val="0"/>
        </w:rPr>
        <w:t xml:space="preserve">(10), pp.5969-5989.</w:t>
      </w:r>
    </w:p>
    <w:p w:rsidR="00000000" w:rsidDel="00000000" w:rsidP="00000000" w:rsidRDefault="00000000" w:rsidRPr="00000000" w14:paraId="00000041">
      <w:pPr>
        <w:jc w:val="both"/>
        <w:rPr/>
      </w:pPr>
      <w:r w:rsidDel="00000000" w:rsidR="00000000" w:rsidRPr="00000000">
        <w:rPr>
          <w:rtl w:val="0"/>
        </w:rPr>
        <w:t xml:space="preserve">Davis, P.E., Bendickson, J.S., Muldoon, J. and McDowell, W.C. (2021) Agency theory utility and social entrepreneurship: issues of identity and role conflict. </w:t>
      </w:r>
      <w:r w:rsidDel="00000000" w:rsidR="00000000" w:rsidRPr="00000000">
        <w:rPr>
          <w:i w:val="1"/>
          <w:rtl w:val="0"/>
        </w:rPr>
        <w:t xml:space="preserve">Review of Managerial Science</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 pp.2299-2318.</w:t>
      </w:r>
    </w:p>
    <w:p w:rsidR="00000000" w:rsidDel="00000000" w:rsidP="00000000" w:rsidRDefault="00000000" w:rsidRPr="00000000" w14:paraId="00000042">
      <w:pPr>
        <w:jc w:val="both"/>
        <w:rPr/>
      </w:pPr>
      <w:r w:rsidDel="00000000" w:rsidR="00000000" w:rsidRPr="00000000">
        <w:rPr>
          <w:rtl w:val="0"/>
        </w:rPr>
        <w:t xml:space="preserve">KANAKRIYAH, R. (2020) Dividend policy and companies' financial performance. </w:t>
      </w:r>
      <w:r w:rsidDel="00000000" w:rsidR="00000000" w:rsidRPr="00000000">
        <w:rPr>
          <w:i w:val="1"/>
          <w:rtl w:val="0"/>
        </w:rPr>
        <w:t xml:space="preserve">The Journal of Asian Finance, Economics and Business</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(10), pp.531-541.</w:t>
      </w:r>
    </w:p>
    <w:p w:rsidR="00000000" w:rsidDel="00000000" w:rsidP="00000000" w:rsidRDefault="00000000" w:rsidRPr="00000000" w14:paraId="00000043">
      <w:pPr>
        <w:jc w:val="both"/>
        <w:rPr/>
      </w:pPr>
      <w:r w:rsidDel="00000000" w:rsidR="00000000" w:rsidRPr="00000000">
        <w:rPr>
          <w:rtl w:val="0"/>
        </w:rPr>
        <w:t xml:space="preserve">Kevin, S. (2022) </w:t>
      </w:r>
      <w:r w:rsidDel="00000000" w:rsidR="00000000" w:rsidRPr="00000000">
        <w:rPr>
          <w:i w:val="1"/>
          <w:rtl w:val="0"/>
        </w:rPr>
        <w:t xml:space="preserve">Fundamentals of international financial management</w:t>
      </w:r>
      <w:r w:rsidDel="00000000" w:rsidR="00000000" w:rsidRPr="00000000">
        <w:rPr>
          <w:rtl w:val="0"/>
        </w:rPr>
        <w:t xml:space="preserve">. PHI Learning Pvt. Ltd.</w:t>
      </w:r>
    </w:p>
    <w:p w:rsidR="00000000" w:rsidDel="00000000" w:rsidP="00000000" w:rsidRDefault="00000000" w:rsidRPr="00000000" w14:paraId="00000044">
      <w:pPr>
        <w:jc w:val="both"/>
        <w:rPr/>
      </w:pPr>
      <w:r w:rsidDel="00000000" w:rsidR="00000000" w:rsidRPr="00000000">
        <w:rPr>
          <w:rtl w:val="0"/>
        </w:rPr>
        <w:t xml:space="preserve">Kyriazis, N.A. (2019) A survey on efficiency and profitable trading opportunities in cryptocurrency markets. </w:t>
      </w:r>
      <w:r w:rsidDel="00000000" w:rsidR="00000000" w:rsidRPr="00000000">
        <w:rPr>
          <w:i w:val="1"/>
          <w:rtl w:val="0"/>
        </w:rPr>
        <w:t xml:space="preserve">Journal of Risk and Financial Management</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(2), p.67.</w:t>
      </w:r>
    </w:p>
    <w:p w:rsidR="00000000" w:rsidDel="00000000" w:rsidP="00000000" w:rsidRDefault="00000000" w:rsidRPr="00000000" w14:paraId="00000045">
      <w:pPr>
        <w:tabs>
          <w:tab w:val="left" w:leader="none" w:pos="4678"/>
        </w:tabs>
        <w:jc w:val="both"/>
        <w:rPr/>
      </w:pPr>
      <w:r w:rsidDel="00000000" w:rsidR="00000000" w:rsidRPr="00000000">
        <w:rPr>
          <w:rtl w:val="0"/>
        </w:rPr>
        <w:t xml:space="preserve">Madura, J. (2020) </w:t>
      </w:r>
      <w:r w:rsidDel="00000000" w:rsidR="00000000" w:rsidRPr="00000000">
        <w:rPr>
          <w:i w:val="1"/>
          <w:rtl w:val="0"/>
        </w:rPr>
        <w:t xml:space="preserve">International financial management</w:t>
      </w:r>
      <w:r w:rsidDel="00000000" w:rsidR="00000000" w:rsidRPr="00000000">
        <w:rPr>
          <w:rtl w:val="0"/>
        </w:rPr>
        <w:t xml:space="preserve">. Cengage Learning.</w:t>
      </w:r>
    </w:p>
    <w:p w:rsidR="00000000" w:rsidDel="00000000" w:rsidP="00000000" w:rsidRDefault="00000000" w:rsidRPr="00000000" w14:paraId="00000046">
      <w:pPr>
        <w:jc w:val="both"/>
        <w:rPr/>
      </w:pPr>
      <w:r w:rsidDel="00000000" w:rsidR="00000000" w:rsidRPr="00000000">
        <w:rPr>
          <w:rtl w:val="0"/>
        </w:rPr>
        <w:t xml:space="preserve">Shapiro, A.C. and Hanouna, P. (2019) </w:t>
      </w:r>
      <w:r w:rsidDel="00000000" w:rsidR="00000000" w:rsidRPr="00000000">
        <w:rPr>
          <w:i w:val="1"/>
          <w:rtl w:val="0"/>
        </w:rPr>
        <w:t xml:space="preserve">Multinational financial management</w:t>
      </w:r>
      <w:r w:rsidDel="00000000" w:rsidR="00000000" w:rsidRPr="00000000">
        <w:rPr>
          <w:rtl w:val="0"/>
        </w:rPr>
        <w:t xml:space="preserve">. John Wiley &amp; Sons.</w:t>
      </w:r>
    </w:p>
    <w:p w:rsidR="00000000" w:rsidDel="00000000" w:rsidP="00000000" w:rsidRDefault="00000000" w:rsidRPr="00000000" w14:paraId="00000047">
      <w:pPr>
        <w:jc w:val="both"/>
        <w:rPr/>
      </w:pPr>
      <w:r w:rsidDel="00000000" w:rsidR="00000000" w:rsidRPr="00000000">
        <w:rPr>
          <w:rtl w:val="0"/>
        </w:rPr>
        <w:t xml:space="preserve">Shaturaev, J. (2022) Efficiency of Investment Project Evaluation in the Development of Innovative Industrial Activities. </w:t>
      </w:r>
      <w:r w:rsidDel="00000000" w:rsidR="00000000" w:rsidRPr="00000000">
        <w:rPr>
          <w:i w:val="1"/>
          <w:rtl w:val="0"/>
        </w:rPr>
        <w:t xml:space="preserve">ASEAN Journal of Science and Engineering</w:t>
      </w:r>
      <w:r w:rsidDel="00000000" w:rsidR="00000000" w:rsidRPr="00000000">
        <w:rPr>
          <w:rtl w:val="0"/>
        </w:rPr>
        <w:t xml:space="preserve">, </w:t>
      </w:r>
      <w:r w:rsidDel="00000000" w:rsidR="00000000" w:rsidRPr="00000000">
        <w:rPr>
          <w:i w:val="1"/>
          <w:rtl w:val="0"/>
        </w:rPr>
        <w:t xml:space="preserve">3</w:t>
      </w:r>
      <w:r w:rsidDel="00000000" w:rsidR="00000000" w:rsidRPr="00000000">
        <w:rPr>
          <w:rtl w:val="0"/>
        </w:rPr>
        <w:t xml:space="preserve">(2), pp.147-162.</w:t>
      </w:r>
    </w:p>
    <w:p w:rsidR="00000000" w:rsidDel="00000000" w:rsidP="00000000" w:rsidRDefault="00000000" w:rsidRPr="00000000" w14:paraId="00000048">
      <w:pPr>
        <w:jc w:val="both"/>
        <w:rPr/>
      </w:pPr>
      <w:r w:rsidDel="00000000" w:rsidR="00000000" w:rsidRPr="00000000">
        <w:rPr>
          <w:rtl w:val="0"/>
        </w:rPr>
        <w:t xml:space="preserve">Srikumar, M.S. (2022) Dividend Policy. </w:t>
      </w:r>
      <w:r w:rsidDel="00000000" w:rsidR="00000000" w:rsidRPr="00000000">
        <w:rPr>
          <w:i w:val="1"/>
          <w:rtl w:val="0"/>
        </w:rPr>
        <w:t xml:space="preserve">International Journal of Multidisciplinary Educational Research</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(2), p.6.</w:t>
      </w:r>
    </w:p>
    <w:sectPr>
      <w:headerReference r:id="rId9" w:type="default"/>
      <w:footerReference r:id="rId1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120" w:before="12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120" w:before="12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widowControl w:val="0"/>
        <w:spacing w:after="120" w:before="120"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rPr>
  </w:style>
  <w:style w:type="paragraph" w:styleId="Heading2">
    <w:name w:val="heading 2"/>
    <w:basedOn w:val="Normal"/>
    <w:next w:val="Normal"/>
    <w:pPr>
      <w:keepNext w:val="1"/>
      <w:keepLines w:val="1"/>
      <w:spacing w:before="200" w:lineRule="auto"/>
    </w:pPr>
    <w:rPr>
      <w:b w:val="1"/>
    </w:rPr>
  </w:style>
  <w:style w:type="paragraph" w:styleId="Heading3">
    <w:name w:val="heading 3"/>
    <w:basedOn w:val="Normal"/>
    <w:next w:val="Normal"/>
    <w:pPr>
      <w:keepNext w:val="1"/>
      <w:keepLines w:val="1"/>
      <w:spacing w:before="200" w:lineRule="auto"/>
    </w:pPr>
    <w:rPr>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line="240" w:lineRule="auto"/>
      <w:ind w:left="461" w:right="966"/>
      <w:jc w:val="center"/>
    </w:pPr>
    <w:rPr>
      <w:rFonts w:ascii="Arial" w:cs="Arial" w:eastAsia="Arial" w:hAnsi="Arial"/>
      <w:b w:val="1"/>
      <w:sz w:val="44"/>
      <w:szCs w:val="44"/>
    </w:rPr>
  </w:style>
  <w:style w:type="paragraph" w:styleId="Normal" w:default="1">
    <w:name w:val="Normal"/>
    <w:uiPriority w:val="1"/>
    <w:qFormat w:val="1"/>
    <w:rsid w:val="00285BC2"/>
    <w:pPr>
      <w:widowControl w:val="0"/>
      <w:autoSpaceDE w:val="0"/>
      <w:autoSpaceDN w:val="0"/>
      <w:spacing w:after="120" w:before="120" w:line="360" w:lineRule="auto"/>
    </w:pPr>
    <w:rPr>
      <w:rFonts w:cs="Arial" w:eastAsia="Arial" w:asciiTheme="minorBidi" w:hAnsiTheme="minorBidi"/>
      <w:sz w:val="24"/>
      <w:lang w:val="en-US"/>
    </w:rPr>
  </w:style>
  <w:style w:type="paragraph" w:styleId="Heading1">
    <w:name w:val="heading 1"/>
    <w:basedOn w:val="Normal"/>
    <w:next w:val="Normal"/>
    <w:link w:val="Heading1Char"/>
    <w:uiPriority w:val="9"/>
    <w:qFormat w:val="1"/>
    <w:rsid w:val="00A6724E"/>
    <w:pPr>
      <w:keepNext w:val="1"/>
      <w:keepLines w:val="1"/>
      <w:spacing w:before="480"/>
      <w:outlineLvl w:val="0"/>
    </w:pPr>
    <w:rPr>
      <w:rFonts w:cstheme="majorBidi" w:eastAsiaTheme="majorEastAsia"/>
      <w:b w:val="1"/>
      <w:bCs w:val="1"/>
      <w:szCs w:val="28"/>
    </w:rPr>
  </w:style>
  <w:style w:type="paragraph" w:styleId="Heading2">
    <w:name w:val="heading 2"/>
    <w:basedOn w:val="Normal"/>
    <w:next w:val="Normal"/>
    <w:link w:val="Heading2Char"/>
    <w:uiPriority w:val="9"/>
    <w:unhideWhenUsed w:val="1"/>
    <w:qFormat w:val="1"/>
    <w:rsid w:val="00A6724E"/>
    <w:pPr>
      <w:keepNext w:val="1"/>
      <w:keepLines w:val="1"/>
      <w:spacing w:before="200"/>
      <w:outlineLvl w:val="1"/>
    </w:pPr>
    <w:rPr>
      <w:rFonts w:cstheme="majorBidi" w:eastAsiaTheme="majorEastAsia"/>
      <w:b w:val="1"/>
      <w:bCs w:val="1"/>
      <w:szCs w:val="26"/>
    </w:rPr>
  </w:style>
  <w:style w:type="paragraph" w:styleId="Heading3">
    <w:name w:val="heading 3"/>
    <w:basedOn w:val="Normal"/>
    <w:next w:val="Normal"/>
    <w:link w:val="Heading3Char"/>
    <w:uiPriority w:val="9"/>
    <w:unhideWhenUsed w:val="1"/>
    <w:qFormat w:val="1"/>
    <w:rsid w:val="00AF04D1"/>
    <w:pPr>
      <w:keepNext w:val="1"/>
      <w:keepLines w:val="1"/>
      <w:spacing w:before="200"/>
      <w:outlineLvl w:val="2"/>
    </w:pPr>
    <w:rPr>
      <w:rFonts w:cstheme="majorBidi" w:eastAsiaTheme="majorEastAsia"/>
      <w:b w:val="1"/>
      <w:bCs w:val="1"/>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aliases w:val="Guidance Table"/>
    <w:basedOn w:val="TableNormal"/>
    <w:uiPriority w:val="39"/>
    <w:rsid w:val="000F5E39"/>
    <w:pPr>
      <w:spacing w:after="0" w:line="240" w:lineRule="auto"/>
    </w:pPr>
    <w:rPr>
      <w:rFonts w:asciiTheme="majorBidi" w:hAnsiTheme="majorBidi"/>
      <w:sz w:val="24"/>
    </w:r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Header">
    <w:name w:val="header"/>
    <w:basedOn w:val="Normal"/>
    <w:link w:val="HeaderChar"/>
    <w:uiPriority w:val="99"/>
    <w:semiHidden w:val="1"/>
    <w:unhideWhenUsed w:val="1"/>
    <w:rsid w:val="00A458AF"/>
    <w:pPr>
      <w:tabs>
        <w:tab w:val="center" w:pos="4513"/>
        <w:tab w:val="right" w:pos="9026"/>
      </w:tabs>
      <w:spacing w:line="240" w:lineRule="auto"/>
    </w:pPr>
  </w:style>
  <w:style w:type="character" w:styleId="HeaderChar" w:customStyle="1">
    <w:name w:val="Header Char"/>
    <w:basedOn w:val="DefaultParagraphFont"/>
    <w:link w:val="Header"/>
    <w:uiPriority w:val="99"/>
    <w:semiHidden w:val="1"/>
    <w:rsid w:val="00A458AF"/>
  </w:style>
  <w:style w:type="paragraph" w:styleId="Footer">
    <w:name w:val="footer"/>
    <w:basedOn w:val="Normal"/>
    <w:link w:val="FooterChar"/>
    <w:uiPriority w:val="99"/>
    <w:unhideWhenUsed w:val="1"/>
    <w:rsid w:val="00A458AF"/>
    <w:pPr>
      <w:tabs>
        <w:tab w:val="center" w:pos="4513"/>
        <w:tab w:val="right" w:pos="9026"/>
      </w:tabs>
      <w:spacing w:line="240" w:lineRule="auto"/>
    </w:pPr>
  </w:style>
  <w:style w:type="character" w:styleId="FooterChar" w:customStyle="1">
    <w:name w:val="Footer Char"/>
    <w:basedOn w:val="DefaultParagraphFont"/>
    <w:link w:val="Footer"/>
    <w:uiPriority w:val="99"/>
    <w:rsid w:val="00A458AF"/>
  </w:style>
  <w:style w:type="character" w:styleId="Heading1Char" w:customStyle="1">
    <w:name w:val="Heading 1 Char"/>
    <w:basedOn w:val="DefaultParagraphFont"/>
    <w:link w:val="Heading1"/>
    <w:uiPriority w:val="9"/>
    <w:rsid w:val="00A6724E"/>
    <w:rPr>
      <w:rFonts w:asciiTheme="majorBidi" w:cstheme="majorBidi" w:eastAsiaTheme="majorEastAsia" w:hAnsiTheme="majorBidi"/>
      <w:b w:val="1"/>
      <w:bCs w:val="1"/>
      <w:sz w:val="24"/>
      <w:szCs w:val="28"/>
    </w:rPr>
  </w:style>
  <w:style w:type="character" w:styleId="Heading2Char" w:customStyle="1">
    <w:name w:val="Heading 2 Char"/>
    <w:basedOn w:val="DefaultParagraphFont"/>
    <w:link w:val="Heading2"/>
    <w:uiPriority w:val="9"/>
    <w:rsid w:val="00A6724E"/>
    <w:rPr>
      <w:rFonts w:asciiTheme="majorBidi" w:cstheme="majorBidi" w:eastAsiaTheme="majorEastAsia" w:hAnsiTheme="majorBidi"/>
      <w:b w:val="1"/>
      <w:bCs w:val="1"/>
      <w:sz w:val="24"/>
      <w:szCs w:val="26"/>
    </w:rPr>
  </w:style>
  <w:style w:type="paragraph" w:styleId="BalloonText">
    <w:name w:val="Balloon Text"/>
    <w:basedOn w:val="Normal"/>
    <w:link w:val="BalloonTextChar"/>
    <w:uiPriority w:val="99"/>
    <w:semiHidden w:val="1"/>
    <w:unhideWhenUsed w:val="1"/>
    <w:rsid w:val="00664150"/>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664150"/>
    <w:rPr>
      <w:rFonts w:ascii="Tahoma" w:cs="Tahoma" w:hAnsi="Tahoma"/>
      <w:sz w:val="16"/>
      <w:szCs w:val="16"/>
    </w:rPr>
  </w:style>
  <w:style w:type="paragraph" w:styleId="Caption">
    <w:name w:val="caption"/>
    <w:basedOn w:val="Normal"/>
    <w:next w:val="Normal"/>
    <w:uiPriority w:val="35"/>
    <w:unhideWhenUsed w:val="1"/>
    <w:qFormat w:val="1"/>
    <w:rsid w:val="003A4A8C"/>
    <w:rPr>
      <w:b w:val="1"/>
      <w:bCs w:val="1"/>
      <w:szCs w:val="18"/>
    </w:rPr>
  </w:style>
  <w:style w:type="character" w:styleId="Heading3Char" w:customStyle="1">
    <w:name w:val="Heading 3 Char"/>
    <w:basedOn w:val="DefaultParagraphFont"/>
    <w:link w:val="Heading3"/>
    <w:uiPriority w:val="9"/>
    <w:rsid w:val="00AF04D1"/>
    <w:rPr>
      <w:rFonts w:asciiTheme="minorBidi" w:cstheme="majorBidi" w:eastAsiaTheme="majorEastAsia" w:hAnsiTheme="minorBidi"/>
      <w:b w:val="1"/>
      <w:bCs w:val="1"/>
      <w:sz w:val="24"/>
    </w:rPr>
  </w:style>
  <w:style w:type="paragraph" w:styleId="ListParagraph">
    <w:name w:val="List Paragraph"/>
    <w:basedOn w:val="Normal"/>
    <w:uiPriority w:val="34"/>
    <w:qFormat w:val="1"/>
    <w:rsid w:val="00122B65"/>
    <w:pPr>
      <w:ind w:left="720"/>
      <w:contextualSpacing w:val="1"/>
    </w:pPr>
  </w:style>
  <w:style w:type="paragraph" w:styleId="TableofFigures">
    <w:name w:val="table of figures"/>
    <w:basedOn w:val="Normal"/>
    <w:next w:val="Normal"/>
    <w:uiPriority w:val="99"/>
    <w:unhideWhenUsed w:val="1"/>
    <w:rsid w:val="00871B20"/>
  </w:style>
  <w:style w:type="character" w:styleId="Hyperlink">
    <w:name w:val="Hyperlink"/>
    <w:basedOn w:val="DefaultParagraphFont"/>
    <w:uiPriority w:val="99"/>
    <w:unhideWhenUsed w:val="1"/>
    <w:rsid w:val="00871B20"/>
    <w:rPr>
      <w:color w:val="0000ff" w:themeColor="hyperlink"/>
      <w:u w:val="single"/>
    </w:rPr>
  </w:style>
  <w:style w:type="paragraph" w:styleId="TOCHeading">
    <w:name w:val="TOC Heading"/>
    <w:basedOn w:val="Heading1"/>
    <w:next w:val="Normal"/>
    <w:uiPriority w:val="39"/>
    <w:semiHidden w:val="1"/>
    <w:unhideWhenUsed w:val="1"/>
    <w:qFormat w:val="1"/>
    <w:rsid w:val="00871B20"/>
    <w:pPr>
      <w:spacing w:line="276" w:lineRule="auto"/>
      <w:outlineLvl w:val="9"/>
    </w:pPr>
    <w:rPr>
      <w:rFonts w:asciiTheme="majorHAnsi" w:hAnsiTheme="majorHAnsi"/>
      <w:color w:val="365f91" w:themeColor="accent1" w:themeShade="0000BF"/>
      <w:sz w:val="28"/>
    </w:rPr>
  </w:style>
  <w:style w:type="paragraph" w:styleId="TOC1">
    <w:name w:val="toc 1"/>
    <w:basedOn w:val="Normal"/>
    <w:next w:val="Normal"/>
    <w:autoRedefine w:val="1"/>
    <w:uiPriority w:val="39"/>
    <w:unhideWhenUsed w:val="1"/>
    <w:rsid w:val="00871B20"/>
    <w:pPr>
      <w:spacing w:after="100"/>
    </w:pPr>
  </w:style>
  <w:style w:type="paragraph" w:styleId="TOC2">
    <w:name w:val="toc 2"/>
    <w:basedOn w:val="Normal"/>
    <w:next w:val="Normal"/>
    <w:autoRedefine w:val="1"/>
    <w:uiPriority w:val="39"/>
    <w:unhideWhenUsed w:val="1"/>
    <w:rsid w:val="00871B20"/>
    <w:pPr>
      <w:spacing w:after="100"/>
      <w:ind w:left="240"/>
    </w:pPr>
  </w:style>
  <w:style w:type="paragraph" w:styleId="TOC3">
    <w:name w:val="toc 3"/>
    <w:basedOn w:val="Normal"/>
    <w:next w:val="Normal"/>
    <w:autoRedefine w:val="1"/>
    <w:uiPriority w:val="39"/>
    <w:unhideWhenUsed w:val="1"/>
    <w:rsid w:val="00871B20"/>
    <w:pPr>
      <w:spacing w:after="100"/>
      <w:ind w:left="480"/>
    </w:pPr>
  </w:style>
  <w:style w:type="paragraph" w:styleId="BodyText">
    <w:name w:val="Body Text"/>
    <w:basedOn w:val="Normal"/>
    <w:link w:val="BodyTextChar"/>
    <w:uiPriority w:val="1"/>
    <w:qFormat w:val="1"/>
    <w:rsid w:val="00FF194D"/>
    <w:pPr>
      <w:spacing w:line="240" w:lineRule="auto"/>
    </w:pPr>
    <w:rPr>
      <w:rFonts w:ascii="Arial" w:hAnsi="Arial"/>
      <w:sz w:val="22"/>
    </w:rPr>
  </w:style>
  <w:style w:type="character" w:styleId="BodyTextChar" w:customStyle="1">
    <w:name w:val="Body Text Char"/>
    <w:basedOn w:val="DefaultParagraphFont"/>
    <w:link w:val="BodyText"/>
    <w:uiPriority w:val="1"/>
    <w:rsid w:val="00FF194D"/>
    <w:rPr>
      <w:rFonts w:ascii="Arial" w:cs="Arial" w:eastAsia="Arial" w:hAnsi="Arial"/>
      <w:lang w:val="en-US"/>
    </w:rPr>
  </w:style>
  <w:style w:type="paragraph" w:styleId="Title">
    <w:name w:val="Title"/>
    <w:basedOn w:val="Normal"/>
    <w:link w:val="TitleChar"/>
    <w:uiPriority w:val="1"/>
    <w:qFormat w:val="1"/>
    <w:rsid w:val="00FF194D"/>
    <w:pPr>
      <w:spacing w:line="240" w:lineRule="auto"/>
      <w:ind w:left="461" w:right="966"/>
      <w:jc w:val="center"/>
    </w:pPr>
    <w:rPr>
      <w:rFonts w:ascii="Arial" w:hAnsi="Arial"/>
      <w:b w:val="1"/>
      <w:bCs w:val="1"/>
      <w:sz w:val="44"/>
      <w:szCs w:val="44"/>
    </w:rPr>
  </w:style>
  <w:style w:type="character" w:styleId="TitleChar" w:customStyle="1">
    <w:name w:val="Title Char"/>
    <w:basedOn w:val="DefaultParagraphFont"/>
    <w:link w:val="Title"/>
    <w:uiPriority w:val="1"/>
    <w:rsid w:val="00FF194D"/>
    <w:rPr>
      <w:rFonts w:ascii="Arial" w:cs="Arial" w:eastAsia="Arial" w:hAnsi="Arial"/>
      <w:b w:val="1"/>
      <w:bCs w:val="1"/>
      <w:sz w:val="44"/>
      <w:szCs w:val="44"/>
      <w:lang w:val="en-US"/>
    </w:rPr>
  </w:style>
  <w:style w:type="paragraph" w:styleId="TableParagraph" w:customStyle="1">
    <w:name w:val="Table Paragraph"/>
    <w:basedOn w:val="Normal"/>
    <w:uiPriority w:val="1"/>
    <w:qFormat w:val="1"/>
    <w:rsid w:val="006F09FD"/>
    <w:pPr>
      <w:spacing w:before="66" w:line="240" w:lineRule="auto"/>
      <w:ind w:left="110"/>
    </w:pPr>
    <w:rPr>
      <w:rFonts w:ascii="Liberation Sans Narrow" w:cs="Liberation Sans Narrow" w:eastAsia="Liberation Sans Narrow" w:hAnsi="Liberation Sans Narrow"/>
      <w:sz w:val="22"/>
    </w:rPr>
  </w:style>
  <w:style w:type="table" w:styleId="TableGrid1" w:customStyle="1">
    <w:name w:val="Table Grid1"/>
    <w:basedOn w:val="TableNormal"/>
    <w:next w:val="TableGrid"/>
    <w:uiPriority w:val="59"/>
    <w:rsid w:val="00255211"/>
    <w:pPr>
      <w:spacing w:after="0" w:line="240" w:lineRule="auto"/>
    </w:pPr>
    <w:rPr>
      <w:rFonts w:eastAsia="游明朝"/>
      <w:lang w:eastAsia="zh-CN"/>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TableGrid2" w:customStyle="1">
    <w:name w:val="Table Grid2"/>
    <w:basedOn w:val="TableNormal"/>
    <w:next w:val="TableGrid"/>
    <w:uiPriority w:val="39"/>
    <w:rsid w:val="00AB0960"/>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Emphasis">
    <w:name w:val="Emphasis"/>
    <w:basedOn w:val="DefaultParagraphFont"/>
    <w:uiPriority w:val="20"/>
    <w:qFormat w:val="1"/>
    <w:rsid w:val="0041485D"/>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jobs.bt.com/content/Our-locations/#:~:text=We%20have%20105%2C300%20employees%2C%20of%20whom%2082%2C700%20are%20in%20the%20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ZyevvnqnmwQ5dFmk+omKLZzBjxA==">AMUW2mUuSBaULaIf7xQfpI9oYZumy5WeZiLZvBJyLETUI1IfGtE2i/P0BruhdAbwR2Hjn+JZREpkZyyoh+/1lydwniCr+bLnrMOEdmDNWyE38AAkzzqa/eq2Z3w7JlWEsxoAL9puC11HwQ54xeiLZaAAOKyZbfJKFJrIKmafAn6S1F8dfNMaHsdh1jNpV/mUN5zQ4GE0Xvr1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2023-04-28T10:57:00Z</dcterms:created>
</cp:coreProperties>
</file>