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C7708" w14:textId="77777777" w:rsidR="000631FD" w:rsidRDefault="000631FD" w:rsidP="000631FD">
      <w:pPr>
        <w:pStyle w:val="Heading1"/>
      </w:pPr>
      <w:bookmarkStart w:id="0" w:name="_Toc148912197"/>
      <w:r>
        <w:t>Critical Reflection for ‘HPEN6046: Writing for TV, Film and Radio’</w:t>
      </w:r>
      <w:bookmarkEnd w:id="0"/>
    </w:p>
    <w:p w14:paraId="0A1F280E" w14:textId="77777777" w:rsidR="000631FD" w:rsidRDefault="000631FD" w:rsidP="000631FD"/>
    <w:p w14:paraId="685052C3" w14:textId="77777777" w:rsidR="000631FD" w:rsidRDefault="000631FD" w:rsidP="000631FD">
      <w:r>
        <w:t xml:space="preserve">The requirements for scriptwriting are entirely different from fiction or poetry. For concision, I will focus on contrasting these forms and exploring how their intended audiences lead to this divergence. </w:t>
      </w:r>
    </w:p>
    <w:p w14:paraId="6C83ED16" w14:textId="77777777" w:rsidR="000631FD" w:rsidRDefault="000631FD" w:rsidP="000631FD">
      <w:r>
        <w:t>I have presented three forms, humorous radio sketches, a close treatment of a television drama, and a screenplay for a children’s cartoon. These share some intrinsic differences when compared to fiction.</w:t>
      </w:r>
    </w:p>
    <w:p w14:paraId="1C2B5490" w14:textId="77777777" w:rsidR="000631FD" w:rsidRDefault="000631FD" w:rsidP="000631FD">
      <w:pPr>
        <w:rPr>
          <w:kern w:val="0"/>
          <w14:ligatures w14:val="none"/>
        </w:rPr>
      </w:pPr>
      <w:r>
        <w:t xml:space="preserve">Both radio scripts are humorous sketches set in easily relatable situations. The humour of </w:t>
      </w:r>
      <w:r w:rsidRPr="003738FF">
        <w:rPr>
          <w:i/>
          <w:iCs/>
        </w:rPr>
        <w:t>The Interview</w:t>
      </w:r>
      <w:r>
        <w:rPr>
          <w:i/>
          <w:iCs/>
        </w:rPr>
        <w:t xml:space="preserve"> </w:t>
      </w:r>
      <w:r>
        <w:t xml:space="preserve">relies on exaggerated delivery and ironic revelation of bias and might suit Radio 4’s </w:t>
      </w:r>
      <w:r w:rsidRPr="00D64E64">
        <w:rPr>
          <w:i/>
          <w:iCs/>
          <w:kern w:val="0"/>
          <w14:ligatures w14:val="none"/>
        </w:rPr>
        <w:t>Please Use Other Door</w:t>
      </w:r>
      <w:r>
        <w:rPr>
          <w:kern w:val="0"/>
          <w14:ligatures w14:val="none"/>
        </w:rPr>
        <w:t xml:space="preserve">. In contrast, </w:t>
      </w:r>
      <w:r w:rsidRPr="007B0D9B">
        <w:rPr>
          <w:i/>
          <w:iCs/>
          <w:kern w:val="0"/>
          <w14:ligatures w14:val="none"/>
        </w:rPr>
        <w:t>Substitution</w:t>
      </w:r>
      <w:r>
        <w:rPr>
          <w:kern w:val="0"/>
          <w14:ligatures w14:val="none"/>
        </w:rPr>
        <w:t xml:space="preserve"> employs an escalation of absurdity to a surreal degree. Despite an obvious debt to John Cleese, his influence is so pervasive that Pythonesque comedy could reasonably now be considered a genre. Rather, I aimed to emulate the delivery of Chris Morris’ </w:t>
      </w:r>
      <w:r w:rsidRPr="000F5EF2">
        <w:rPr>
          <w:i/>
          <w:iCs/>
          <w:kern w:val="0"/>
          <w14:ligatures w14:val="none"/>
        </w:rPr>
        <w:t>Blue Jam</w:t>
      </w:r>
      <w:r>
        <w:rPr>
          <w:i/>
          <w:iCs/>
          <w:kern w:val="0"/>
          <w14:ligatures w14:val="none"/>
        </w:rPr>
        <w:t xml:space="preserve"> </w:t>
      </w:r>
      <w:r>
        <w:rPr>
          <w:kern w:val="0"/>
          <w14:ligatures w14:val="none"/>
        </w:rPr>
        <w:t xml:space="preserve">sketches. I feel the result might suit Radio 4’s </w:t>
      </w:r>
      <w:r w:rsidRPr="000F5EF2">
        <w:rPr>
          <w:i/>
          <w:iCs/>
          <w:kern w:val="0"/>
          <w14:ligatures w14:val="none"/>
        </w:rPr>
        <w:t>Small Scenes</w:t>
      </w:r>
      <w:r>
        <w:rPr>
          <w:kern w:val="0"/>
          <w14:ligatures w14:val="none"/>
        </w:rPr>
        <w:t>.</w:t>
      </w:r>
    </w:p>
    <w:p w14:paraId="4557DD9F" w14:textId="77777777" w:rsidR="000631FD" w:rsidRDefault="000631FD" w:rsidP="000631FD">
      <w:r>
        <w:t>Writing for radio seems closest to writing fiction. Despite inherent constraints necessitating evocative sound effects and narrative clues in place of description and very careful dialogue, there are fewer steps</w:t>
      </w:r>
      <w:r w:rsidRPr="006015EF">
        <w:t xml:space="preserve"> </w:t>
      </w:r>
      <w:r>
        <w:t>than</w:t>
      </w:r>
      <w:r w:rsidRPr="006015EF">
        <w:t xml:space="preserve"> screenwriting</w:t>
      </w:r>
      <w:r>
        <w:t xml:space="preserve">, allowing more authorial control. As Mary Luckhurst points out in </w:t>
      </w:r>
      <w:r w:rsidRPr="007121A0">
        <w:rPr>
          <w:i/>
          <w:iCs/>
        </w:rPr>
        <w:t>Writing for Stage and Radio</w:t>
      </w:r>
      <w:r>
        <w:t xml:space="preserve">, ‘Unlike film … radio offers unlimited scope … There are very few scenarios which are not possible’, e.g., the athlete’s </w:t>
      </w:r>
      <w:r>
        <w:lastRenderedPageBreak/>
        <w:t xml:space="preserve">foot gag in </w:t>
      </w:r>
      <w:r w:rsidRPr="007121A0">
        <w:rPr>
          <w:i/>
          <w:iCs/>
        </w:rPr>
        <w:t>Substitution</w:t>
      </w:r>
      <w:r>
        <w:t xml:space="preserve"> would fail visually.</w:t>
      </w:r>
      <w:r>
        <w:rPr>
          <w:rStyle w:val="FootnoteReference"/>
        </w:rPr>
        <w:footnoteReference w:id="1"/>
      </w:r>
      <w:r>
        <w:t xml:space="preserve"> Nevertheless, the writer’s audience are not listeners, but rather the production team. The goal is to provide narrative structure for the team to communicate with listeners. These artists may interpret the script as they see fit, to facilitate their own creation.</w:t>
      </w:r>
    </w:p>
    <w:p w14:paraId="56DDF746" w14:textId="77777777" w:rsidR="000631FD" w:rsidRDefault="000631FD" w:rsidP="000631FD">
      <w:r>
        <w:t>While most published work is collaborative, editors and publishers help to present the writer’s work to readers. Scriptwriting, however, is one step in a process to allow professionals in other fields to create a work for the audience. Hence, screenwriters are rarely mentioned by reviewers.</w:t>
      </w:r>
    </w:p>
    <w:p w14:paraId="1C642275" w14:textId="77777777" w:rsidR="000631FD" w:rsidRDefault="000631FD" w:rsidP="000631FD">
      <w:r>
        <w:t xml:space="preserve">The excerpt from the close treatment of </w:t>
      </w:r>
      <w:r w:rsidRPr="009E6B99">
        <w:rPr>
          <w:i/>
          <w:iCs/>
        </w:rPr>
        <w:t>The Bogle of Kilmore</w:t>
      </w:r>
      <w:r>
        <w:rPr>
          <w:i/>
          <w:iCs/>
        </w:rPr>
        <w:t xml:space="preserve"> </w:t>
      </w:r>
      <w:r>
        <w:t>demonstrates this. I had conceived the idea as a short story, and it shows. A screenplay divides acts, sequences, and scenes far more formally than prose, since the team responsible for its realisation must consider locations, run-times and shooting schedules.</w:t>
      </w:r>
    </w:p>
    <w:p w14:paraId="488A96CE" w14:textId="77777777" w:rsidR="000631FD" w:rsidRDefault="000631FD" w:rsidP="000631FD">
      <w:r>
        <w:t>The story belongs in the thriller/horror genre and concerns a sociopath secretly living in the roof-space of a single woman’s house, under the misapprehension of consent if she ‘doesn’t even know he is there’. He has also accidentally murdered her partner and stowed the corpse in her attic.</w:t>
      </w:r>
    </w:p>
    <w:p w14:paraId="07C82E70" w14:textId="77777777" w:rsidR="000631FD" w:rsidRDefault="000631FD" w:rsidP="000631FD">
      <w:r>
        <w:t xml:space="preserve">In short story form, these plot points are withheld until the climax of act two, to produce suspense, and there would be clear themes underlying the narrative. However, a screenplay is not written to be read by the audience, so the requirements shift dramatically. Matthew Salesses points out that ‘A consideration of theme is always a consideration of </w:t>
      </w:r>
      <w:r>
        <w:lastRenderedPageBreak/>
        <w:t>audience…’, in this case the director.</w:t>
      </w:r>
      <w:r>
        <w:rPr>
          <w:rStyle w:val="FootnoteReference"/>
        </w:rPr>
        <w:footnoteReference w:id="2"/>
      </w:r>
      <w:r>
        <w:t xml:space="preserve"> It is no longer even a single piece. The final work is out of the writer’s hands, and the team requires several documents to accompany the screenplay.</w:t>
      </w:r>
    </w:p>
    <w:p w14:paraId="25AA2ABF" w14:textId="77777777" w:rsidR="000631FD" w:rsidRDefault="000631FD" w:rsidP="000631FD">
      <w:r>
        <w:t>Following the pitch, we need character sketches, beat-sheets, several increasingly close treatments and finally the script. These are used by the team to produce a work which follows the narrative and dialogue presented to a greater or lesser degree, depending on directorial decisions. Concerns of suspense or twists are no longer craft issues — rather, the writer must convey when things are revealed to the team responsible for the revelation.</w:t>
      </w:r>
    </w:p>
    <w:p w14:paraId="0C36B3BD" w14:textId="77777777" w:rsidR="000631FD" w:rsidRDefault="000631FD" w:rsidP="000631FD">
      <w:r>
        <w:t xml:space="preserve">Thus, in </w:t>
      </w:r>
      <w:r w:rsidRPr="00383292">
        <w:rPr>
          <w:i/>
          <w:iCs/>
        </w:rPr>
        <w:t>The Bogle</w:t>
      </w:r>
      <w:r>
        <w:t xml:space="preserve">, I introduce </w:t>
      </w:r>
      <w:r w:rsidRPr="00AB0326">
        <w:t>Diarmad</w:t>
      </w:r>
      <w:r>
        <w:t>, and his presence in the attic with the corpse of Lachie, even before the protagonist, relying on the beat sheet to ensure that the audience has the intended experience. I parodied this lack of authorial control by calling Lilias’ dog ‘Too Much’ (the dog written by Ruby and Spears, then renamed Scooby-Doo by the vice-president of CBS).</w:t>
      </w:r>
    </w:p>
    <w:p w14:paraId="2999FEAD" w14:textId="77777777" w:rsidR="000631FD" w:rsidRDefault="000631FD" w:rsidP="000631FD">
      <w:r>
        <w:t>Nevertheless, the writer must produce a narrative immediate enough to keep the audience’s attention — unlike a novel, there is no expectation to finish in one sitting. In ‘Introduction to Screenwriting’, Harris points out that ‘…if [screenwriters] want an audience to understand what they say, they have to keep us in our seats till they’ve finished saying it’.</w:t>
      </w:r>
      <w:r>
        <w:rPr>
          <w:rStyle w:val="FootnoteReference"/>
        </w:rPr>
        <w:footnoteReference w:id="3"/>
      </w:r>
    </w:p>
    <w:p w14:paraId="13CC0259" w14:textId="77777777" w:rsidR="000631FD" w:rsidRPr="003C173C" w:rsidRDefault="000631FD" w:rsidP="000631FD">
      <w:r>
        <w:t xml:space="preserve">A Writer’s Room is even more removed from the audience. The showrunner relies on a team of writers, whose interpretations may be further altered by the series editor’s staff-writers, before they even reach the production team. The scenes from </w:t>
      </w:r>
      <w:r w:rsidRPr="003C173C">
        <w:rPr>
          <w:i/>
          <w:iCs/>
        </w:rPr>
        <w:t xml:space="preserve">The Witch’s </w:t>
      </w:r>
      <w:r w:rsidRPr="003C173C">
        <w:rPr>
          <w:i/>
          <w:iCs/>
        </w:rPr>
        <w:lastRenderedPageBreak/>
        <w:t>Changeling</w:t>
      </w:r>
      <w:r>
        <w:rPr>
          <w:i/>
          <w:iCs/>
        </w:rPr>
        <w:t xml:space="preserve">, </w:t>
      </w:r>
      <w:r w:rsidRPr="003C173C">
        <w:t xml:space="preserve">represent </w:t>
      </w:r>
      <w:r>
        <w:t>writing at a level deeper into the process. The pitch was written by Emryn Hart, then a Writers’ Room collaboratively developed the series arc and theme, and details of the characters, including a change of protagonist. I then collaborated with Emryn and a smaller group of writers on the storyline of a mid-series episode, so there was no requirement for exposition regarding the pre-existing characters. The scenes I submitted therefore represent ideas emerging from these meetings. The task was to write using this outline, for subsequent presentation to a series editor.</w:t>
      </w:r>
    </w:p>
    <w:p w14:paraId="1482DF76" w14:textId="77777777" w:rsidR="000631FD" w:rsidRDefault="000631FD" w:rsidP="000631FD">
      <w:pPr>
        <w:ind w:firstLine="0"/>
      </w:pPr>
      <w:r>
        <w:tab/>
        <w:t>Furthermore, scripts for visual media require dialogue to be minimised in favour of description of setting, actions, and reactions, while not being so prescriptive as to limit set designers, the costume department, the actors, or the director. I am unsure whether my work currently achieves this balance. I suspect the esoteric alchemy required to find this line may take me more than four weeks to master, but I have tried to work with these considerations.</w:t>
      </w:r>
    </w:p>
    <w:p w14:paraId="7BC35E26" w14:textId="77777777" w:rsidR="000631FD" w:rsidRDefault="000631FD" w:rsidP="000631FD">
      <w:r>
        <w:t>So, in conclusion, a screenwriter writes for their team, not the audience. While this instinctively feels like a diluted form, it offers a unique opportunity. The writing remains in a state of flux, allowing for re-interpretations over time by different teams, something that is not usually possible with written fiction. Indeed, to re-interpret a short story, the most likely form available would be a screenplay.</w:t>
      </w:r>
    </w:p>
    <w:p w14:paraId="10FFBF0F" w14:textId="77777777" w:rsidR="000631FD" w:rsidRDefault="000631FD" w:rsidP="000631FD">
      <w:pPr>
        <w:jc w:val="center"/>
      </w:pPr>
      <w:r>
        <w:t>-x-</w:t>
      </w:r>
    </w:p>
    <w:p w14:paraId="3E51619D" w14:textId="77777777" w:rsidR="000631FD" w:rsidRDefault="000631FD" w:rsidP="000631FD">
      <w:pPr>
        <w:jc w:val="right"/>
      </w:pPr>
      <w:r>
        <w:t>Word Count 966</w:t>
      </w:r>
    </w:p>
    <w:p w14:paraId="531AA298" w14:textId="77777777" w:rsidR="000631FD" w:rsidRDefault="000631FD" w:rsidP="000631FD">
      <w:r>
        <w:br w:type="page"/>
      </w:r>
    </w:p>
    <w:p w14:paraId="3FDC83E6" w14:textId="77777777" w:rsidR="000631FD" w:rsidRDefault="000631FD" w:rsidP="000631FD">
      <w:pPr>
        <w:pStyle w:val="Heading1"/>
      </w:pPr>
      <w:bookmarkStart w:id="4" w:name="_Toc148912198"/>
      <w:r>
        <w:lastRenderedPageBreak/>
        <w:t>Bibliography</w:t>
      </w:r>
      <w:bookmarkEnd w:id="4"/>
    </w:p>
    <w:p w14:paraId="09BCF0DD" w14:textId="77777777" w:rsidR="000631FD" w:rsidRDefault="000631FD" w:rsidP="000631FD"/>
    <w:p w14:paraId="30710DC0" w14:textId="77777777" w:rsidR="000631FD" w:rsidRDefault="000631FD" w:rsidP="000631FD">
      <w:pPr>
        <w:spacing w:line="240" w:lineRule="auto"/>
        <w:ind w:left="720" w:hanging="720"/>
      </w:pPr>
      <w:r>
        <w:t>Harris,</w:t>
      </w:r>
      <w:r w:rsidRPr="00154D94">
        <w:t xml:space="preserve"> </w:t>
      </w:r>
      <w:r>
        <w:t xml:space="preserve">Mike, ‘Introduction to Scriptwriting’, in </w:t>
      </w:r>
      <w:r>
        <w:rPr>
          <w:i/>
          <w:iCs/>
        </w:rPr>
        <w:t>The Handbook of Creative Writing</w:t>
      </w:r>
      <w:r>
        <w:t>, ed. by Steven Earnshaw, 2</w:t>
      </w:r>
      <w:r w:rsidRPr="0066119D">
        <w:rPr>
          <w:vertAlign w:val="superscript"/>
        </w:rPr>
        <w:t>nd</w:t>
      </w:r>
      <w:r>
        <w:t xml:space="preserve"> edn (Edinburgh: Edinburgh University Press, 2014), pp. 251-62</w:t>
      </w:r>
    </w:p>
    <w:p w14:paraId="7C2952D1" w14:textId="77777777" w:rsidR="000631FD" w:rsidRDefault="000631FD" w:rsidP="000631FD">
      <w:pPr>
        <w:spacing w:line="240" w:lineRule="auto"/>
        <w:ind w:left="720" w:hanging="720"/>
      </w:pPr>
    </w:p>
    <w:p w14:paraId="585B147C" w14:textId="77777777" w:rsidR="000631FD" w:rsidRDefault="000631FD" w:rsidP="000631FD">
      <w:pPr>
        <w:spacing w:line="240" w:lineRule="auto"/>
        <w:ind w:left="720" w:hanging="720"/>
      </w:pPr>
      <w:r>
        <w:t>Luckhurst, Mary, ‘</w:t>
      </w:r>
      <w:r w:rsidRPr="007121A0">
        <w:t>Writing for Stage and Radio</w:t>
      </w:r>
      <w:r>
        <w:t xml:space="preserve">’, </w:t>
      </w:r>
      <w:r w:rsidRPr="007121A0">
        <w:t xml:space="preserve">in </w:t>
      </w:r>
      <w:r w:rsidRPr="007121A0">
        <w:rPr>
          <w:i/>
          <w:iCs/>
        </w:rPr>
        <w:t>The Creative Writing Handbook</w:t>
      </w:r>
      <w:r w:rsidRPr="007121A0">
        <w:t xml:space="preserve">, ed. by </w:t>
      </w:r>
      <w:r>
        <w:t>John Singleton and Mary Luckhurst</w:t>
      </w:r>
      <w:r w:rsidRPr="007121A0">
        <w:t>, 2nd edn (</w:t>
      </w:r>
      <w:r>
        <w:t>Basingstoke, UK</w:t>
      </w:r>
      <w:r w:rsidRPr="007121A0">
        <w:t xml:space="preserve">: </w:t>
      </w:r>
      <w:r>
        <w:t>Palgrave</w:t>
      </w:r>
      <w:r w:rsidRPr="007121A0">
        <w:t>, 20</w:t>
      </w:r>
      <w:r>
        <w:t>00</w:t>
      </w:r>
      <w:r w:rsidRPr="007121A0">
        <w:t xml:space="preserve">), pp. </w:t>
      </w:r>
      <w:r>
        <w:t>245-75</w:t>
      </w:r>
    </w:p>
    <w:p w14:paraId="392DBCED" w14:textId="77777777" w:rsidR="000631FD" w:rsidRDefault="000631FD" w:rsidP="000631FD">
      <w:pPr>
        <w:spacing w:line="240" w:lineRule="auto"/>
        <w:ind w:left="720" w:hanging="720"/>
      </w:pPr>
    </w:p>
    <w:p w14:paraId="2AB5AECF" w14:textId="77777777" w:rsidR="000631FD" w:rsidRPr="00145B8D" w:rsidRDefault="000631FD" w:rsidP="000631FD">
      <w:pPr>
        <w:spacing w:line="240" w:lineRule="auto"/>
        <w:ind w:left="720" w:hanging="720"/>
      </w:pPr>
      <w:r>
        <w:t xml:space="preserve">Salesses, Matthew, </w:t>
      </w:r>
      <w:r w:rsidRPr="00861D82">
        <w:rPr>
          <w:i/>
          <w:iCs/>
        </w:rPr>
        <w:t>Craft in the Real World</w:t>
      </w:r>
      <w:r>
        <w:t>, (New York: Catapult, 2021)</w:t>
      </w:r>
    </w:p>
    <w:p w14:paraId="5181135E" w14:textId="36D437C6" w:rsidR="00984753" w:rsidRPr="000631FD" w:rsidRDefault="00984753" w:rsidP="000631FD"/>
    <w:sectPr w:rsidR="00984753" w:rsidRPr="000631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C6623" w14:textId="77777777" w:rsidR="001274EA" w:rsidRDefault="001274EA" w:rsidP="00C94DCF">
      <w:pPr>
        <w:spacing w:after="0" w:line="240" w:lineRule="auto"/>
      </w:pPr>
      <w:r>
        <w:separator/>
      </w:r>
    </w:p>
  </w:endnote>
  <w:endnote w:type="continuationSeparator" w:id="0">
    <w:p w14:paraId="6109A3E5" w14:textId="77777777" w:rsidR="001274EA" w:rsidRDefault="001274EA" w:rsidP="00C94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AF7A" w14:textId="77777777" w:rsidR="001274EA" w:rsidRDefault="001274EA" w:rsidP="00C94DCF">
      <w:pPr>
        <w:spacing w:after="0" w:line="240" w:lineRule="auto"/>
      </w:pPr>
      <w:r>
        <w:separator/>
      </w:r>
    </w:p>
  </w:footnote>
  <w:footnote w:type="continuationSeparator" w:id="0">
    <w:p w14:paraId="3F507944" w14:textId="77777777" w:rsidR="001274EA" w:rsidRDefault="001274EA" w:rsidP="00C94DCF">
      <w:pPr>
        <w:spacing w:after="0" w:line="240" w:lineRule="auto"/>
      </w:pPr>
      <w:r>
        <w:continuationSeparator/>
      </w:r>
    </w:p>
  </w:footnote>
  <w:footnote w:id="1">
    <w:p w14:paraId="17000575" w14:textId="77777777" w:rsidR="000631FD" w:rsidRDefault="000631FD" w:rsidP="000631FD">
      <w:pPr>
        <w:pStyle w:val="FootnoteText"/>
      </w:pPr>
      <w:r>
        <w:rPr>
          <w:rStyle w:val="FootnoteReference"/>
        </w:rPr>
        <w:footnoteRef/>
      </w:r>
      <w:r>
        <w:t xml:space="preserve"> </w:t>
      </w:r>
      <w:bookmarkStart w:id="1" w:name="_Hlk148912040"/>
      <w:r>
        <w:t>Mary Luckhurst, ‘</w:t>
      </w:r>
      <w:r w:rsidRPr="007121A0">
        <w:t>Writing for Stage and Radio</w:t>
      </w:r>
      <w:r>
        <w:t xml:space="preserve">’, </w:t>
      </w:r>
      <w:r w:rsidRPr="007121A0">
        <w:t xml:space="preserve">in </w:t>
      </w:r>
      <w:r w:rsidRPr="007121A0">
        <w:rPr>
          <w:i/>
          <w:iCs/>
        </w:rPr>
        <w:t>The Creative Writing Handbook</w:t>
      </w:r>
      <w:r w:rsidRPr="007121A0">
        <w:t xml:space="preserve">, ed. by </w:t>
      </w:r>
      <w:r>
        <w:t>John Singleton and Mary Luckhurst</w:t>
      </w:r>
      <w:r w:rsidRPr="007121A0">
        <w:t>, 2nd edn (</w:t>
      </w:r>
      <w:r>
        <w:t>Basingstoke, UK</w:t>
      </w:r>
      <w:r w:rsidRPr="007121A0">
        <w:t xml:space="preserve">: </w:t>
      </w:r>
      <w:r>
        <w:t>Palgrave</w:t>
      </w:r>
      <w:r w:rsidRPr="007121A0">
        <w:t>, 20</w:t>
      </w:r>
      <w:r>
        <w:t>00</w:t>
      </w:r>
      <w:r w:rsidRPr="007121A0">
        <w:t xml:space="preserve">), pp. </w:t>
      </w:r>
      <w:r>
        <w:t>245-75</w:t>
      </w:r>
      <w:bookmarkEnd w:id="1"/>
      <w:r w:rsidRPr="007121A0">
        <w:t xml:space="preserve">, </w:t>
      </w:r>
      <w:r>
        <w:t>(p</w:t>
      </w:r>
      <w:r w:rsidRPr="007121A0">
        <w:t xml:space="preserve">p. </w:t>
      </w:r>
      <w:r>
        <w:t>262-63).</w:t>
      </w:r>
    </w:p>
  </w:footnote>
  <w:footnote w:id="2">
    <w:p w14:paraId="76DE0D34" w14:textId="77777777" w:rsidR="000631FD" w:rsidRDefault="000631FD" w:rsidP="000631FD">
      <w:pPr>
        <w:pStyle w:val="FootnoteText"/>
      </w:pPr>
      <w:r>
        <w:rPr>
          <w:rStyle w:val="FootnoteReference"/>
        </w:rPr>
        <w:footnoteRef/>
      </w:r>
      <w:r>
        <w:t xml:space="preserve"> </w:t>
      </w:r>
      <w:bookmarkStart w:id="2" w:name="_Hlk148912104"/>
      <w:r>
        <w:t xml:space="preserve">Matthew Salesses, </w:t>
      </w:r>
      <w:r w:rsidRPr="00861D82">
        <w:rPr>
          <w:i/>
          <w:iCs/>
        </w:rPr>
        <w:t>Craft in the Real World</w:t>
      </w:r>
      <w:r>
        <w:t xml:space="preserve">, (New York: Catapult, 2021), </w:t>
      </w:r>
      <w:bookmarkEnd w:id="2"/>
      <w:r>
        <w:t>p. 43.</w:t>
      </w:r>
    </w:p>
  </w:footnote>
  <w:footnote w:id="3">
    <w:p w14:paraId="3FAD6A78" w14:textId="77777777" w:rsidR="000631FD" w:rsidRPr="0066119D" w:rsidRDefault="000631FD" w:rsidP="000631FD">
      <w:pPr>
        <w:pStyle w:val="FootnoteText"/>
      </w:pPr>
      <w:r>
        <w:rPr>
          <w:rStyle w:val="FootnoteReference"/>
        </w:rPr>
        <w:footnoteRef/>
      </w:r>
      <w:r>
        <w:t xml:space="preserve"> Mike Harris, ‘Introduction to Scriptwriting’, </w:t>
      </w:r>
      <w:bookmarkStart w:id="3" w:name="_Hlk148907992"/>
      <w:r>
        <w:t xml:space="preserve">in </w:t>
      </w:r>
      <w:r>
        <w:rPr>
          <w:i/>
          <w:iCs/>
        </w:rPr>
        <w:t>The Handbook of Creative Writing</w:t>
      </w:r>
      <w:r>
        <w:t>, ed. by Steven Earnshaw, 2</w:t>
      </w:r>
      <w:r w:rsidRPr="0066119D">
        <w:rPr>
          <w:vertAlign w:val="superscript"/>
        </w:rPr>
        <w:t>nd</w:t>
      </w:r>
      <w:r>
        <w:t xml:space="preserve"> edn (Edinburgh: Edinburgh University Press, 2014), pp. 251-62, (p. 251).</w:t>
      </w:r>
      <w:bookmarkEnd w:id="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2NDUztTA0MLc0sTRQ0lEKTi0uzszPAykwrgUAEpqIRSwAAAA="/>
  </w:docVars>
  <w:rsids>
    <w:rsidRoot w:val="00984753"/>
    <w:rsid w:val="00021818"/>
    <w:rsid w:val="000631FD"/>
    <w:rsid w:val="00083031"/>
    <w:rsid w:val="000B5B30"/>
    <w:rsid w:val="000C3C5F"/>
    <w:rsid w:val="000F5EF2"/>
    <w:rsid w:val="001274EA"/>
    <w:rsid w:val="001375C2"/>
    <w:rsid w:val="00141966"/>
    <w:rsid w:val="00185732"/>
    <w:rsid w:val="00285447"/>
    <w:rsid w:val="003738FF"/>
    <w:rsid w:val="00383292"/>
    <w:rsid w:val="003C173C"/>
    <w:rsid w:val="003F19C3"/>
    <w:rsid w:val="0049556C"/>
    <w:rsid w:val="00537315"/>
    <w:rsid w:val="005C3F98"/>
    <w:rsid w:val="006015EF"/>
    <w:rsid w:val="006179B4"/>
    <w:rsid w:val="0065467B"/>
    <w:rsid w:val="0066119D"/>
    <w:rsid w:val="006A18B8"/>
    <w:rsid w:val="006B7B70"/>
    <w:rsid w:val="007121A0"/>
    <w:rsid w:val="007A7D7F"/>
    <w:rsid w:val="007B0D9B"/>
    <w:rsid w:val="00851488"/>
    <w:rsid w:val="00861D82"/>
    <w:rsid w:val="008822EB"/>
    <w:rsid w:val="00897C79"/>
    <w:rsid w:val="009639A7"/>
    <w:rsid w:val="00984753"/>
    <w:rsid w:val="009852BD"/>
    <w:rsid w:val="009950A9"/>
    <w:rsid w:val="009B271C"/>
    <w:rsid w:val="009E6B99"/>
    <w:rsid w:val="009F37A5"/>
    <w:rsid w:val="00A557A3"/>
    <w:rsid w:val="00A5654D"/>
    <w:rsid w:val="00A62E8A"/>
    <w:rsid w:val="00AA16A1"/>
    <w:rsid w:val="00AB0326"/>
    <w:rsid w:val="00AC668E"/>
    <w:rsid w:val="00B704B2"/>
    <w:rsid w:val="00B774B7"/>
    <w:rsid w:val="00C94DCF"/>
    <w:rsid w:val="00CA0A68"/>
    <w:rsid w:val="00CF1B83"/>
    <w:rsid w:val="00D64E64"/>
    <w:rsid w:val="00D97164"/>
    <w:rsid w:val="00DB7164"/>
    <w:rsid w:val="00E1326D"/>
    <w:rsid w:val="00E63BBB"/>
    <w:rsid w:val="00FB191B"/>
    <w:rsid w:val="00FB1E5E"/>
    <w:rsid w:val="00FF6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D3AF2"/>
  <w15:chartTrackingRefBased/>
  <w15:docId w15:val="{95BBD4ED-001E-476C-A093-9368E503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1FD"/>
  </w:style>
  <w:style w:type="paragraph" w:styleId="Heading1">
    <w:name w:val="heading 1"/>
    <w:basedOn w:val="Normal"/>
    <w:next w:val="Normal"/>
    <w:link w:val="Heading1Char"/>
    <w:uiPriority w:val="9"/>
    <w:qFormat/>
    <w:rsid w:val="009847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753"/>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94D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4DCF"/>
    <w:rPr>
      <w:sz w:val="20"/>
      <w:szCs w:val="20"/>
    </w:rPr>
  </w:style>
  <w:style w:type="character" w:styleId="FootnoteReference">
    <w:name w:val="footnote reference"/>
    <w:basedOn w:val="DefaultParagraphFont"/>
    <w:uiPriority w:val="99"/>
    <w:semiHidden/>
    <w:unhideWhenUsed/>
    <w:rsid w:val="00C94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58F8C-0B43-48C0-BC2C-FE7D41963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Temple-Purcell (2006258)</dc:creator>
  <cp:keywords/>
  <dc:description/>
  <cp:lastModifiedBy>Richard Temple-Purcell (2006258)</cp:lastModifiedBy>
  <cp:revision>2</cp:revision>
  <dcterms:created xsi:type="dcterms:W3CDTF">2023-10-22T23:13:00Z</dcterms:created>
  <dcterms:modified xsi:type="dcterms:W3CDTF">2023-10-22T23:13:00Z</dcterms:modified>
</cp:coreProperties>
</file>