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F6515E" w14:textId="77777777" w:rsidR="003704DC" w:rsidRDefault="00000000">
      <w:pPr>
        <w:spacing w:before="200" w:line="360" w:lineRule="auto"/>
        <w:jc w:val="center"/>
        <w:rPr>
          <w:b/>
          <w:bCs/>
        </w:rPr>
      </w:pPr>
      <w:r>
        <w:rPr>
          <w:noProof/>
        </w:rPr>
        <w:drawing>
          <wp:inline distT="0" distB="0" distL="0" distR="0" wp14:anchorId="2D0A41C0" wp14:editId="7D893E3C">
            <wp:extent cx="2990850" cy="1211580"/>
            <wp:effectExtent l="0" t="0" r="0" b="0"/>
            <wp:docPr id="4"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2990850" cy="1211580"/>
                    </a:xfrm>
                    <a:prstGeom prst="rect">
                      <a:avLst/>
                    </a:prstGeom>
                    <a:ln/>
                  </pic:spPr>
                </pic:pic>
              </a:graphicData>
            </a:graphic>
          </wp:inline>
        </w:drawing>
      </w:r>
    </w:p>
    <w:p w14:paraId="129C8168" w14:textId="77777777" w:rsidR="003704DC" w:rsidRDefault="003704DC">
      <w:pPr>
        <w:spacing w:before="200" w:line="360" w:lineRule="auto"/>
        <w:rPr>
          <w:b/>
          <w:bCs/>
        </w:rPr>
      </w:pPr>
    </w:p>
    <w:p w14:paraId="191D28BB" w14:textId="77777777" w:rsidR="003704DC" w:rsidRDefault="00000000">
      <w:pPr>
        <w:spacing w:before="200" w:line="360" w:lineRule="auto"/>
        <w:jc w:val="both"/>
        <w:rPr>
          <w:b/>
          <w:bCs/>
          <w:sz w:val="28"/>
          <w:szCs w:val="28"/>
        </w:rPr>
      </w:pPr>
      <w:r>
        <w:rPr>
          <w:b/>
          <w:bCs/>
          <w:sz w:val="28"/>
          <w:szCs w:val="28"/>
        </w:rPr>
        <w:t>BSc Health and Social Care</w:t>
      </w:r>
    </w:p>
    <w:p w14:paraId="0EB05F62" w14:textId="77777777" w:rsidR="003704DC" w:rsidRPr="00795BCD" w:rsidRDefault="003704DC">
      <w:pPr>
        <w:spacing w:before="200" w:line="360" w:lineRule="auto"/>
        <w:jc w:val="both"/>
        <w:rPr>
          <w:b/>
          <w:bCs/>
          <w:sz w:val="24"/>
          <w:szCs w:val="24"/>
        </w:rPr>
      </w:pPr>
    </w:p>
    <w:p w14:paraId="1F47F717" w14:textId="63E0B2FA" w:rsidR="003704DC" w:rsidRPr="00795BCD" w:rsidRDefault="00000000">
      <w:pPr>
        <w:spacing w:line="600" w:lineRule="auto"/>
        <w:rPr>
          <w:b/>
          <w:bCs/>
          <w:sz w:val="24"/>
          <w:szCs w:val="24"/>
        </w:rPr>
      </w:pPr>
      <w:r w:rsidRPr="00795BCD">
        <w:rPr>
          <w:b/>
          <w:bCs/>
          <w:sz w:val="24"/>
          <w:szCs w:val="24"/>
        </w:rPr>
        <w:t>Student Name:</w:t>
      </w:r>
      <w:r w:rsidR="00795BCD">
        <w:rPr>
          <w:b/>
          <w:bCs/>
          <w:sz w:val="24"/>
          <w:szCs w:val="24"/>
        </w:rPr>
        <w:t xml:space="preserve"> </w:t>
      </w:r>
      <w:r w:rsidR="00795BCD" w:rsidRPr="00795BCD">
        <w:rPr>
          <w:b/>
          <w:bCs/>
          <w:sz w:val="24"/>
          <w:szCs w:val="24"/>
        </w:rPr>
        <w:t>MARY RHOBI MWITA JOSEPH</w:t>
      </w:r>
    </w:p>
    <w:p w14:paraId="26DEE195" w14:textId="1C7822C8" w:rsidR="003704DC" w:rsidRPr="00795BCD" w:rsidRDefault="00000000">
      <w:pPr>
        <w:spacing w:line="600" w:lineRule="auto"/>
        <w:rPr>
          <w:b/>
          <w:bCs/>
          <w:sz w:val="24"/>
          <w:szCs w:val="24"/>
        </w:rPr>
      </w:pPr>
      <w:r w:rsidRPr="00795BCD">
        <w:rPr>
          <w:b/>
          <w:bCs/>
          <w:sz w:val="24"/>
          <w:szCs w:val="24"/>
        </w:rPr>
        <w:t>Student Number:</w:t>
      </w:r>
      <w:r w:rsidR="00795BCD" w:rsidRPr="00795BCD">
        <w:rPr>
          <w:b/>
          <w:bCs/>
          <w:sz w:val="24"/>
          <w:szCs w:val="24"/>
        </w:rPr>
        <w:t>2506778</w:t>
      </w:r>
    </w:p>
    <w:p w14:paraId="4F80DBC2" w14:textId="77777777" w:rsidR="003704DC" w:rsidRPr="00795BCD" w:rsidRDefault="00000000">
      <w:pPr>
        <w:spacing w:line="600" w:lineRule="auto"/>
        <w:rPr>
          <w:b/>
          <w:bCs/>
          <w:sz w:val="24"/>
          <w:szCs w:val="24"/>
        </w:rPr>
      </w:pPr>
      <w:r w:rsidRPr="00795BCD">
        <w:rPr>
          <w:b/>
          <w:bCs/>
          <w:sz w:val="24"/>
          <w:szCs w:val="24"/>
        </w:rPr>
        <w:t xml:space="preserve">Course Name: Principles of Health and Social Care Practice BMHP5016 </w:t>
      </w:r>
    </w:p>
    <w:p w14:paraId="1D7B7805" w14:textId="47DB24A1" w:rsidR="003704DC" w:rsidRPr="00795BCD" w:rsidRDefault="00000000">
      <w:pPr>
        <w:spacing w:line="600" w:lineRule="auto"/>
        <w:rPr>
          <w:b/>
          <w:bCs/>
          <w:sz w:val="24"/>
          <w:szCs w:val="24"/>
        </w:rPr>
      </w:pPr>
      <w:r w:rsidRPr="00795BCD">
        <w:rPr>
          <w:b/>
          <w:bCs/>
          <w:sz w:val="24"/>
          <w:szCs w:val="24"/>
        </w:rPr>
        <w:t>Lecturer Name: Azida Zainol</w:t>
      </w:r>
    </w:p>
    <w:p w14:paraId="24B829CA" w14:textId="77777777" w:rsidR="003704DC" w:rsidRPr="00795BCD" w:rsidRDefault="00000000">
      <w:pPr>
        <w:spacing w:line="600" w:lineRule="auto"/>
        <w:rPr>
          <w:b/>
          <w:bCs/>
          <w:sz w:val="24"/>
          <w:szCs w:val="24"/>
        </w:rPr>
      </w:pPr>
      <w:r w:rsidRPr="00795BCD">
        <w:rPr>
          <w:b/>
          <w:bCs/>
          <w:sz w:val="24"/>
          <w:szCs w:val="24"/>
        </w:rPr>
        <w:t>Assignment Title: Component 1 Written Assignment (Reflective Report)</w:t>
      </w:r>
    </w:p>
    <w:p w14:paraId="4827F948" w14:textId="4468E8F9" w:rsidR="003704DC" w:rsidRPr="00795BCD" w:rsidRDefault="003704DC">
      <w:pPr>
        <w:spacing w:line="600" w:lineRule="auto"/>
        <w:rPr>
          <w:b/>
          <w:bCs/>
          <w:sz w:val="24"/>
          <w:szCs w:val="24"/>
        </w:rPr>
      </w:pPr>
    </w:p>
    <w:p w14:paraId="40932343" w14:textId="77777777" w:rsidR="003704DC" w:rsidRDefault="00000000">
      <w:pPr>
        <w:spacing w:before="200" w:line="360" w:lineRule="auto"/>
        <w:jc w:val="both"/>
        <w:rPr>
          <w:b/>
          <w:bCs/>
        </w:rPr>
      </w:pPr>
      <w:r>
        <w:br w:type="page"/>
      </w:r>
    </w:p>
    <w:p w14:paraId="67BC8E97" w14:textId="77777777" w:rsidR="003704DC" w:rsidRDefault="00000000">
      <w:pPr>
        <w:spacing w:before="200" w:line="360" w:lineRule="auto"/>
        <w:jc w:val="center"/>
        <w:rPr>
          <w:b/>
          <w:bCs/>
        </w:rPr>
      </w:pPr>
      <w:r>
        <w:rPr>
          <w:b/>
          <w:bCs/>
        </w:rPr>
        <w:lastRenderedPageBreak/>
        <w:t>Table of Contents</w:t>
      </w:r>
    </w:p>
    <w:sdt>
      <w:sdtPr>
        <w:id w:val="-1177450441"/>
        <w:docPartObj>
          <w:docPartGallery w:val="Table of Contents"/>
          <w:docPartUnique/>
        </w:docPartObj>
      </w:sdtPr>
      <w:sdtContent>
        <w:p w14:paraId="47B71B1C" w14:textId="77777777" w:rsidR="003704DC" w:rsidRDefault="00000000">
          <w:pPr>
            <w:widowControl w:val="0"/>
            <w:tabs>
              <w:tab w:val="right" w:pos="12000"/>
            </w:tabs>
            <w:spacing w:before="60" w:line="360" w:lineRule="auto"/>
            <w:rPr>
              <w:color w:val="000000"/>
            </w:rPr>
          </w:pPr>
          <w:r>
            <w:fldChar w:fldCharType="begin"/>
          </w:r>
          <w:r>
            <w:instrText xml:space="preserve"> TOC \h \u \z \t "Heading 1,1,Heading 2,2,Heading 3,3,Heading 4,4,Heading 5,5,Heading 6,6,"</w:instrText>
          </w:r>
          <w:r>
            <w:fldChar w:fldCharType="separate"/>
          </w:r>
          <w:r>
            <w:t>Introduction</w:t>
          </w:r>
          <w:hyperlink w:anchor="_heading=h.eil02xk640cl">
            <w:r w:rsidR="003704DC">
              <w:rPr>
                <w:color w:val="000000"/>
              </w:rPr>
              <w:tab/>
              <w:t>3</w:t>
            </w:r>
          </w:hyperlink>
        </w:p>
        <w:p w14:paraId="5697DC5C" w14:textId="77777777" w:rsidR="003704DC" w:rsidRDefault="003704DC">
          <w:pPr>
            <w:widowControl w:val="0"/>
            <w:tabs>
              <w:tab w:val="right" w:pos="12000"/>
            </w:tabs>
            <w:spacing w:before="60" w:line="360" w:lineRule="auto"/>
            <w:rPr>
              <w:color w:val="000000"/>
            </w:rPr>
          </w:pPr>
          <w:hyperlink w:anchor="_heading=h.uk0fsa8lokmk">
            <w:r>
              <w:rPr>
                <w:color w:val="000000"/>
              </w:rPr>
              <w:t>Task 1: Reflection on the Importance of Principles of Health and Social Care</w:t>
            </w:r>
            <w:r>
              <w:rPr>
                <w:color w:val="000000"/>
              </w:rPr>
              <w:tab/>
              <w:t>3</w:t>
            </w:r>
          </w:hyperlink>
        </w:p>
        <w:p w14:paraId="1AED9170" w14:textId="77777777" w:rsidR="003704DC" w:rsidRDefault="003704DC">
          <w:pPr>
            <w:widowControl w:val="0"/>
            <w:tabs>
              <w:tab w:val="right" w:pos="12000"/>
            </w:tabs>
            <w:spacing w:before="60" w:line="360" w:lineRule="auto"/>
            <w:ind w:left="360"/>
            <w:rPr>
              <w:color w:val="000000"/>
            </w:rPr>
          </w:pPr>
          <w:hyperlink w:anchor="_heading=h.q4y30t91h6ji">
            <w:r>
              <w:rPr>
                <w:color w:val="000000"/>
              </w:rPr>
              <w:t>Person-Centred Care</w:t>
            </w:r>
            <w:r>
              <w:rPr>
                <w:color w:val="000000"/>
              </w:rPr>
              <w:tab/>
              <w:t>3</w:t>
            </w:r>
          </w:hyperlink>
        </w:p>
        <w:p w14:paraId="26F12B43" w14:textId="77777777" w:rsidR="003704DC" w:rsidRDefault="003704DC">
          <w:pPr>
            <w:widowControl w:val="0"/>
            <w:tabs>
              <w:tab w:val="right" w:pos="12000"/>
            </w:tabs>
            <w:spacing w:before="60" w:line="360" w:lineRule="auto"/>
            <w:ind w:left="360"/>
            <w:rPr>
              <w:color w:val="000000"/>
            </w:rPr>
          </w:pPr>
          <w:hyperlink w:anchor="_heading=h.wt9cixegwxdi">
            <w:r>
              <w:rPr>
                <w:color w:val="000000"/>
              </w:rPr>
              <w:t>Partnership Working</w:t>
            </w:r>
            <w:r>
              <w:rPr>
                <w:color w:val="000000"/>
              </w:rPr>
              <w:tab/>
              <w:t>3</w:t>
            </w:r>
          </w:hyperlink>
        </w:p>
        <w:p w14:paraId="0D157E50" w14:textId="77777777" w:rsidR="003704DC" w:rsidRDefault="003704DC">
          <w:pPr>
            <w:widowControl w:val="0"/>
            <w:tabs>
              <w:tab w:val="right" w:pos="12000"/>
            </w:tabs>
            <w:spacing w:before="60" w:line="360" w:lineRule="auto"/>
            <w:ind w:left="360"/>
            <w:rPr>
              <w:color w:val="000000"/>
            </w:rPr>
          </w:pPr>
          <w:hyperlink w:anchor="_heading=h.s0gon8elszfv">
            <w:r>
              <w:rPr>
                <w:color w:val="000000"/>
              </w:rPr>
              <w:t>Ethical Practice and Quality of Care</w:t>
            </w:r>
            <w:r>
              <w:rPr>
                <w:color w:val="000000"/>
              </w:rPr>
              <w:tab/>
              <w:t>4</w:t>
            </w:r>
          </w:hyperlink>
        </w:p>
        <w:p w14:paraId="0C9B75CB" w14:textId="77777777" w:rsidR="003704DC" w:rsidRDefault="003704DC">
          <w:pPr>
            <w:widowControl w:val="0"/>
            <w:tabs>
              <w:tab w:val="right" w:pos="12000"/>
            </w:tabs>
            <w:spacing w:before="60" w:line="360" w:lineRule="auto"/>
            <w:rPr>
              <w:color w:val="000000"/>
            </w:rPr>
          </w:pPr>
          <w:hyperlink w:anchor="_heading=h.r5402xh8yq9m">
            <w:r>
              <w:rPr>
                <w:color w:val="000000"/>
              </w:rPr>
              <w:t>Task 2: Practical Examples of Concepts in Practice</w:t>
            </w:r>
            <w:r>
              <w:rPr>
                <w:color w:val="000000"/>
              </w:rPr>
              <w:tab/>
              <w:t>4</w:t>
            </w:r>
          </w:hyperlink>
        </w:p>
        <w:p w14:paraId="43029F19" w14:textId="77777777" w:rsidR="003704DC" w:rsidRDefault="003704DC">
          <w:pPr>
            <w:widowControl w:val="0"/>
            <w:tabs>
              <w:tab w:val="right" w:pos="12000"/>
            </w:tabs>
            <w:spacing w:before="60" w:line="360" w:lineRule="auto"/>
            <w:ind w:left="360"/>
            <w:rPr>
              <w:color w:val="000000"/>
            </w:rPr>
          </w:pPr>
          <w:hyperlink w:anchor="_heading=h.npdwjgajs0a4">
            <w:r>
              <w:rPr>
                <w:color w:val="000000"/>
              </w:rPr>
              <w:t>Case Study</w:t>
            </w:r>
            <w:r>
              <w:rPr>
                <w:color w:val="000000"/>
              </w:rPr>
              <w:tab/>
              <w:t>4</w:t>
            </w:r>
          </w:hyperlink>
        </w:p>
        <w:p w14:paraId="569E5E51" w14:textId="77777777" w:rsidR="003704DC" w:rsidRDefault="003704DC">
          <w:pPr>
            <w:widowControl w:val="0"/>
            <w:tabs>
              <w:tab w:val="right" w:pos="12000"/>
            </w:tabs>
            <w:spacing w:before="60" w:line="360" w:lineRule="auto"/>
            <w:ind w:left="360"/>
            <w:rPr>
              <w:color w:val="000000"/>
            </w:rPr>
          </w:pPr>
          <w:hyperlink w:anchor="_heading=h.3qwq6t4ei7om">
            <w:r>
              <w:rPr>
                <w:color w:val="000000"/>
              </w:rPr>
              <w:t>Person-Centred Care</w:t>
            </w:r>
            <w:r>
              <w:rPr>
                <w:color w:val="000000"/>
              </w:rPr>
              <w:tab/>
              <w:t>5</w:t>
            </w:r>
          </w:hyperlink>
        </w:p>
        <w:p w14:paraId="14953A45" w14:textId="77777777" w:rsidR="003704DC" w:rsidRDefault="003704DC">
          <w:pPr>
            <w:widowControl w:val="0"/>
            <w:tabs>
              <w:tab w:val="right" w:pos="12000"/>
            </w:tabs>
            <w:spacing w:before="60" w:line="360" w:lineRule="auto"/>
            <w:ind w:left="360"/>
            <w:rPr>
              <w:color w:val="000000"/>
            </w:rPr>
          </w:pPr>
          <w:hyperlink w:anchor="_heading=h.93qlvj1vccm5">
            <w:r>
              <w:rPr>
                <w:color w:val="000000"/>
              </w:rPr>
              <w:t>Partnership Working</w:t>
            </w:r>
            <w:r>
              <w:rPr>
                <w:color w:val="000000"/>
              </w:rPr>
              <w:tab/>
              <w:t>5</w:t>
            </w:r>
          </w:hyperlink>
        </w:p>
        <w:p w14:paraId="3BE931AC" w14:textId="77777777" w:rsidR="003704DC" w:rsidRDefault="003704DC">
          <w:pPr>
            <w:widowControl w:val="0"/>
            <w:tabs>
              <w:tab w:val="right" w:pos="12000"/>
            </w:tabs>
            <w:spacing w:before="60" w:line="360" w:lineRule="auto"/>
            <w:ind w:left="360"/>
            <w:rPr>
              <w:color w:val="000000"/>
            </w:rPr>
          </w:pPr>
          <w:hyperlink w:anchor="_heading=h.om3jukvdys5l">
            <w:r>
              <w:rPr>
                <w:color w:val="000000"/>
              </w:rPr>
              <w:t>Ethical Practice and Confidentiality</w:t>
            </w:r>
            <w:r>
              <w:rPr>
                <w:color w:val="000000"/>
              </w:rPr>
              <w:tab/>
              <w:t>5</w:t>
            </w:r>
          </w:hyperlink>
        </w:p>
        <w:p w14:paraId="7C236DB2" w14:textId="77777777" w:rsidR="003704DC" w:rsidRDefault="003704DC">
          <w:pPr>
            <w:widowControl w:val="0"/>
            <w:tabs>
              <w:tab w:val="right" w:pos="12000"/>
            </w:tabs>
            <w:spacing w:before="60" w:line="360" w:lineRule="auto"/>
            <w:rPr>
              <w:color w:val="000000"/>
            </w:rPr>
          </w:pPr>
          <w:hyperlink w:anchor="_heading=h.ejjxq8otylq7">
            <w:r>
              <w:rPr>
                <w:color w:val="000000"/>
              </w:rPr>
              <w:t>Task 3: Self-Reflection as a Health and Social Care Professional</w:t>
            </w:r>
            <w:r>
              <w:rPr>
                <w:color w:val="000000"/>
              </w:rPr>
              <w:tab/>
              <w:t>6</w:t>
            </w:r>
          </w:hyperlink>
        </w:p>
        <w:p w14:paraId="76343A2D" w14:textId="77777777" w:rsidR="003704DC" w:rsidRDefault="003704DC">
          <w:pPr>
            <w:widowControl w:val="0"/>
            <w:tabs>
              <w:tab w:val="right" w:pos="12000"/>
            </w:tabs>
            <w:spacing w:before="60" w:line="360" w:lineRule="auto"/>
            <w:rPr>
              <w:color w:val="000000"/>
            </w:rPr>
          </w:pPr>
          <w:hyperlink w:anchor="_heading=h.ai8isun5614j">
            <w:r>
              <w:rPr>
                <w:color w:val="000000"/>
              </w:rPr>
              <w:t>Conclusion</w:t>
            </w:r>
            <w:r>
              <w:rPr>
                <w:color w:val="000000"/>
              </w:rPr>
              <w:tab/>
              <w:t>8</w:t>
            </w:r>
          </w:hyperlink>
        </w:p>
        <w:p w14:paraId="4CA8BB92" w14:textId="77777777" w:rsidR="003704DC" w:rsidRDefault="003704DC">
          <w:pPr>
            <w:widowControl w:val="0"/>
            <w:tabs>
              <w:tab w:val="right" w:pos="12000"/>
            </w:tabs>
            <w:spacing w:before="60" w:line="360" w:lineRule="auto"/>
            <w:rPr>
              <w:color w:val="000000"/>
            </w:rPr>
          </w:pPr>
          <w:hyperlink w:anchor="_heading=h.4xszy489qic5">
            <w:r>
              <w:rPr>
                <w:color w:val="000000"/>
              </w:rPr>
              <w:t>References</w:t>
            </w:r>
            <w:r>
              <w:rPr>
                <w:color w:val="000000"/>
              </w:rPr>
              <w:tab/>
              <w:t>9</w:t>
            </w:r>
          </w:hyperlink>
          <w:r w:rsidR="00000000">
            <w:fldChar w:fldCharType="end"/>
          </w:r>
        </w:p>
      </w:sdtContent>
    </w:sdt>
    <w:p w14:paraId="0030A72F" w14:textId="77777777" w:rsidR="003704DC" w:rsidRDefault="00000000">
      <w:pPr>
        <w:spacing w:before="200" w:line="360" w:lineRule="auto"/>
        <w:rPr>
          <w:b/>
          <w:bCs/>
        </w:rPr>
      </w:pPr>
      <w:r>
        <w:br w:type="page"/>
      </w:r>
    </w:p>
    <w:p w14:paraId="658A7310" w14:textId="77777777" w:rsidR="003704DC" w:rsidRPr="00795BCD" w:rsidRDefault="00000000">
      <w:pPr>
        <w:pStyle w:val="Heading1"/>
        <w:spacing w:before="200" w:line="360" w:lineRule="auto"/>
        <w:jc w:val="both"/>
        <w:rPr>
          <w:b/>
          <w:bCs/>
          <w:color w:val="000000" w:themeColor="text1"/>
          <w:sz w:val="22"/>
          <w:szCs w:val="22"/>
        </w:rPr>
      </w:pPr>
      <w:bookmarkStart w:id="0" w:name="_heading=h.eil02xk640cl" w:colFirst="0" w:colLast="0"/>
      <w:bookmarkEnd w:id="0"/>
      <w:r w:rsidRPr="00795BCD">
        <w:rPr>
          <w:b/>
          <w:bCs/>
          <w:color w:val="000000" w:themeColor="text1"/>
          <w:sz w:val="22"/>
          <w:szCs w:val="22"/>
        </w:rPr>
        <w:lastRenderedPageBreak/>
        <w:t>Introduction</w:t>
      </w:r>
    </w:p>
    <w:p w14:paraId="0B6D277A" w14:textId="7E89D6CE" w:rsidR="003704DC" w:rsidRPr="00795BCD" w:rsidRDefault="00000000">
      <w:pPr>
        <w:spacing w:before="200" w:line="360" w:lineRule="auto"/>
        <w:jc w:val="both"/>
        <w:rPr>
          <w:color w:val="000000" w:themeColor="text1"/>
        </w:rPr>
      </w:pPr>
      <w:r w:rsidRPr="00795BCD">
        <w:rPr>
          <w:color w:val="000000" w:themeColor="text1"/>
        </w:rPr>
        <w:t xml:space="preserve">Within health and social care setting, the healthcare principles support quality, safety, development, and </w:t>
      </w:r>
      <w:proofErr w:type="spellStart"/>
      <w:proofErr w:type="gramStart"/>
      <w:r w:rsidRPr="00795BCD">
        <w:rPr>
          <w:color w:val="000000" w:themeColor="text1"/>
        </w:rPr>
        <w:t>dignity.The</w:t>
      </w:r>
      <w:proofErr w:type="spellEnd"/>
      <w:proofErr w:type="gramEnd"/>
      <w:r w:rsidRPr="00795BCD">
        <w:rPr>
          <w:color w:val="000000" w:themeColor="text1"/>
        </w:rPr>
        <w:t xml:space="preserve"> significant principles of care are person-centred care, partnership working and ethical principles.  Partnership care is facilitated through the management of individual needs, preferences, and independence.  Meanwhile, partnership working supports the collaboration between service users and professionals.  Further, ethical practice maintains fairness, autonomy and responsible decision-making. This report evaluated these principles using a case study by highlighting their importance and reflecting on the individual abilities.</w:t>
      </w:r>
    </w:p>
    <w:p w14:paraId="75901C14" w14:textId="77777777" w:rsidR="003704DC" w:rsidRDefault="00000000">
      <w:pPr>
        <w:pStyle w:val="Heading1"/>
        <w:spacing w:before="200" w:line="360" w:lineRule="auto"/>
        <w:jc w:val="both"/>
        <w:rPr>
          <w:sz w:val="22"/>
          <w:szCs w:val="22"/>
        </w:rPr>
      </w:pPr>
      <w:bookmarkStart w:id="1" w:name="_heading=h.uk0fsa8lokmk" w:colFirst="0" w:colLast="0"/>
      <w:bookmarkEnd w:id="1"/>
      <w:r>
        <w:rPr>
          <w:b/>
          <w:bCs/>
          <w:sz w:val="22"/>
          <w:szCs w:val="22"/>
        </w:rPr>
        <w:t>Task 1: Reflection on the Importance of Principles of Health and Social Care</w:t>
      </w:r>
    </w:p>
    <w:p w14:paraId="34922447" w14:textId="77777777" w:rsidR="003704DC" w:rsidRDefault="00000000">
      <w:pPr>
        <w:pStyle w:val="Heading2"/>
        <w:keepNext w:val="0"/>
        <w:keepLines w:val="0"/>
        <w:spacing w:before="200" w:line="360" w:lineRule="auto"/>
        <w:jc w:val="both"/>
        <w:rPr>
          <w:b/>
          <w:bCs/>
          <w:sz w:val="22"/>
          <w:szCs w:val="22"/>
        </w:rPr>
      </w:pPr>
      <w:bookmarkStart w:id="2" w:name="_heading=h.q4y30t91h6ji" w:colFirst="0" w:colLast="0"/>
      <w:bookmarkEnd w:id="2"/>
      <w:r>
        <w:rPr>
          <w:b/>
          <w:bCs/>
          <w:sz w:val="22"/>
          <w:szCs w:val="22"/>
        </w:rPr>
        <w:t>Person-Centred Care</w:t>
      </w:r>
    </w:p>
    <w:p w14:paraId="658678C1" w14:textId="77777777" w:rsidR="003704DC" w:rsidRDefault="00000000">
      <w:pPr>
        <w:spacing w:before="200" w:line="360" w:lineRule="auto"/>
        <w:jc w:val="both"/>
      </w:pPr>
      <w:r>
        <w:t xml:space="preserve">Within UK health and social care (HSC) practices, person-centred care is considered a fundamental principle. It is mainly associated with the identification of the individual's preferences, needs, rights and values. Person-centred care specifically focuses on managing the physical, psychological, social and emotional needs of the individual rather than only considering the management of illness (Khosravi, Azar and Izadi, 2024). The person-centred care approach specifically promotes dignity, independence and inclusion of service users and decisions. According to the Care Act 2014, considering personal dignity, protection from abuse, and understanding their needs are important to facilitate person-centred care (Johnson and Boland, 2019). </w:t>
      </w:r>
      <w:r w:rsidRPr="00941A96">
        <w:rPr>
          <w:color w:val="000000" w:themeColor="text1"/>
        </w:rPr>
        <w:t xml:space="preserve">As per Maslow’s hierarchy of needs, physiological needs, safety, love and belonging, esteem and self-actualisation are important to facilitate satisfaction </w:t>
      </w:r>
      <w:r>
        <w:t xml:space="preserve">(Montag </w:t>
      </w:r>
      <w:r>
        <w:rPr>
          <w:i/>
          <w:iCs/>
        </w:rPr>
        <w:t>et al.,</w:t>
      </w:r>
      <w:r>
        <w:t xml:space="preserve"> 2020). Following this theory, health care professionals need to identify essential needs of the service user, such as personal safety, nutrition and involvement in decisions. However, the theory can oversimplify the user's priorities, such as the value of autonomy and relationships.</w:t>
      </w:r>
    </w:p>
    <w:p w14:paraId="72D37075" w14:textId="77777777" w:rsidR="003704DC" w:rsidRDefault="00000000">
      <w:pPr>
        <w:pStyle w:val="Heading2"/>
        <w:keepNext w:val="0"/>
        <w:keepLines w:val="0"/>
        <w:spacing w:before="200" w:line="360" w:lineRule="auto"/>
        <w:jc w:val="both"/>
        <w:rPr>
          <w:b/>
          <w:bCs/>
          <w:sz w:val="22"/>
          <w:szCs w:val="22"/>
        </w:rPr>
      </w:pPr>
      <w:bookmarkStart w:id="3" w:name="_heading=h.wt9cixegwxdi" w:colFirst="0" w:colLast="0"/>
      <w:bookmarkEnd w:id="3"/>
      <w:r>
        <w:rPr>
          <w:b/>
          <w:bCs/>
          <w:sz w:val="22"/>
          <w:szCs w:val="22"/>
        </w:rPr>
        <w:t>Partnership Working</w:t>
      </w:r>
    </w:p>
    <w:p w14:paraId="348E2B5F" w14:textId="77777777" w:rsidR="003704DC" w:rsidRDefault="00000000">
      <w:pPr>
        <w:spacing w:before="200" w:line="360" w:lineRule="auto"/>
        <w:jc w:val="both"/>
      </w:pPr>
      <w:r>
        <w:t xml:space="preserve">Partnership working is specifically associated with collaboration with individuals, families, care professionals, community institutions and social workers in terms of maintaining coordinated care.  For partnership working, communication is the important foundation that helps to minimise misinterpretation, allowed to identify risk and improve the continuity of support (Fynn </w:t>
      </w:r>
      <w:r>
        <w:rPr>
          <w:i/>
          <w:iCs/>
        </w:rPr>
        <w:t>et al.,</w:t>
      </w:r>
      <w:r>
        <w:t xml:space="preserve"> 2022). For instance, an individual with specific health issues like learning disabilities needs support from social workers, occupational therapists, general practitioners and community workers. In this scenario, partnership working between these professionals helps to improve health outcomes. As per the Health and Care Act 2022, collaborative and </w:t>
      </w:r>
      <w:r>
        <w:lastRenderedPageBreak/>
        <w:t>integrated working is needed across the HSC practices (Gov UK, 2022). Partnership working can improve outcomes, but effectiveness depends on communication, clear roles, and resources. However, partnership working can be hindered by professional disagreements, limited resources, and inappropriate information sharing (</w:t>
      </w:r>
      <w:proofErr w:type="spellStart"/>
      <w:r>
        <w:t>Alderwick</w:t>
      </w:r>
      <w:proofErr w:type="spellEnd"/>
      <w:r>
        <w:t xml:space="preserve"> </w:t>
      </w:r>
      <w:r>
        <w:rPr>
          <w:i/>
          <w:iCs/>
        </w:rPr>
        <w:t>et al.,</w:t>
      </w:r>
      <w:r>
        <w:t xml:space="preserve"> 2021). Therefore, effective collaboration is needed with a clear distribution of responsibilities and communication.</w:t>
      </w:r>
    </w:p>
    <w:p w14:paraId="4D22A085" w14:textId="77777777" w:rsidR="003704DC" w:rsidRDefault="00000000">
      <w:pPr>
        <w:pStyle w:val="Heading2"/>
        <w:keepNext w:val="0"/>
        <w:keepLines w:val="0"/>
        <w:spacing w:before="200" w:line="360" w:lineRule="auto"/>
        <w:jc w:val="both"/>
        <w:rPr>
          <w:b/>
          <w:bCs/>
          <w:sz w:val="22"/>
          <w:szCs w:val="22"/>
        </w:rPr>
      </w:pPr>
      <w:bookmarkStart w:id="4" w:name="_heading=h.s0gon8elszfv" w:colFirst="0" w:colLast="0"/>
      <w:bookmarkEnd w:id="4"/>
      <w:r>
        <w:rPr>
          <w:b/>
          <w:bCs/>
          <w:sz w:val="22"/>
          <w:szCs w:val="22"/>
        </w:rPr>
        <w:t>Ethical Practice and Quality of Care</w:t>
      </w:r>
    </w:p>
    <w:p w14:paraId="4474F352" w14:textId="77777777" w:rsidR="003704DC" w:rsidRDefault="00000000">
      <w:pPr>
        <w:spacing w:before="200" w:line="360" w:lineRule="auto"/>
        <w:jc w:val="both"/>
      </w:pPr>
      <w:r>
        <w:t>Ethical practice is significant in terms of maintaining quality of care. Ethical practices mainly require professionals to provide respect, autonomy, and promote benefit, avoid harm, and maintain justice during clinical practice. Autonomy is concerning with the rights of individual to make decisions regarding their care meanwhile beneficial is regarding the facilitation of well-being. Another ethical principle is non-maleficence, which involves avoiding unnecessary harm, and justice, which focuses on maintaining fair treatment and proper access to services (Varkey, 2021). According to the influential framework, comprehending ethical principles are important to maintain the better health outcomes (Oehring and Gunasekera, 2024). For instance, care professionals have a responsibility to respect the refusal of the service user towards treatment. These demonstrations are what can increase the potential risk to maintaining health outcomes. Ethical principles can only create a conflict when the service user's choices appear to cause harm. Therefore, professionals need to focus on considering the specific circumstances and capacity. As per the Nursing and Midwifery Council, prioritising people's preferences is important for preserving safety and promoting professionalism (NMC, 2018). Therefore, involving ethical principles is significant to maintain quality of care.</w:t>
      </w:r>
    </w:p>
    <w:p w14:paraId="55A764EF" w14:textId="77777777" w:rsidR="003704DC" w:rsidRPr="00941A96" w:rsidRDefault="00000000">
      <w:pPr>
        <w:pStyle w:val="Heading1"/>
        <w:spacing w:before="200" w:line="360" w:lineRule="auto"/>
        <w:jc w:val="both"/>
        <w:rPr>
          <w:b/>
          <w:bCs/>
          <w:color w:val="000000" w:themeColor="text1"/>
          <w:sz w:val="22"/>
          <w:szCs w:val="22"/>
        </w:rPr>
      </w:pPr>
      <w:bookmarkStart w:id="5" w:name="_heading=h.r5402xh8yq9m" w:colFirst="0" w:colLast="0"/>
      <w:bookmarkEnd w:id="5"/>
      <w:r w:rsidRPr="00941A96">
        <w:rPr>
          <w:b/>
          <w:bCs/>
          <w:color w:val="000000" w:themeColor="text1"/>
          <w:sz w:val="22"/>
          <w:szCs w:val="22"/>
        </w:rPr>
        <w:t>Task 2: Practical Examples of Concepts in Practice</w:t>
      </w:r>
    </w:p>
    <w:p w14:paraId="11D7FDFE" w14:textId="77777777" w:rsidR="003704DC" w:rsidRPr="00941A96" w:rsidRDefault="00000000">
      <w:pPr>
        <w:pStyle w:val="Heading2"/>
        <w:keepNext w:val="0"/>
        <w:keepLines w:val="0"/>
        <w:spacing w:before="200" w:line="360" w:lineRule="auto"/>
        <w:jc w:val="both"/>
        <w:rPr>
          <w:b/>
          <w:bCs/>
          <w:color w:val="000000" w:themeColor="text1"/>
          <w:sz w:val="22"/>
          <w:szCs w:val="22"/>
        </w:rPr>
      </w:pPr>
      <w:bookmarkStart w:id="6" w:name="_heading=h.npdwjgajs0a4" w:colFirst="0" w:colLast="0"/>
      <w:bookmarkEnd w:id="6"/>
      <w:r w:rsidRPr="00941A96">
        <w:rPr>
          <w:b/>
          <w:bCs/>
          <w:color w:val="000000" w:themeColor="text1"/>
          <w:sz w:val="22"/>
          <w:szCs w:val="22"/>
        </w:rPr>
        <w:t>Case Study</w:t>
      </w:r>
    </w:p>
    <w:p w14:paraId="2637B298" w14:textId="77777777" w:rsidR="003704DC" w:rsidRPr="00941A96" w:rsidRDefault="00000000">
      <w:pPr>
        <w:spacing w:before="200" w:line="360" w:lineRule="auto"/>
        <w:jc w:val="both"/>
        <w:rPr>
          <w:color w:val="000000" w:themeColor="text1"/>
        </w:rPr>
      </w:pPr>
      <w:r w:rsidRPr="00941A96">
        <w:rPr>
          <w:color w:val="000000" w:themeColor="text1"/>
        </w:rPr>
        <w:t xml:space="preserve">The case study was published by NHS England, showcasing the case of Joan to demonstrate how person-centred care, partnership working and ethical practices support the health outcomes for the individual living with a long-term health condition. Joan is suffering from severe chronic obstructive pulmonary disease, which has affected her daily cognitive and emotional well-being (NHS England, n.d.). She has also missed her appointments and is constantly struggling to follow medical advice, which results in repeated emergency hospital admissions. </w:t>
      </w:r>
    </w:p>
    <w:p w14:paraId="41CB4956" w14:textId="77777777" w:rsidR="003704DC" w:rsidRPr="00941A96" w:rsidRDefault="00000000">
      <w:pPr>
        <w:pStyle w:val="Heading2"/>
        <w:keepNext w:val="0"/>
        <w:keepLines w:val="0"/>
        <w:spacing w:before="200" w:line="360" w:lineRule="auto"/>
        <w:jc w:val="both"/>
        <w:rPr>
          <w:b/>
          <w:bCs/>
          <w:color w:val="000000" w:themeColor="text1"/>
          <w:sz w:val="22"/>
          <w:szCs w:val="22"/>
        </w:rPr>
      </w:pPr>
      <w:bookmarkStart w:id="7" w:name="_heading=h.3qwq6t4ei7om" w:colFirst="0" w:colLast="0"/>
      <w:bookmarkEnd w:id="7"/>
      <w:r w:rsidRPr="00941A96">
        <w:rPr>
          <w:b/>
          <w:bCs/>
          <w:color w:val="000000" w:themeColor="text1"/>
          <w:sz w:val="22"/>
          <w:szCs w:val="22"/>
        </w:rPr>
        <w:t>Person-Centred Care</w:t>
      </w:r>
    </w:p>
    <w:p w14:paraId="2EC93319" w14:textId="2CDBD8E8" w:rsidR="003704DC" w:rsidRPr="00225F07" w:rsidRDefault="00000000">
      <w:pPr>
        <w:spacing w:before="200" w:line="360" w:lineRule="auto"/>
        <w:jc w:val="both"/>
        <w:rPr>
          <w:color w:val="000000" w:themeColor="text1"/>
        </w:rPr>
      </w:pPr>
      <w:r w:rsidRPr="00225F07">
        <w:rPr>
          <w:color w:val="000000" w:themeColor="text1"/>
        </w:rPr>
        <w:lastRenderedPageBreak/>
        <w:t xml:space="preserve">Person-centred care can be demonstrated by understanding the efforts made by the healthcare team to understand individual needs, preferences and challenges faced by Joan.  To meet her personal needs and preferences, there is a need to involve her in regular meetings to understand her difficulties in engaging with the healthcare system. These needs are specifically identified through her uncontrollable Crohn's disease, which caused problems and led to difficulties leaving home. Nørgaard et al. (2025) indicated the importance of involving general practitioners in identifying the personal needs of the patient. The person-centred care nursing framework suggests the considerations of dignity, inclusion, preferences and shared decision-making </w:t>
      </w:r>
      <w:r w:rsidRPr="00225F07">
        <w:rPr>
          <w:rFonts w:eastAsia="Times New Roman"/>
          <w:color w:val="000000" w:themeColor="text1"/>
        </w:rPr>
        <w:t>(McCance and McCormack, 2025)</w:t>
      </w:r>
      <w:r w:rsidRPr="00225F07">
        <w:rPr>
          <w:color w:val="000000" w:themeColor="text1"/>
        </w:rPr>
        <w:t xml:space="preserve">. This also efficiently aligns with a person-centred approach of providers, which showcases empathy, understanding and respect towards the service user. With person-centred care, health care workers are able to manage the underlying difficulties faced by Joan. </w:t>
      </w:r>
    </w:p>
    <w:p w14:paraId="77BA0B2A" w14:textId="77777777" w:rsidR="003704DC" w:rsidRPr="00225F07" w:rsidRDefault="00000000">
      <w:pPr>
        <w:pStyle w:val="Heading2"/>
        <w:keepNext w:val="0"/>
        <w:keepLines w:val="0"/>
        <w:spacing w:before="200" w:line="360" w:lineRule="auto"/>
        <w:jc w:val="both"/>
        <w:rPr>
          <w:b/>
          <w:bCs/>
          <w:color w:val="000000" w:themeColor="text1"/>
          <w:sz w:val="22"/>
          <w:szCs w:val="22"/>
        </w:rPr>
      </w:pPr>
      <w:bookmarkStart w:id="8" w:name="_heading=h.93qlvj1vccm5" w:colFirst="0" w:colLast="0"/>
      <w:bookmarkEnd w:id="8"/>
      <w:r w:rsidRPr="00225F07">
        <w:rPr>
          <w:b/>
          <w:bCs/>
          <w:color w:val="000000" w:themeColor="text1"/>
          <w:sz w:val="22"/>
          <w:szCs w:val="22"/>
        </w:rPr>
        <w:t>Partnership Working</w:t>
      </w:r>
    </w:p>
    <w:p w14:paraId="374B363B" w14:textId="77777777" w:rsidR="003704DC" w:rsidRPr="00225F07" w:rsidRDefault="00000000">
      <w:pPr>
        <w:spacing w:before="200" w:line="360" w:lineRule="auto"/>
        <w:jc w:val="both"/>
        <w:rPr>
          <w:color w:val="000000" w:themeColor="text1"/>
        </w:rPr>
      </w:pPr>
      <w:r w:rsidRPr="00225F07">
        <w:rPr>
          <w:color w:val="000000" w:themeColor="text1"/>
        </w:rPr>
        <w:t xml:space="preserve">Partnership working is also significant in terms of providing collaborative care for Joan.  The case emphasises that her specialist physiotherapist, the therapy team, and her General practitioner have contributed to the identification of problems and provided coordinated support. This involvement in the care ensures that the action plan is applied efficiently and meets her personal experiences and needs. The general practitioner specifically addressed her Crohn's disease and helped her to eliminate emotional burden. According to the Care Act 2014, local authorities have the responsibility to safeguard individuals where the statutory criteria are met (Candio and </w:t>
      </w:r>
      <w:proofErr w:type="spellStart"/>
      <w:r w:rsidRPr="00225F07">
        <w:rPr>
          <w:color w:val="000000" w:themeColor="text1"/>
        </w:rPr>
        <w:t>Salustri</w:t>
      </w:r>
      <w:proofErr w:type="spellEnd"/>
      <w:r w:rsidRPr="00225F07">
        <w:rPr>
          <w:color w:val="000000" w:themeColor="text1"/>
        </w:rPr>
        <w:t xml:space="preserve">, 2026). Additionally, NICE recommended that collaborative approach supports multidisciplinary working across healthcare practices </w:t>
      </w:r>
      <w:r w:rsidRPr="00225F07">
        <w:rPr>
          <w:rFonts w:ascii="Times New Roman" w:eastAsia="Times New Roman" w:hAnsi="Times New Roman" w:cs="Times New Roman"/>
          <w:color w:val="000000" w:themeColor="text1"/>
          <w:sz w:val="24"/>
          <w:szCs w:val="24"/>
        </w:rPr>
        <w:t>(NICE, n.d.)</w:t>
      </w:r>
      <w:r w:rsidRPr="00225F07">
        <w:rPr>
          <w:color w:val="000000" w:themeColor="text1"/>
        </w:rPr>
        <w:t xml:space="preserve">. Overall the effective partnership is efficient to support the communication, minimise fragmented care and allow professional to work together. In Joan's case, this coordinated support supports her reduction in emergency admissions. </w:t>
      </w:r>
    </w:p>
    <w:p w14:paraId="5B6C4588" w14:textId="77777777" w:rsidR="003704DC" w:rsidRPr="00225F07" w:rsidRDefault="00000000">
      <w:pPr>
        <w:pStyle w:val="Heading2"/>
        <w:keepNext w:val="0"/>
        <w:keepLines w:val="0"/>
        <w:spacing w:before="200" w:line="360" w:lineRule="auto"/>
        <w:jc w:val="both"/>
        <w:rPr>
          <w:b/>
          <w:bCs/>
          <w:color w:val="000000" w:themeColor="text1"/>
          <w:sz w:val="22"/>
          <w:szCs w:val="22"/>
        </w:rPr>
      </w:pPr>
      <w:bookmarkStart w:id="9" w:name="_heading=h.om3jukvdys5l" w:colFirst="0" w:colLast="0"/>
      <w:bookmarkEnd w:id="9"/>
      <w:r w:rsidRPr="00225F07">
        <w:rPr>
          <w:b/>
          <w:bCs/>
          <w:color w:val="000000" w:themeColor="text1"/>
          <w:sz w:val="22"/>
          <w:szCs w:val="22"/>
        </w:rPr>
        <w:t>Ethical Practice and Confidentiality</w:t>
      </w:r>
    </w:p>
    <w:p w14:paraId="63B452E9" w14:textId="7C28308F" w:rsidR="003704DC" w:rsidRPr="00225F07" w:rsidRDefault="00000000">
      <w:pPr>
        <w:spacing w:before="200" w:after="240" w:line="360" w:lineRule="auto"/>
        <w:jc w:val="both"/>
        <w:rPr>
          <w:color w:val="000000" w:themeColor="text1"/>
        </w:rPr>
      </w:pPr>
      <w:r w:rsidRPr="00225F07">
        <w:rPr>
          <w:color w:val="000000" w:themeColor="text1"/>
        </w:rPr>
        <w:t>Ethical dilemmas require balancing confidentiality with safeguarding responsibilities. For the case, considerations of autonomy, justice, beneficence, and non-maleficence are important. The ethical practices in the case of Joan can be demonstrated by evaluating dignity, autonomy and individual circumstances. This could be supported by the informed decisions made by Joan to develop confidence instead of only imposing standard treatment planning. This approach reflects the ethical principles and promotes well-being. To maintain ethical principles and confidentiality, professionals should assess the immediate danger and document the records (</w:t>
      </w:r>
      <w:r w:rsidRPr="00225F07">
        <w:rPr>
          <w:rFonts w:ascii="Times New Roman" w:eastAsia="Times New Roman" w:hAnsi="Times New Roman" w:cs="Times New Roman"/>
          <w:color w:val="000000" w:themeColor="text1"/>
          <w:sz w:val="24"/>
          <w:szCs w:val="24"/>
        </w:rPr>
        <w:t xml:space="preserve">CQC, 2025; </w:t>
      </w:r>
      <w:r w:rsidRPr="00225F07">
        <w:rPr>
          <w:color w:val="000000" w:themeColor="text1"/>
        </w:rPr>
        <w:t xml:space="preserve">Shelat, 2025). In terms of addressing the health barriers faced by Joan, </w:t>
      </w:r>
      <w:r w:rsidRPr="00225F07">
        <w:rPr>
          <w:color w:val="000000" w:themeColor="text1"/>
        </w:rPr>
        <w:lastRenderedPageBreak/>
        <w:t>ethical practices reduce the risk of further unnecessary deterioration and hospital admissions. However, it indicates that the challenges, especially the ethical principles, can raise concern within the complex long-term conditions.</w:t>
      </w:r>
    </w:p>
    <w:p w14:paraId="17DDB30D" w14:textId="77777777" w:rsidR="003704DC" w:rsidRDefault="00000000">
      <w:pPr>
        <w:pStyle w:val="Heading1"/>
        <w:spacing w:before="200" w:line="360" w:lineRule="auto"/>
        <w:jc w:val="both"/>
        <w:rPr>
          <w:b/>
          <w:bCs/>
          <w:sz w:val="22"/>
          <w:szCs w:val="22"/>
        </w:rPr>
      </w:pPr>
      <w:bookmarkStart w:id="10" w:name="_heading=h.ejjxq8otylq7" w:colFirst="0" w:colLast="0"/>
      <w:bookmarkEnd w:id="10"/>
      <w:r>
        <w:rPr>
          <w:b/>
          <w:bCs/>
          <w:sz w:val="22"/>
          <w:szCs w:val="22"/>
        </w:rPr>
        <w:t>Task 3: Self-Reflection as a Health and Social Care Professional</w:t>
      </w:r>
    </w:p>
    <w:p w14:paraId="2F2ABD9C" w14:textId="35CD8877" w:rsidR="003704DC" w:rsidRPr="007E54C0" w:rsidRDefault="00F31867">
      <w:pPr>
        <w:spacing w:before="200" w:line="360" w:lineRule="auto"/>
        <w:rPr>
          <w:b/>
          <w:bCs/>
          <w:color w:val="000000" w:themeColor="text1"/>
        </w:rPr>
      </w:pPr>
      <w:r w:rsidRPr="007E54C0">
        <w:rPr>
          <w:b/>
          <w:bCs/>
          <w:color w:val="000000" w:themeColor="text1"/>
        </w:rPr>
        <w:t>Description</w:t>
      </w:r>
    </w:p>
    <w:p w14:paraId="15B8D2E1" w14:textId="77777777" w:rsidR="003704DC" w:rsidRDefault="00000000">
      <w:pPr>
        <w:spacing w:before="200" w:line="360" w:lineRule="auto"/>
        <w:jc w:val="both"/>
        <w:rPr>
          <w:b/>
          <w:bCs/>
        </w:rPr>
      </w:pPr>
      <w:r>
        <w:t xml:space="preserve">In contact with the development of health and social care professionals, I found that person-centred care is dependent on the individual and their ability to treat every individual as a unique person instead of categorising them based on their characteristics, disability, and social circumstances. In daily practice, to maintain person-centred care, I can ask the individual about their needs, preferences, cultural requirements, personal goals, and daily routines before proceeding with treatments. For instance, when the individual is looking for assistance with their personal routines, I would focus on demonstrating each step, obtaining consent, and providing respect for their personal level of independence. As per Maslow’s hierarchy of needs, for effective care management there is a need to address physical safety and other essential needs, including belonging, emotional security, self-actualisation, and self-esteem (Hayre-Kwan </w:t>
      </w:r>
      <w:r>
        <w:rPr>
          <w:i/>
          <w:iCs/>
        </w:rPr>
        <w:t>et al.,</w:t>
      </w:r>
      <w:r>
        <w:t xml:space="preserve"> 2021). Within a similar scenario, I considered this theory in terms of remaining flexible to prioritise the different needs of the service user.  According to the Care Act 2014, there is a need to consider the dignity, control, well-being, and participation of the service user (Candio and </w:t>
      </w:r>
      <w:proofErr w:type="spellStart"/>
      <w:r>
        <w:t>Salustri</w:t>
      </w:r>
      <w:proofErr w:type="spellEnd"/>
      <w:r>
        <w:t xml:space="preserve">, 2026). In practice, following this legislation, I focus on supporting the individual to remain independent. </w:t>
      </w:r>
    </w:p>
    <w:p w14:paraId="6E7EC6F8" w14:textId="77777777" w:rsidR="003704DC" w:rsidRPr="007E54C0" w:rsidRDefault="00000000">
      <w:pPr>
        <w:spacing w:before="200" w:line="360" w:lineRule="auto"/>
        <w:rPr>
          <w:b/>
          <w:bCs/>
          <w:color w:val="000000" w:themeColor="text1"/>
        </w:rPr>
      </w:pPr>
      <w:r w:rsidRPr="007E54C0">
        <w:rPr>
          <w:b/>
          <w:bCs/>
          <w:color w:val="000000" w:themeColor="text1"/>
        </w:rPr>
        <w:t>Feelings</w:t>
      </w:r>
    </w:p>
    <w:p w14:paraId="10A41201" w14:textId="77777777" w:rsidR="003704DC" w:rsidRDefault="00000000">
      <w:pPr>
        <w:spacing w:before="200" w:line="360" w:lineRule="auto"/>
        <w:jc w:val="both"/>
        <w:rPr>
          <w:b/>
          <w:bCs/>
        </w:rPr>
      </w:pPr>
      <w:r>
        <w:t xml:space="preserve">Incomplete information sharing and communication can result in the misinterpretation of medical information, medical errors, inconsistent care plans, and missed appointments (Howick </w:t>
      </w:r>
      <w:r>
        <w:rPr>
          <w:i/>
          <w:iCs/>
        </w:rPr>
        <w:t>et al.,</w:t>
      </w:r>
      <w:r>
        <w:t xml:space="preserve"> 2024). In a similar scenario, I can feel overwhelmed in providing the most accurate data and documentation and sharing service user data through the approved channels. According to the Health and Care Act 2022, the integration of better information sharing is important across care practices (Tracy </w:t>
      </w:r>
      <w:r>
        <w:rPr>
          <w:i/>
          <w:iCs/>
        </w:rPr>
        <w:t>et al.,</w:t>
      </w:r>
      <w:r>
        <w:t xml:space="preserve"> 2025). To meet with these criteria, I was afraid to focus on partnership working with other professionals with the use of efficient channels for data sharing. However, if I notice that any individual is facing deterioration in mobility, I would start recording my actual observations and promptly report my observations to the appropriate senior colleague.  This has helped me to develop confidence to engage in partnership working.</w:t>
      </w:r>
    </w:p>
    <w:p w14:paraId="01537839" w14:textId="77777777" w:rsidR="003704DC" w:rsidRPr="007E54C0" w:rsidRDefault="00000000">
      <w:pPr>
        <w:spacing w:before="200" w:line="360" w:lineRule="auto"/>
        <w:rPr>
          <w:b/>
          <w:bCs/>
          <w:color w:val="000000" w:themeColor="text1"/>
        </w:rPr>
      </w:pPr>
      <w:r w:rsidRPr="007E54C0">
        <w:rPr>
          <w:b/>
          <w:bCs/>
          <w:color w:val="000000" w:themeColor="text1"/>
        </w:rPr>
        <w:t>Evaluation</w:t>
      </w:r>
    </w:p>
    <w:p w14:paraId="7A37DD99" w14:textId="77777777" w:rsidR="003704DC" w:rsidRDefault="00000000">
      <w:pPr>
        <w:spacing w:before="200" w:after="240" w:line="360" w:lineRule="auto"/>
        <w:jc w:val="both"/>
        <w:rPr>
          <w:b/>
          <w:bCs/>
        </w:rPr>
      </w:pPr>
      <w:r>
        <w:lastRenderedPageBreak/>
        <w:t xml:space="preserve">The application of ethical principles and safeguarding would be beneficial for me to guide my decisions whenever individual requirements create conflicts regarding safety. Cheraghi </w:t>
      </w:r>
      <w:r>
        <w:rPr>
          <w:i/>
          <w:iCs/>
        </w:rPr>
        <w:t>et al.</w:t>
      </w:r>
      <w:r>
        <w:t xml:space="preserve"> (2023) indicated that justice, autonomy, beneficence, and non-maleficence are the significant ethical principles. To maintain the integrity of care practices, I would focus on applying these principles by respecting the individual choices of the service user and promoting well-being with the minimisation of unnecessary harm. According to the Care Act 2014, adult safeguarding is significant, and the Mental Capacity Act 2005 indicates the considerations of presumptions of capacity and providing support for decision-making (Health Research Authority, 2026; Candio and </w:t>
      </w:r>
      <w:proofErr w:type="spellStart"/>
      <w:r>
        <w:t>Salustri</w:t>
      </w:r>
      <w:proofErr w:type="spellEnd"/>
      <w:r>
        <w:t>, 2026). In the following case, I understand that a learning disability does not automatically mean that a person lacks capacity. Capacity is decision-specific; confidence or disability alone does not determine capacity.  The Human Rights Act 1998 is also an efficient framework as it indicates respect for the private life of the individual alongside the protection of the individual from harm (Arnell, 2022). I recognise that safeguarding situations are more serious when considering the emotional demand.</w:t>
      </w:r>
    </w:p>
    <w:p w14:paraId="4C3D2DF2" w14:textId="77777777" w:rsidR="003704DC" w:rsidRPr="007E54C0" w:rsidRDefault="00000000">
      <w:pPr>
        <w:spacing w:before="200" w:line="360" w:lineRule="auto"/>
        <w:rPr>
          <w:b/>
          <w:bCs/>
          <w:color w:val="000000" w:themeColor="text1"/>
        </w:rPr>
      </w:pPr>
      <w:r w:rsidRPr="007E54C0">
        <w:rPr>
          <w:b/>
          <w:bCs/>
          <w:color w:val="000000" w:themeColor="text1"/>
        </w:rPr>
        <w:t>Analysis</w:t>
      </w:r>
    </w:p>
    <w:p w14:paraId="62186990" w14:textId="77777777" w:rsidR="003704DC" w:rsidRDefault="00000000">
      <w:pPr>
        <w:spacing w:before="200" w:after="240" w:line="360" w:lineRule="auto"/>
        <w:jc w:val="both"/>
      </w:pPr>
      <w:r>
        <w:t xml:space="preserve">Reflecting on the HSC principles has enabled me to recognise current strengths, skills and areas for improvement. From this, I identified key strengths, especially willingness to be involved in providing respect towards individual preferences, maintaining dignity and facilitating independence. Through this, I have also developed person-centred care, which is required to treat every individual based on their needs equally. I also identified the significance of possessing teamwork, accurate documentation, and communication skills to meet the partnership working requirement. Comprehending the importance of ethical principles has also helped me to build strength in applying ethical principles and awareness for performing professional responsibilities.  </w:t>
      </w:r>
    </w:p>
    <w:p w14:paraId="5D96B28C" w14:textId="77777777" w:rsidR="003704DC" w:rsidRPr="007E54C0" w:rsidRDefault="00000000">
      <w:pPr>
        <w:spacing w:before="200" w:after="240" w:line="360" w:lineRule="auto"/>
        <w:jc w:val="both"/>
        <w:rPr>
          <w:b/>
          <w:bCs/>
          <w:color w:val="000000" w:themeColor="text1"/>
        </w:rPr>
      </w:pPr>
      <w:r w:rsidRPr="007E54C0">
        <w:rPr>
          <w:b/>
          <w:bCs/>
          <w:color w:val="000000" w:themeColor="text1"/>
        </w:rPr>
        <w:t>Conclusion</w:t>
      </w:r>
    </w:p>
    <w:p w14:paraId="794C7AA6" w14:textId="77777777" w:rsidR="003704DC" w:rsidRDefault="00000000">
      <w:pPr>
        <w:spacing w:before="200" w:after="240" w:line="360" w:lineRule="auto"/>
        <w:jc w:val="both"/>
      </w:pPr>
      <w:r>
        <w:t xml:space="preserve">Based on the skills and strengths, I identified the areas for improvement. These include </w:t>
      </w:r>
      <w:r>
        <w:rPr>
          <w:i/>
          <w:iCs/>
        </w:rPr>
        <w:t xml:space="preserve">confidence </w:t>
      </w:r>
      <w:r>
        <w:t xml:space="preserve">in handling complex situations, including safeguarding practices whenever the individual refuses assistance.  Another developmental area is </w:t>
      </w:r>
      <w:r>
        <w:rPr>
          <w:i/>
          <w:iCs/>
        </w:rPr>
        <w:t>communication</w:t>
      </w:r>
      <w:r>
        <w:t xml:space="preserve"> skills in terms of supporting the individual with learning disabilities. Moreover, I think that I need to improve my knowledge regarding confidentiality, data sharing, and safeguarding regulations.</w:t>
      </w:r>
    </w:p>
    <w:p w14:paraId="060A31B0" w14:textId="77777777" w:rsidR="003704DC" w:rsidRPr="007E54C0" w:rsidRDefault="00000000">
      <w:pPr>
        <w:spacing w:before="200" w:after="240" w:line="360" w:lineRule="auto"/>
        <w:jc w:val="both"/>
        <w:rPr>
          <w:b/>
          <w:bCs/>
          <w:i/>
          <w:iCs/>
          <w:color w:val="000000" w:themeColor="text1"/>
        </w:rPr>
      </w:pPr>
      <w:r w:rsidRPr="007E54C0">
        <w:rPr>
          <w:b/>
          <w:bCs/>
          <w:i/>
          <w:iCs/>
          <w:color w:val="000000" w:themeColor="text1"/>
        </w:rPr>
        <w:t>Action Plan</w:t>
      </w:r>
    </w:p>
    <w:p w14:paraId="5020D852" w14:textId="77777777" w:rsidR="003704DC" w:rsidRDefault="00000000">
      <w:pPr>
        <w:spacing w:before="200" w:line="360" w:lineRule="auto"/>
        <w:jc w:val="both"/>
      </w:pPr>
      <w:r>
        <w:t xml:space="preserve">In terms of addressing these development areas, I plan to be involved in training, workshops, and professional development practices. Involvement in relevant legislation training practices </w:t>
      </w:r>
      <w:r>
        <w:lastRenderedPageBreak/>
        <w:t>benefits achieving better functionality in the profession (</w:t>
      </w:r>
      <w:proofErr w:type="spellStart"/>
      <w:r>
        <w:t>Forsetlund</w:t>
      </w:r>
      <w:proofErr w:type="spellEnd"/>
      <w:r>
        <w:t xml:space="preserve"> </w:t>
      </w:r>
      <w:r>
        <w:rPr>
          <w:i/>
          <w:iCs/>
        </w:rPr>
        <w:t xml:space="preserve">et al., </w:t>
      </w:r>
      <w:r>
        <w:t>2021). Following this, I would be involved in regular learning of legislation, including the Mental Capacity Act 2005 and the Care Act 2014. I will also focus on seeking guidance from colleagues and senior professionals to facilitate effective decision-making.  I will also target the understanding of the appropriate procedures required for the individual who is reporting abuse but refuses to seek assistance.</w:t>
      </w:r>
    </w:p>
    <w:p w14:paraId="1717A226" w14:textId="77777777" w:rsidR="003704DC" w:rsidRPr="007E54C0" w:rsidRDefault="00000000">
      <w:pPr>
        <w:pStyle w:val="Heading1"/>
        <w:spacing w:before="200" w:line="360" w:lineRule="auto"/>
        <w:jc w:val="both"/>
        <w:rPr>
          <w:b/>
          <w:bCs/>
          <w:color w:val="000000" w:themeColor="text1"/>
          <w:sz w:val="22"/>
          <w:szCs w:val="22"/>
        </w:rPr>
      </w:pPr>
      <w:bookmarkStart w:id="11" w:name="_heading=h.ai8isun5614j" w:colFirst="0" w:colLast="0"/>
      <w:bookmarkEnd w:id="11"/>
      <w:r w:rsidRPr="007E54C0">
        <w:rPr>
          <w:b/>
          <w:bCs/>
          <w:color w:val="000000" w:themeColor="text1"/>
          <w:sz w:val="22"/>
          <w:szCs w:val="22"/>
        </w:rPr>
        <w:t>Conclusion</w:t>
      </w:r>
    </w:p>
    <w:p w14:paraId="00B455EA" w14:textId="77777777" w:rsidR="003704DC" w:rsidRPr="007E54C0" w:rsidRDefault="00000000">
      <w:pPr>
        <w:spacing w:before="200" w:line="360" w:lineRule="auto"/>
        <w:jc w:val="both"/>
        <w:rPr>
          <w:color w:val="000000" w:themeColor="text1"/>
        </w:rPr>
      </w:pPr>
      <w:r w:rsidRPr="007E54C0">
        <w:rPr>
          <w:color w:val="000000" w:themeColor="text1"/>
        </w:rPr>
        <w:t xml:space="preserve">The combination of healthcare principles, including person-centred care, partnership working and ethical practices supports safer care delivery and effective, compassionate care. Task one reflected on the importance of healthcare principles; meanwhile, task two demonstrated the case study of Joan in terms of understanding how individual barriers and coordinated professional support improve health outcomes. In the discussion, there is a use of relevant legislation and theories in terms of highlighting the dignity, autonomy and collaboration in the care practices.  Moreover, the report provided a reflection on these principles, recognition of individual strengths and weaknesses, and identification of areas for improvement. </w:t>
      </w:r>
    </w:p>
    <w:p w14:paraId="215097C6" w14:textId="77777777" w:rsidR="003704DC" w:rsidRPr="007E54C0" w:rsidRDefault="00000000">
      <w:pPr>
        <w:pStyle w:val="Heading1"/>
        <w:spacing w:before="200" w:line="360" w:lineRule="auto"/>
        <w:jc w:val="both"/>
        <w:rPr>
          <w:b/>
          <w:bCs/>
          <w:color w:val="000000" w:themeColor="text1"/>
          <w:sz w:val="22"/>
          <w:szCs w:val="22"/>
        </w:rPr>
      </w:pPr>
      <w:bookmarkStart w:id="12" w:name="_heading=h.1v89u2qdqk6t" w:colFirst="0" w:colLast="0"/>
      <w:bookmarkEnd w:id="12"/>
      <w:r w:rsidRPr="007E54C0">
        <w:rPr>
          <w:b/>
          <w:bCs/>
          <w:color w:val="000000" w:themeColor="text1"/>
        </w:rPr>
        <w:br w:type="page"/>
      </w:r>
    </w:p>
    <w:p w14:paraId="2BDB4F63" w14:textId="77777777" w:rsidR="003704DC" w:rsidRDefault="00000000">
      <w:pPr>
        <w:pStyle w:val="Heading1"/>
        <w:spacing w:before="200" w:line="360" w:lineRule="auto"/>
        <w:jc w:val="both"/>
        <w:rPr>
          <w:b/>
          <w:bCs/>
          <w:sz w:val="22"/>
          <w:szCs w:val="22"/>
        </w:rPr>
      </w:pPr>
      <w:bookmarkStart w:id="13" w:name="_heading=h.4xszy489qic5" w:colFirst="0" w:colLast="0"/>
      <w:bookmarkEnd w:id="13"/>
      <w:r>
        <w:rPr>
          <w:b/>
          <w:bCs/>
          <w:sz w:val="22"/>
          <w:szCs w:val="22"/>
        </w:rPr>
        <w:lastRenderedPageBreak/>
        <w:t>References</w:t>
      </w:r>
    </w:p>
    <w:p w14:paraId="178160BF" w14:textId="77777777" w:rsidR="003704DC" w:rsidRDefault="00000000">
      <w:pPr>
        <w:spacing w:before="200" w:after="240" w:line="360" w:lineRule="auto"/>
        <w:jc w:val="both"/>
      </w:pPr>
      <w:proofErr w:type="spellStart"/>
      <w:r>
        <w:t>Alderwick</w:t>
      </w:r>
      <w:proofErr w:type="spellEnd"/>
      <w:r>
        <w:t xml:space="preserve">, H., Hutchings, A., Briggs, A. and Mays, N. (2021) ‘The impacts of collaboration between local health care and non-health care organisations and factors shaping how they work: A systematic review of reviews’, </w:t>
      </w:r>
      <w:r>
        <w:rPr>
          <w:i/>
          <w:iCs/>
        </w:rPr>
        <w:t>BioMed Central Public Health</w:t>
      </w:r>
      <w:r>
        <w:t xml:space="preserve">, 21(1), pp.1–16. </w:t>
      </w:r>
    </w:p>
    <w:p w14:paraId="59693E10" w14:textId="77777777" w:rsidR="003704DC" w:rsidRDefault="00000000">
      <w:pPr>
        <w:spacing w:before="200" w:after="240" w:line="360" w:lineRule="auto"/>
        <w:jc w:val="both"/>
      </w:pPr>
      <w:r>
        <w:t xml:space="preserve">Arnell, P. (2022) ‘The threat to our human rights: The repeal of the Human Rights Act 1998’, </w:t>
      </w:r>
      <w:r>
        <w:rPr>
          <w:i/>
          <w:iCs/>
        </w:rPr>
        <w:t>Medicine, Science and the Law</w:t>
      </w:r>
      <w:r>
        <w:t xml:space="preserve">, 62(4), p.002580242211119. </w:t>
      </w:r>
    </w:p>
    <w:p w14:paraId="357ED6A0" w14:textId="77777777" w:rsidR="003704DC" w:rsidRDefault="00000000">
      <w:pPr>
        <w:spacing w:before="200" w:after="240" w:line="360" w:lineRule="auto"/>
        <w:jc w:val="both"/>
      </w:pPr>
      <w:r>
        <w:t xml:space="preserve">Candio, P. and </w:t>
      </w:r>
      <w:proofErr w:type="spellStart"/>
      <w:r>
        <w:t>Salustri</w:t>
      </w:r>
      <w:proofErr w:type="spellEnd"/>
      <w:r>
        <w:t xml:space="preserve">, F. (2026) ‘Does implementing strengths-based approaches improve adult social care outcomes in England? An econometric analysis of the Care Act 2014’, </w:t>
      </w:r>
      <w:r>
        <w:rPr>
          <w:i/>
          <w:iCs/>
        </w:rPr>
        <w:t>Health Policy</w:t>
      </w:r>
      <w:r>
        <w:t xml:space="preserve">, 172, p.105682. </w:t>
      </w:r>
    </w:p>
    <w:p w14:paraId="5DFC7C02" w14:textId="77777777" w:rsidR="003704DC" w:rsidRPr="007E54C0" w:rsidRDefault="00000000">
      <w:pPr>
        <w:spacing w:before="200" w:after="240" w:line="360" w:lineRule="auto"/>
        <w:jc w:val="both"/>
        <w:rPr>
          <w:color w:val="000000" w:themeColor="text1"/>
        </w:rPr>
      </w:pPr>
      <w:r>
        <w:t xml:space="preserve">Cheraghi, R., Valizadeh, L., </w:t>
      </w:r>
      <w:proofErr w:type="spellStart"/>
      <w:r>
        <w:t>Zamanzadeh</w:t>
      </w:r>
      <w:proofErr w:type="spellEnd"/>
      <w:r>
        <w:t xml:space="preserve">, V., Hassankhani, H. and Jafarzadeh, A. (2023) ‘Clarification of ethical principle of the beneficence in nursing care: An integrative review’, </w:t>
      </w:r>
      <w:r w:rsidRPr="007E54C0">
        <w:rPr>
          <w:i/>
          <w:iCs/>
          <w:color w:val="000000" w:themeColor="text1"/>
        </w:rPr>
        <w:t>BioMed Central Nursing</w:t>
      </w:r>
      <w:r w:rsidRPr="007E54C0">
        <w:rPr>
          <w:color w:val="000000" w:themeColor="text1"/>
        </w:rPr>
        <w:t>, 22(89), pp.1–9.</w:t>
      </w:r>
    </w:p>
    <w:p w14:paraId="3A2E484C" w14:textId="77777777" w:rsidR="003704DC" w:rsidRPr="007E54C0" w:rsidRDefault="00000000">
      <w:pPr>
        <w:spacing w:after="240" w:line="360" w:lineRule="auto"/>
        <w:jc w:val="both"/>
        <w:rPr>
          <w:color w:val="000000" w:themeColor="text1"/>
          <w:sz w:val="20"/>
          <w:szCs w:val="20"/>
        </w:rPr>
      </w:pPr>
      <w:r w:rsidRPr="007E54C0">
        <w:rPr>
          <w:color w:val="000000" w:themeColor="text1"/>
        </w:rPr>
        <w:t xml:space="preserve">CQC (2025) </w:t>
      </w:r>
      <w:r w:rsidRPr="007E54C0">
        <w:rPr>
          <w:i/>
          <w:iCs/>
          <w:color w:val="000000" w:themeColor="text1"/>
        </w:rPr>
        <w:t>Regulation 17: Good governance.</w:t>
      </w:r>
      <w:r w:rsidRPr="007E54C0">
        <w:rPr>
          <w:color w:val="000000" w:themeColor="text1"/>
        </w:rPr>
        <w:t xml:space="preserve"> Available at: </w:t>
      </w:r>
      <w:hyperlink r:id="rId8">
        <w:r w:rsidR="003704DC" w:rsidRPr="007E54C0">
          <w:rPr>
            <w:color w:val="000000" w:themeColor="text1"/>
            <w:u w:val="single"/>
          </w:rPr>
          <w:t>https://www.cqc.org.uk/guidance-regulation/providers/regulations-service-providers-and-managers/health-social-care-act/regulation-17</w:t>
        </w:r>
      </w:hyperlink>
      <w:r w:rsidRPr="007E54C0">
        <w:rPr>
          <w:color w:val="000000" w:themeColor="text1"/>
        </w:rPr>
        <w:t xml:space="preserve"> (Accessed: 24 October 2026).</w:t>
      </w:r>
    </w:p>
    <w:p w14:paraId="1C9850D8" w14:textId="77777777" w:rsidR="003704DC" w:rsidRDefault="00000000">
      <w:pPr>
        <w:spacing w:before="200" w:after="240" w:line="360" w:lineRule="auto"/>
        <w:jc w:val="both"/>
      </w:pPr>
      <w:proofErr w:type="spellStart"/>
      <w:r>
        <w:t>Forsetlund</w:t>
      </w:r>
      <w:proofErr w:type="spellEnd"/>
      <w:r>
        <w:t xml:space="preserve">, L., O’Brien, M.A., </w:t>
      </w:r>
      <w:proofErr w:type="spellStart"/>
      <w:r>
        <w:t>Forsén</w:t>
      </w:r>
      <w:proofErr w:type="spellEnd"/>
      <w:r>
        <w:t xml:space="preserve">, L., Mwai, L., Reinar, L.M., </w:t>
      </w:r>
      <w:proofErr w:type="spellStart"/>
      <w:r>
        <w:t>Okwen</w:t>
      </w:r>
      <w:proofErr w:type="spellEnd"/>
      <w:r>
        <w:t xml:space="preserve">, M.P., Horsley, T. and Rose, C.J. (2021) ‘Continuing education meetings and workshops: Effects on professional practice and healthcare outcomes’, </w:t>
      </w:r>
      <w:r>
        <w:rPr>
          <w:i/>
          <w:iCs/>
        </w:rPr>
        <w:t>Cochrane Database of Systematic Reviews</w:t>
      </w:r>
      <w:r>
        <w:t xml:space="preserve">, 2021(9). </w:t>
      </w:r>
    </w:p>
    <w:p w14:paraId="1A624204" w14:textId="77777777" w:rsidR="003704DC" w:rsidRDefault="00000000">
      <w:pPr>
        <w:spacing w:before="200" w:after="240" w:line="360" w:lineRule="auto"/>
        <w:jc w:val="both"/>
      </w:pPr>
      <w:r>
        <w:t xml:space="preserve">Fynn, J.F., Milton, K., Hardeman, W. and Jones, A.P. (2022) ‘A model for effective partnership working to support programme evaluation’, </w:t>
      </w:r>
      <w:r>
        <w:rPr>
          <w:i/>
          <w:iCs/>
        </w:rPr>
        <w:t>Evaluation</w:t>
      </w:r>
      <w:r>
        <w:t xml:space="preserve">, 28(3), p.135638902210961. </w:t>
      </w:r>
    </w:p>
    <w:p w14:paraId="468B5B3C" w14:textId="77777777" w:rsidR="003704DC" w:rsidRDefault="00000000">
      <w:pPr>
        <w:spacing w:before="200" w:after="240" w:line="360" w:lineRule="auto"/>
        <w:jc w:val="both"/>
      </w:pPr>
      <w:r>
        <w:t xml:space="preserve">Gov UK (2022) </w:t>
      </w:r>
      <w:r>
        <w:rPr>
          <w:i/>
          <w:iCs/>
        </w:rPr>
        <w:t>Health and Care Act 2022 impact assessments summary document and analysis of additional measures</w:t>
      </w:r>
      <w:r>
        <w:t xml:space="preserve">. Available at: </w:t>
      </w:r>
      <w:hyperlink r:id="rId9">
        <w:r w:rsidR="003704DC">
          <w:rPr>
            <w:u w:val="single"/>
          </w:rPr>
          <w:t>https://assets.publishing.service.gov.uk/media/6363d911e90e0705a8c35457/health-and-care-act-2022-summary-and-additional-measures-impact-assessment.pdf</w:t>
        </w:r>
      </w:hyperlink>
      <w:r>
        <w:t xml:space="preserve"> (Accessed: 21 October 2026).</w:t>
      </w:r>
    </w:p>
    <w:p w14:paraId="6B37E715" w14:textId="77777777" w:rsidR="003704DC" w:rsidRDefault="00000000">
      <w:pPr>
        <w:spacing w:before="200" w:after="240" w:line="360" w:lineRule="auto"/>
        <w:jc w:val="both"/>
      </w:pPr>
      <w:r>
        <w:t xml:space="preserve">Hayre-Kwan, S., Quinn, B., Chu, T., Orr, P. and Snoke, J. (2021) ‘Nursing and Maslow’s hierarchy’, </w:t>
      </w:r>
      <w:r>
        <w:rPr>
          <w:i/>
          <w:iCs/>
        </w:rPr>
        <w:t>Nurse Leader</w:t>
      </w:r>
      <w:r>
        <w:t xml:space="preserve">, 19(6), pp.590–595. </w:t>
      </w:r>
    </w:p>
    <w:p w14:paraId="5AA90C1C" w14:textId="77777777" w:rsidR="003704DC" w:rsidRDefault="00000000">
      <w:pPr>
        <w:spacing w:before="200" w:after="240" w:line="360" w:lineRule="auto"/>
        <w:jc w:val="both"/>
      </w:pPr>
      <w:r>
        <w:t xml:space="preserve">Health Research Authority (2026) </w:t>
      </w:r>
      <w:r>
        <w:rPr>
          <w:i/>
          <w:iCs/>
        </w:rPr>
        <w:t>Mental Capacity Act</w:t>
      </w:r>
      <w:r>
        <w:t xml:space="preserve">. Available at: </w:t>
      </w:r>
      <w:hyperlink r:id="rId10">
        <w:r w:rsidR="003704DC">
          <w:rPr>
            <w:u w:val="single"/>
          </w:rPr>
          <w:t>https://www.hra.nhs.uk/planning-and-improving-research/policies-standards-legislation/mental-capacity-act/</w:t>
        </w:r>
      </w:hyperlink>
      <w:r>
        <w:t xml:space="preserve"> (Accessed: 20 October 2026).</w:t>
      </w:r>
    </w:p>
    <w:p w14:paraId="22427533" w14:textId="77777777" w:rsidR="003704DC" w:rsidRDefault="00000000">
      <w:pPr>
        <w:spacing w:before="200" w:after="240" w:line="360" w:lineRule="auto"/>
        <w:jc w:val="both"/>
      </w:pPr>
      <w:r>
        <w:lastRenderedPageBreak/>
        <w:t xml:space="preserve">Howick, J., Weston, A.B., Solomon, J., Nockels, K., Bostock, J. and </w:t>
      </w:r>
      <w:proofErr w:type="spellStart"/>
      <w:r>
        <w:t>Keshtkar</w:t>
      </w:r>
      <w:proofErr w:type="spellEnd"/>
      <w:r>
        <w:t xml:space="preserve">, L. (2024) ‘How does communication affect patient safety? Protocol for a systematic review and logic model’, </w:t>
      </w:r>
      <w:r>
        <w:rPr>
          <w:i/>
          <w:iCs/>
        </w:rPr>
        <w:t>BMJ Open</w:t>
      </w:r>
      <w:r>
        <w:t xml:space="preserve">, 14(5), pp.1–8. </w:t>
      </w:r>
    </w:p>
    <w:p w14:paraId="6A96F600" w14:textId="77777777" w:rsidR="003704DC" w:rsidRDefault="00000000">
      <w:pPr>
        <w:spacing w:before="200" w:after="240" w:line="360" w:lineRule="auto"/>
        <w:jc w:val="both"/>
      </w:pPr>
      <w:r>
        <w:t xml:space="preserve">Johnson, K. and Boland, B. (2019) ‘Adult safeguarding under the CARE Act 2014’, </w:t>
      </w:r>
      <w:proofErr w:type="spellStart"/>
      <w:r>
        <w:rPr>
          <w:i/>
          <w:iCs/>
        </w:rPr>
        <w:t>BJPsych</w:t>
      </w:r>
      <w:proofErr w:type="spellEnd"/>
      <w:r>
        <w:rPr>
          <w:i/>
          <w:iCs/>
        </w:rPr>
        <w:t xml:space="preserve"> Bulletin</w:t>
      </w:r>
      <w:r>
        <w:t xml:space="preserve">, 43(1), pp.38–42. </w:t>
      </w:r>
    </w:p>
    <w:p w14:paraId="3C683AFD" w14:textId="77777777" w:rsidR="003704DC" w:rsidRDefault="00000000">
      <w:pPr>
        <w:spacing w:before="200" w:after="240" w:line="360" w:lineRule="auto"/>
        <w:jc w:val="both"/>
      </w:pPr>
      <w:r>
        <w:t xml:space="preserve">Khosravi, M., Azar, G. and Izadi, R. (2024) ‘Principles and elements of patient-centredness in mental health services: A thematic analysis of a systematic review of reviews’, </w:t>
      </w:r>
      <w:r>
        <w:rPr>
          <w:i/>
          <w:iCs/>
        </w:rPr>
        <w:t>BMJ Open Quality</w:t>
      </w:r>
      <w:r>
        <w:t>, 13(3), pp.1–11.</w:t>
      </w:r>
    </w:p>
    <w:p w14:paraId="05ABBF59" w14:textId="77777777" w:rsidR="003704DC" w:rsidRPr="007E54C0" w:rsidRDefault="00000000">
      <w:pPr>
        <w:spacing w:after="240" w:line="360" w:lineRule="auto"/>
        <w:jc w:val="both"/>
        <w:rPr>
          <w:color w:val="000000" w:themeColor="text1"/>
          <w:sz w:val="20"/>
          <w:szCs w:val="20"/>
        </w:rPr>
      </w:pPr>
      <w:r w:rsidRPr="007E54C0">
        <w:rPr>
          <w:color w:val="000000" w:themeColor="text1"/>
        </w:rPr>
        <w:t xml:space="preserve">McCance, T. and McCormack, B. (2025) ‘The person-centred nursing framework: A mid-range theory for nursing practice’, </w:t>
      </w:r>
      <w:r w:rsidRPr="007E54C0">
        <w:rPr>
          <w:i/>
          <w:iCs/>
          <w:color w:val="000000" w:themeColor="text1"/>
        </w:rPr>
        <w:t>Journal of Research in Nursing</w:t>
      </w:r>
      <w:r w:rsidRPr="007E54C0">
        <w:rPr>
          <w:color w:val="000000" w:themeColor="text1"/>
        </w:rPr>
        <w:t>, 30(1), pp.47–60.</w:t>
      </w:r>
    </w:p>
    <w:p w14:paraId="28D87F18" w14:textId="77777777" w:rsidR="003704DC" w:rsidRDefault="00000000">
      <w:pPr>
        <w:spacing w:before="200" w:after="240" w:line="360" w:lineRule="auto"/>
        <w:jc w:val="both"/>
      </w:pPr>
      <w:r>
        <w:t xml:space="preserve">Montag, C., Sindermann, C., Lester, D. and Davis, K.L. (2020) ‘Linking individual differences in satisfaction with each of Maslow’s needs to the big five personality traits and Panksepp’s primary emotional systems’, </w:t>
      </w:r>
      <w:proofErr w:type="spellStart"/>
      <w:r>
        <w:rPr>
          <w:i/>
          <w:iCs/>
        </w:rPr>
        <w:t>Heliyon</w:t>
      </w:r>
      <w:proofErr w:type="spellEnd"/>
      <w:r>
        <w:t xml:space="preserve">, 6(7), p.e04325. </w:t>
      </w:r>
    </w:p>
    <w:p w14:paraId="14907352" w14:textId="77777777" w:rsidR="003704DC" w:rsidRPr="007E54C0" w:rsidRDefault="00000000">
      <w:pPr>
        <w:spacing w:after="240" w:line="360" w:lineRule="auto"/>
        <w:jc w:val="both"/>
        <w:rPr>
          <w:color w:val="000000" w:themeColor="text1"/>
        </w:rPr>
      </w:pPr>
      <w:r w:rsidRPr="007E54C0">
        <w:rPr>
          <w:color w:val="000000" w:themeColor="text1"/>
        </w:rPr>
        <w:t xml:space="preserve">NHS England (n.d.) </w:t>
      </w:r>
      <w:r w:rsidRPr="007E54C0">
        <w:rPr>
          <w:i/>
          <w:iCs/>
          <w:color w:val="000000" w:themeColor="text1"/>
        </w:rPr>
        <w:t>NHS England » Joan’s story</w:t>
      </w:r>
      <w:r w:rsidRPr="007E54C0">
        <w:rPr>
          <w:color w:val="000000" w:themeColor="text1"/>
        </w:rPr>
        <w:t xml:space="preserve">. Available at: </w:t>
      </w:r>
      <w:hyperlink r:id="rId11">
        <w:r w:rsidR="003704DC" w:rsidRPr="007E54C0">
          <w:rPr>
            <w:color w:val="000000" w:themeColor="text1"/>
            <w:u w:val="single"/>
          </w:rPr>
          <w:t>https://www.england.nhs.uk/personalisedcare/comprehensive-model/case-studies/joans-stor</w:t>
        </w:r>
      </w:hyperlink>
      <w:r w:rsidRPr="007E54C0">
        <w:rPr>
          <w:color w:val="000000" w:themeColor="text1"/>
        </w:rPr>
        <w:t xml:space="preserve"> (Accessed: 24 October 2026).</w:t>
      </w:r>
    </w:p>
    <w:p w14:paraId="04A4BBBA" w14:textId="77777777" w:rsidR="003704DC" w:rsidRPr="007E54C0" w:rsidRDefault="00000000">
      <w:pPr>
        <w:spacing w:after="240" w:line="360" w:lineRule="auto"/>
        <w:jc w:val="both"/>
        <w:rPr>
          <w:color w:val="000000" w:themeColor="text1"/>
        </w:rPr>
      </w:pPr>
      <w:r w:rsidRPr="007E54C0">
        <w:rPr>
          <w:color w:val="000000" w:themeColor="text1"/>
        </w:rPr>
        <w:t xml:space="preserve">NICE (n.d.) </w:t>
      </w:r>
      <w:r w:rsidRPr="007E54C0">
        <w:rPr>
          <w:i/>
          <w:iCs/>
          <w:color w:val="000000" w:themeColor="text1"/>
        </w:rPr>
        <w:t>About shared decision making</w:t>
      </w:r>
      <w:r w:rsidRPr="007E54C0">
        <w:rPr>
          <w:color w:val="000000" w:themeColor="text1"/>
        </w:rPr>
        <w:t xml:space="preserve">. Available at: </w:t>
      </w:r>
      <w:hyperlink r:id="rId12">
        <w:r w:rsidR="003704DC">
          <w:rPr>
            <w:color w:val="1155CC"/>
            <w:u w:val="single"/>
          </w:rPr>
          <w:t>https://www.nice.org.uk/what-nice-does/our-guidance/about-nice-guidelines/about-shared-decision-making</w:t>
        </w:r>
      </w:hyperlink>
      <w:r>
        <w:rPr>
          <w:color w:val="FF0000"/>
        </w:rPr>
        <w:t xml:space="preserve"> </w:t>
      </w:r>
      <w:r w:rsidRPr="007E54C0">
        <w:rPr>
          <w:color w:val="000000" w:themeColor="text1"/>
        </w:rPr>
        <w:t>(Accessed: 24 October 2026).</w:t>
      </w:r>
    </w:p>
    <w:p w14:paraId="3EC2851E" w14:textId="77777777" w:rsidR="003704DC" w:rsidRPr="007E54C0" w:rsidRDefault="00000000">
      <w:pPr>
        <w:spacing w:before="200" w:after="240" w:line="360" w:lineRule="auto"/>
        <w:jc w:val="both"/>
        <w:rPr>
          <w:color w:val="000000" w:themeColor="text1"/>
        </w:rPr>
      </w:pPr>
      <w:r>
        <w:t xml:space="preserve">NMC (2018) </w:t>
      </w:r>
      <w:r>
        <w:rPr>
          <w:i/>
          <w:iCs/>
        </w:rPr>
        <w:t>The code: Professional standards of practice and behaviour for nurses, midwives and nursing associates</w:t>
      </w:r>
      <w:r>
        <w:t xml:space="preserve">. Available at: </w:t>
      </w:r>
      <w:hyperlink r:id="rId13">
        <w:r w:rsidR="003704DC">
          <w:rPr>
            <w:color w:val="1155CC"/>
            <w:u w:val="single"/>
          </w:rPr>
          <w:t>https://www.nmc.org.uk/standards/code/</w:t>
        </w:r>
      </w:hyperlink>
      <w:r>
        <w:t xml:space="preserve"> (Accessed: 18 </w:t>
      </w:r>
      <w:r w:rsidRPr="007E54C0">
        <w:rPr>
          <w:color w:val="000000" w:themeColor="text1"/>
        </w:rPr>
        <w:t>October 2026).</w:t>
      </w:r>
    </w:p>
    <w:p w14:paraId="4779B2BB" w14:textId="77777777" w:rsidR="003704DC" w:rsidRPr="007E54C0" w:rsidRDefault="00000000">
      <w:pPr>
        <w:spacing w:after="240" w:line="360" w:lineRule="auto"/>
        <w:jc w:val="both"/>
        <w:rPr>
          <w:color w:val="000000" w:themeColor="text1"/>
          <w:sz w:val="20"/>
          <w:szCs w:val="20"/>
        </w:rPr>
      </w:pPr>
      <w:r w:rsidRPr="007E54C0">
        <w:rPr>
          <w:color w:val="000000" w:themeColor="text1"/>
        </w:rPr>
        <w:t xml:space="preserve">Nørgaard, B., Simonsen, E., Skotte, N.A. and Marcussen, M. (2025) ‘General Practitioners” perceptions of patient involvement—An interview study’, </w:t>
      </w:r>
      <w:r w:rsidRPr="007E54C0">
        <w:rPr>
          <w:i/>
          <w:iCs/>
          <w:color w:val="000000" w:themeColor="text1"/>
        </w:rPr>
        <w:t>Journal of Evaluation in Clinical Practice</w:t>
      </w:r>
      <w:r w:rsidRPr="007E54C0">
        <w:rPr>
          <w:color w:val="000000" w:themeColor="text1"/>
        </w:rPr>
        <w:t>, 31(3).</w:t>
      </w:r>
    </w:p>
    <w:p w14:paraId="22CA79D1" w14:textId="77777777" w:rsidR="003704DC" w:rsidRDefault="00000000">
      <w:pPr>
        <w:spacing w:before="200" w:after="240" w:line="360" w:lineRule="auto"/>
        <w:jc w:val="both"/>
      </w:pPr>
      <w:r>
        <w:t xml:space="preserve">Oehring, D. and Gunasekera, P. (2024) ‘Ethical frameworks and Global Health: A narrative review of the “leave no one behind” principle’, </w:t>
      </w:r>
      <w:r>
        <w:rPr>
          <w:i/>
          <w:iCs/>
        </w:rPr>
        <w:t>INQUIRY: The Journal of Health Care Organization, Provision, and Financing</w:t>
      </w:r>
      <w:r>
        <w:t xml:space="preserve">, 61. </w:t>
      </w:r>
    </w:p>
    <w:p w14:paraId="4CAFFE26" w14:textId="77777777" w:rsidR="003704DC" w:rsidRDefault="00000000">
      <w:pPr>
        <w:spacing w:before="200" w:after="240" w:line="360" w:lineRule="auto"/>
        <w:jc w:val="both"/>
      </w:pPr>
      <w:r>
        <w:t xml:space="preserve">Shelat, V.G. (2025) ‘Respecting privacy and upholding confidentiality: Core ethical duties’, </w:t>
      </w:r>
      <w:r>
        <w:rPr>
          <w:i/>
          <w:iCs/>
        </w:rPr>
        <w:t>Singapore Medical Journal</w:t>
      </w:r>
      <w:r>
        <w:t xml:space="preserve">, 66(12), pp.685–689. </w:t>
      </w:r>
    </w:p>
    <w:p w14:paraId="16B5CCA0" w14:textId="77777777" w:rsidR="003704DC" w:rsidRDefault="00000000">
      <w:pPr>
        <w:spacing w:before="200" w:after="240" w:line="360" w:lineRule="auto"/>
        <w:jc w:val="both"/>
      </w:pPr>
      <w:r>
        <w:lastRenderedPageBreak/>
        <w:t xml:space="preserve">Tracy, D.K., Lloyd, L.C., Shergill, S.S. and Hanson, K. (2025) ‘Integrated Care in practice: Lessons from three tiers of healthcare provider and commissioner staff in two London integrated care systems’, </w:t>
      </w:r>
      <w:proofErr w:type="spellStart"/>
      <w:r>
        <w:rPr>
          <w:i/>
          <w:iCs/>
        </w:rPr>
        <w:t>BJPsych</w:t>
      </w:r>
      <w:proofErr w:type="spellEnd"/>
      <w:r>
        <w:rPr>
          <w:i/>
          <w:iCs/>
        </w:rPr>
        <w:t xml:space="preserve"> Open</w:t>
      </w:r>
      <w:r>
        <w:t xml:space="preserve">, 11(5). </w:t>
      </w:r>
    </w:p>
    <w:p w14:paraId="5777E147" w14:textId="77777777" w:rsidR="003704DC" w:rsidRDefault="00000000">
      <w:pPr>
        <w:spacing w:before="200" w:after="240" w:line="360" w:lineRule="auto"/>
        <w:jc w:val="both"/>
      </w:pPr>
      <w:r>
        <w:t xml:space="preserve">Varkey, B. (2021) ‘Principles of clinical ethics and their application to practice’, </w:t>
      </w:r>
      <w:r>
        <w:rPr>
          <w:i/>
          <w:iCs/>
        </w:rPr>
        <w:t>Medical Principles and Practice</w:t>
      </w:r>
      <w:r>
        <w:t xml:space="preserve">, 30(1), pp.17–28. </w:t>
      </w:r>
    </w:p>
    <w:sectPr w:rsidR="003704DC">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122309" w14:textId="77777777" w:rsidR="00FE309F" w:rsidRDefault="00FE309F">
      <w:pPr>
        <w:spacing w:line="240" w:lineRule="auto"/>
      </w:pPr>
      <w:r>
        <w:separator/>
      </w:r>
    </w:p>
  </w:endnote>
  <w:endnote w:type="continuationSeparator" w:id="0">
    <w:p w14:paraId="001FF10B" w14:textId="77777777" w:rsidR="00FE309F" w:rsidRDefault="00FE30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AAB8E86-B030-4ABF-9E1F-213D0712A3D4}"/>
  </w:font>
  <w:font w:name="Cambria">
    <w:panose1 w:val="02040503050406030204"/>
    <w:charset w:val="00"/>
    <w:family w:val="roman"/>
    <w:pitch w:val="variable"/>
    <w:sig w:usb0="E00006FF" w:usb1="420024FF" w:usb2="02000000" w:usb3="00000000" w:csb0="0000019F" w:csb1="00000000"/>
    <w:embedRegular r:id="rId2" w:fontKey="{956AEB8C-4323-4261-B94C-5B57D8D5632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84FFC6" w14:textId="77777777" w:rsidR="003704DC"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31867">
      <w:rPr>
        <w:noProof/>
        <w:color w:val="000000"/>
      </w:rPr>
      <w:t>1</w:t>
    </w:r>
    <w:r>
      <w:rPr>
        <w:color w:val="000000"/>
      </w:rPr>
      <w:fldChar w:fldCharType="end"/>
    </w:r>
  </w:p>
  <w:p w14:paraId="7455410B" w14:textId="77777777" w:rsidR="003704DC" w:rsidRDefault="003704D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BB6356" w14:textId="77777777" w:rsidR="00FE309F" w:rsidRDefault="00FE309F">
      <w:pPr>
        <w:spacing w:line="240" w:lineRule="auto"/>
      </w:pPr>
      <w:r>
        <w:separator/>
      </w:r>
    </w:p>
  </w:footnote>
  <w:footnote w:type="continuationSeparator" w:id="0">
    <w:p w14:paraId="1917DBB5" w14:textId="77777777" w:rsidR="00FE309F" w:rsidRDefault="00FE309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04DC"/>
    <w:rsid w:val="00225F07"/>
    <w:rsid w:val="003704DC"/>
    <w:rsid w:val="00545FAA"/>
    <w:rsid w:val="005F420E"/>
    <w:rsid w:val="00795BCD"/>
    <w:rsid w:val="007E54C0"/>
    <w:rsid w:val="00941A96"/>
    <w:rsid w:val="00B10BFA"/>
    <w:rsid w:val="00BC1E05"/>
    <w:rsid w:val="00F31867"/>
    <w:rsid w:val="00FE3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1F444"/>
  <w15:docId w15:val="{136A6E6A-38DF-49E3-8B3E-F6C5E0008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754F61"/>
    <w:pPr>
      <w:tabs>
        <w:tab w:val="center" w:pos="4513"/>
        <w:tab w:val="right" w:pos="9026"/>
      </w:tabs>
      <w:spacing w:line="240" w:lineRule="auto"/>
    </w:pPr>
  </w:style>
  <w:style w:type="character" w:customStyle="1" w:styleId="HeaderChar">
    <w:name w:val="Header Char"/>
    <w:basedOn w:val="DefaultParagraphFont"/>
    <w:link w:val="Header"/>
    <w:uiPriority w:val="99"/>
    <w:rsid w:val="00754F61"/>
  </w:style>
  <w:style w:type="paragraph" w:styleId="Footer">
    <w:name w:val="footer"/>
    <w:basedOn w:val="Normal"/>
    <w:link w:val="FooterChar"/>
    <w:uiPriority w:val="99"/>
    <w:unhideWhenUsed/>
    <w:rsid w:val="00754F61"/>
    <w:pPr>
      <w:tabs>
        <w:tab w:val="center" w:pos="4513"/>
        <w:tab w:val="right" w:pos="9026"/>
      </w:tabs>
      <w:spacing w:line="240" w:lineRule="auto"/>
    </w:pPr>
  </w:style>
  <w:style w:type="character" w:customStyle="1" w:styleId="FooterChar">
    <w:name w:val="Footer Char"/>
    <w:basedOn w:val="DefaultParagraphFont"/>
    <w:link w:val="Footer"/>
    <w:uiPriority w:val="99"/>
    <w:rsid w:val="00754F61"/>
  </w:style>
  <w:style w:type="character" w:styleId="CommentReference">
    <w:name w:val="annotation reference"/>
    <w:basedOn w:val="DefaultParagraphFont"/>
    <w:uiPriority w:val="99"/>
    <w:semiHidden/>
    <w:unhideWhenUsed/>
    <w:rsid w:val="002A79F6"/>
    <w:rPr>
      <w:sz w:val="16"/>
      <w:szCs w:val="16"/>
    </w:rPr>
  </w:style>
  <w:style w:type="paragraph" w:styleId="CommentText">
    <w:name w:val="annotation text"/>
    <w:basedOn w:val="Normal"/>
    <w:link w:val="CommentTextChar"/>
    <w:uiPriority w:val="99"/>
    <w:unhideWhenUsed/>
    <w:rsid w:val="002A79F6"/>
    <w:pPr>
      <w:spacing w:line="240" w:lineRule="auto"/>
    </w:pPr>
    <w:rPr>
      <w:sz w:val="20"/>
      <w:szCs w:val="20"/>
    </w:rPr>
  </w:style>
  <w:style w:type="character" w:customStyle="1" w:styleId="CommentTextChar">
    <w:name w:val="Comment Text Char"/>
    <w:basedOn w:val="DefaultParagraphFont"/>
    <w:link w:val="CommentText"/>
    <w:uiPriority w:val="99"/>
    <w:rsid w:val="002A79F6"/>
    <w:rPr>
      <w:sz w:val="20"/>
      <w:szCs w:val="20"/>
    </w:rPr>
  </w:style>
  <w:style w:type="paragraph" w:styleId="CommentSubject">
    <w:name w:val="annotation subject"/>
    <w:basedOn w:val="CommentText"/>
    <w:next w:val="CommentText"/>
    <w:link w:val="CommentSubjectChar"/>
    <w:uiPriority w:val="99"/>
    <w:semiHidden/>
    <w:unhideWhenUsed/>
    <w:rsid w:val="002A79F6"/>
    <w:rPr>
      <w:b/>
      <w:bCs/>
    </w:rPr>
  </w:style>
  <w:style w:type="character" w:customStyle="1" w:styleId="CommentSubjectChar">
    <w:name w:val="Comment Subject Char"/>
    <w:basedOn w:val="CommentTextChar"/>
    <w:link w:val="CommentSubject"/>
    <w:uiPriority w:val="99"/>
    <w:semiHidden/>
    <w:rsid w:val="002A79F6"/>
    <w:rPr>
      <w:b/>
      <w:bCs/>
      <w:sz w:val="20"/>
      <w:szCs w:val="20"/>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providers/regulations-service-providers-and-managers/health-social-care-act/regulation-17" TargetMode="External"/><Relationship Id="rId13" Type="http://schemas.openxmlformats.org/officeDocument/2006/relationships/hyperlink" Target="https://www.nmc.org.uk/standards/cod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ice.org.uk/what-nice-does/our-guidance/about-nice-guidelines/about-shared-decision-mak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personalisedcare/comprehensive-model/case-studies/joans-stor"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ra.nhs.uk/planning-and-improving-research/policies-standards-legislation/mental-capacity-act/" TargetMode="External"/><Relationship Id="rId4" Type="http://schemas.openxmlformats.org/officeDocument/2006/relationships/webSettings" Target="webSettings.xml"/><Relationship Id="rId9" Type="http://schemas.openxmlformats.org/officeDocument/2006/relationships/hyperlink" Target="https://assets.publishing.service.gov.uk/media/6363d911e90e0705a8c35457/health-and-care-act-2022-summary-and-additional-measures-impact-assessment.pdf"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wOup5NcMsxVFxxM5fM2H5uOCgA==">CgMxLjAyDmguZWlsMDJ4azY0MGNsMg5oLnVrMGZzYThsb2ttazIOaC5xNHkzMHQ5MWg2amkyDmgud3Q5Y2l4ZWd3eGRpMg5oLnMwZ29uOGVsc3pmdjIOaC5yNTQwMnhoOHlxOW0yDmgubnBkd2pnYWpzMGE0Mg5oLjNxd3E2dDRlaTdvbTIOaC45M3FsdmoxdmNjbTUyDmgub20zanVrdmR5czVsMg5oLmVqanhxOG90eWxxNzIOaC5haThpc3VuNTYxNGoyDmguMXY4OXUycWRxazZ0Mg5oLjR4c3p5NDg5cWljNTgAciExaTk1OU9mX1I1VEZtdlBwRk1GSGJPb2thSnppRG9OVz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3188</Words>
  <Characters>18176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Mary Joseph</cp:lastModifiedBy>
  <cp:revision>2</cp:revision>
  <dcterms:created xsi:type="dcterms:W3CDTF">2026-10-26T23:41:00Z</dcterms:created>
  <dcterms:modified xsi:type="dcterms:W3CDTF">2026-10-26T23:41:00Z</dcterms:modified>
</cp:coreProperties>
</file>