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CCA281" w14:textId="063A75A1" w:rsidR="004B33A7" w:rsidRPr="004B33A7" w:rsidRDefault="004B33A7" w:rsidP="004B33A7">
      <w:pPr>
        <w:jc w:val="center"/>
        <w:rPr>
          <w:rFonts w:asciiTheme="minorBidi" w:hAnsiTheme="minorBidi"/>
          <w:sz w:val="36"/>
          <w:szCs w:val="36"/>
        </w:rPr>
      </w:pPr>
      <w:r w:rsidRPr="004B33A7">
        <w:rPr>
          <w:rFonts w:asciiTheme="minorBidi" w:hAnsiTheme="minorBidi"/>
          <w:noProof/>
          <w:sz w:val="36"/>
          <w:szCs w:val="36"/>
        </w:rPr>
        <w:drawing>
          <wp:inline distT="0" distB="0" distL="0" distR="0" wp14:anchorId="61CDE6CA" wp14:editId="59EEC665">
            <wp:extent cx="3546986" cy="1409700"/>
            <wp:effectExtent l="0" t="0" r="0" b="0"/>
            <wp:docPr id="747771418" name="Picture 2"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771418" name="Picture 2" descr="A close-up of black text&#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80709" cy="1423103"/>
                    </a:xfrm>
                    <a:prstGeom prst="rect">
                      <a:avLst/>
                    </a:prstGeom>
                    <a:noFill/>
                    <a:ln>
                      <a:noFill/>
                    </a:ln>
                  </pic:spPr>
                </pic:pic>
              </a:graphicData>
            </a:graphic>
          </wp:inline>
        </w:drawing>
      </w:r>
    </w:p>
    <w:p w14:paraId="462E3946" w14:textId="77777777" w:rsidR="004B33A7" w:rsidRDefault="004B33A7" w:rsidP="004B33A7">
      <w:pPr>
        <w:rPr>
          <w:rFonts w:asciiTheme="minorBidi" w:hAnsiTheme="minorBidi"/>
          <w:b/>
          <w:bCs/>
          <w:sz w:val="36"/>
          <w:szCs w:val="36"/>
        </w:rPr>
      </w:pPr>
    </w:p>
    <w:p w14:paraId="2A2C2CA1" w14:textId="77777777" w:rsidR="004B33A7" w:rsidRPr="004B33A7" w:rsidRDefault="004B33A7" w:rsidP="004B33A7">
      <w:pPr>
        <w:rPr>
          <w:rFonts w:asciiTheme="minorBidi" w:hAnsiTheme="minorBidi"/>
          <w:b/>
          <w:bCs/>
          <w:sz w:val="48"/>
          <w:szCs w:val="48"/>
        </w:rPr>
      </w:pPr>
    </w:p>
    <w:p w14:paraId="0F83051C" w14:textId="5FD450D9" w:rsidR="004B33A7" w:rsidRPr="00703E2E" w:rsidRDefault="004B33A7" w:rsidP="004B33A7">
      <w:pPr>
        <w:rPr>
          <w:rFonts w:asciiTheme="minorBidi" w:hAnsiTheme="minorBidi"/>
          <w:color w:val="FF0000"/>
          <w:sz w:val="48"/>
          <w:szCs w:val="48"/>
        </w:rPr>
      </w:pPr>
      <w:r w:rsidRPr="00703E2E">
        <w:rPr>
          <w:rFonts w:asciiTheme="minorBidi" w:hAnsiTheme="minorBidi"/>
          <w:b/>
          <w:bCs/>
          <w:sz w:val="48"/>
          <w:szCs w:val="48"/>
        </w:rPr>
        <w:t xml:space="preserve">MODULE CODE: </w:t>
      </w:r>
      <w:r w:rsidR="00BD079C" w:rsidRPr="00703E2E">
        <w:rPr>
          <w:rFonts w:asciiTheme="minorBidi" w:hAnsiTheme="minorBidi"/>
          <w:b/>
          <w:bCs/>
          <w:color w:val="FF0000"/>
          <w:sz w:val="48"/>
          <w:szCs w:val="48"/>
        </w:rPr>
        <w:t xml:space="preserve">ECPT6004 </w:t>
      </w:r>
    </w:p>
    <w:p w14:paraId="3067B945" w14:textId="77777777" w:rsidR="004B33A7" w:rsidRPr="00703E2E" w:rsidRDefault="004B33A7" w:rsidP="004B33A7">
      <w:pPr>
        <w:rPr>
          <w:rFonts w:asciiTheme="minorBidi" w:hAnsiTheme="minorBidi"/>
          <w:sz w:val="48"/>
          <w:szCs w:val="48"/>
        </w:rPr>
      </w:pPr>
      <w:r w:rsidRPr="00703E2E">
        <w:rPr>
          <w:rFonts w:asciiTheme="minorBidi" w:hAnsiTheme="minorBidi"/>
          <w:sz w:val="48"/>
          <w:szCs w:val="48"/>
        </w:rPr>
        <w:t> </w:t>
      </w:r>
    </w:p>
    <w:p w14:paraId="163B6B74" w14:textId="6B3D839C" w:rsidR="004B33A7" w:rsidRPr="004B33A7" w:rsidRDefault="004B33A7" w:rsidP="004B33A7">
      <w:pPr>
        <w:rPr>
          <w:rFonts w:asciiTheme="minorBidi" w:hAnsiTheme="minorBidi"/>
          <w:sz w:val="48"/>
          <w:szCs w:val="48"/>
        </w:rPr>
      </w:pPr>
      <w:r w:rsidRPr="004B33A7">
        <w:rPr>
          <w:rFonts w:asciiTheme="minorBidi" w:hAnsiTheme="minorBidi"/>
          <w:b/>
          <w:bCs/>
          <w:sz w:val="48"/>
          <w:szCs w:val="48"/>
        </w:rPr>
        <w:t xml:space="preserve">ASSESSMENT COMPONENT: </w:t>
      </w:r>
      <w:r w:rsidR="00703E2E">
        <w:rPr>
          <w:rFonts w:asciiTheme="minorBidi" w:hAnsiTheme="minorBidi"/>
          <w:b/>
          <w:bCs/>
          <w:sz w:val="48"/>
          <w:szCs w:val="48"/>
        </w:rPr>
        <w:t>One</w:t>
      </w:r>
    </w:p>
    <w:p w14:paraId="0095FD63" w14:textId="77777777" w:rsidR="004B33A7" w:rsidRPr="004B33A7" w:rsidRDefault="004B33A7" w:rsidP="004B33A7">
      <w:pPr>
        <w:rPr>
          <w:rFonts w:asciiTheme="minorBidi" w:hAnsiTheme="minorBidi"/>
          <w:sz w:val="48"/>
          <w:szCs w:val="48"/>
        </w:rPr>
      </w:pPr>
      <w:r w:rsidRPr="004B33A7">
        <w:rPr>
          <w:rFonts w:asciiTheme="minorBidi" w:hAnsiTheme="minorBidi"/>
          <w:sz w:val="48"/>
          <w:szCs w:val="48"/>
        </w:rPr>
        <w:t> </w:t>
      </w:r>
    </w:p>
    <w:p w14:paraId="152673F1" w14:textId="4AB8F202" w:rsidR="004B33A7" w:rsidRPr="004B33A7" w:rsidRDefault="004B33A7" w:rsidP="004B33A7">
      <w:pPr>
        <w:rPr>
          <w:rFonts w:asciiTheme="minorBidi" w:hAnsiTheme="minorBidi"/>
          <w:sz w:val="48"/>
          <w:szCs w:val="48"/>
        </w:rPr>
      </w:pPr>
      <w:r w:rsidRPr="004B33A7">
        <w:rPr>
          <w:rFonts w:asciiTheme="minorBidi" w:hAnsiTheme="minorBidi"/>
          <w:b/>
          <w:bCs/>
          <w:sz w:val="48"/>
          <w:szCs w:val="48"/>
        </w:rPr>
        <w:t>STUDENT NAME:</w:t>
      </w:r>
      <w:r w:rsidRPr="004B33A7">
        <w:rPr>
          <w:rFonts w:asciiTheme="minorBidi" w:hAnsiTheme="minorBidi"/>
          <w:sz w:val="48"/>
          <w:szCs w:val="48"/>
        </w:rPr>
        <w:t> </w:t>
      </w:r>
      <w:r w:rsidR="006F20DB">
        <w:rPr>
          <w:rFonts w:asciiTheme="minorBidi" w:hAnsiTheme="minorBidi"/>
          <w:sz w:val="48"/>
          <w:szCs w:val="48"/>
        </w:rPr>
        <w:t>Ashleigh James</w:t>
      </w:r>
    </w:p>
    <w:p w14:paraId="7F3AA822" w14:textId="77777777" w:rsidR="004B33A7" w:rsidRPr="004B33A7" w:rsidRDefault="004B33A7" w:rsidP="004B33A7">
      <w:pPr>
        <w:rPr>
          <w:rFonts w:asciiTheme="minorBidi" w:hAnsiTheme="minorBidi"/>
          <w:sz w:val="48"/>
          <w:szCs w:val="48"/>
        </w:rPr>
      </w:pPr>
      <w:r w:rsidRPr="004B33A7">
        <w:rPr>
          <w:rFonts w:asciiTheme="minorBidi" w:hAnsiTheme="minorBidi"/>
          <w:sz w:val="48"/>
          <w:szCs w:val="48"/>
        </w:rPr>
        <w:t> </w:t>
      </w:r>
    </w:p>
    <w:p w14:paraId="2C284020" w14:textId="3ABAD6FF" w:rsidR="004B33A7" w:rsidRPr="004B33A7" w:rsidRDefault="004B33A7" w:rsidP="004B33A7">
      <w:pPr>
        <w:rPr>
          <w:rFonts w:asciiTheme="minorBidi" w:hAnsiTheme="minorBidi"/>
          <w:sz w:val="48"/>
          <w:szCs w:val="48"/>
        </w:rPr>
      </w:pPr>
      <w:r w:rsidRPr="004B33A7">
        <w:rPr>
          <w:rFonts w:asciiTheme="minorBidi" w:hAnsiTheme="minorBidi"/>
          <w:b/>
          <w:bCs/>
          <w:sz w:val="48"/>
          <w:szCs w:val="48"/>
        </w:rPr>
        <w:t>STUDENT NUMBER:</w:t>
      </w:r>
      <w:r w:rsidRPr="004B33A7">
        <w:rPr>
          <w:rFonts w:asciiTheme="minorBidi" w:hAnsiTheme="minorBidi"/>
          <w:sz w:val="48"/>
          <w:szCs w:val="48"/>
        </w:rPr>
        <w:t> </w:t>
      </w:r>
      <w:r w:rsidR="006F20DB">
        <w:rPr>
          <w:rFonts w:asciiTheme="minorBidi" w:hAnsiTheme="minorBidi"/>
          <w:sz w:val="48"/>
          <w:szCs w:val="48"/>
        </w:rPr>
        <w:t>1904631</w:t>
      </w:r>
    </w:p>
    <w:p w14:paraId="35756ACA" w14:textId="77777777" w:rsidR="004B33A7" w:rsidRDefault="004B33A7" w:rsidP="004B33A7">
      <w:pPr>
        <w:rPr>
          <w:rFonts w:asciiTheme="minorBidi" w:hAnsiTheme="minorBidi"/>
          <w:b/>
          <w:bCs/>
          <w:sz w:val="28"/>
          <w:szCs w:val="28"/>
        </w:rPr>
      </w:pPr>
    </w:p>
    <w:p w14:paraId="1EBD9108" w14:textId="77777777" w:rsidR="004B33A7" w:rsidRDefault="004B33A7" w:rsidP="004B33A7">
      <w:pPr>
        <w:rPr>
          <w:rFonts w:asciiTheme="minorBidi" w:hAnsiTheme="minorBidi"/>
          <w:b/>
          <w:bCs/>
          <w:sz w:val="28"/>
          <w:szCs w:val="28"/>
        </w:rPr>
      </w:pPr>
    </w:p>
    <w:p w14:paraId="46D95522" w14:textId="77777777" w:rsidR="004B33A7" w:rsidRDefault="004B33A7" w:rsidP="004B33A7">
      <w:pPr>
        <w:rPr>
          <w:rFonts w:asciiTheme="minorBidi" w:hAnsiTheme="minorBidi"/>
          <w:b/>
          <w:bCs/>
          <w:sz w:val="28"/>
          <w:szCs w:val="28"/>
        </w:rPr>
      </w:pPr>
    </w:p>
    <w:p w14:paraId="1A6E0A87" w14:textId="77777777" w:rsidR="004B33A7" w:rsidRDefault="004B33A7" w:rsidP="004B33A7">
      <w:pPr>
        <w:rPr>
          <w:rFonts w:asciiTheme="minorBidi" w:hAnsiTheme="minorBidi"/>
          <w:b/>
          <w:bCs/>
          <w:sz w:val="28"/>
          <w:szCs w:val="28"/>
        </w:rPr>
      </w:pPr>
    </w:p>
    <w:p w14:paraId="4D780CE2" w14:textId="77777777" w:rsidR="004B33A7" w:rsidRDefault="004B33A7" w:rsidP="004B33A7">
      <w:pPr>
        <w:rPr>
          <w:rFonts w:asciiTheme="minorBidi" w:hAnsiTheme="minorBidi"/>
          <w:b/>
          <w:bCs/>
          <w:sz w:val="28"/>
          <w:szCs w:val="28"/>
        </w:rPr>
      </w:pPr>
    </w:p>
    <w:p w14:paraId="54CC7B10" w14:textId="77777777" w:rsidR="004B33A7" w:rsidRDefault="004B33A7" w:rsidP="004B33A7">
      <w:pPr>
        <w:rPr>
          <w:rFonts w:asciiTheme="minorBidi" w:hAnsiTheme="minorBidi"/>
          <w:b/>
          <w:bCs/>
          <w:sz w:val="28"/>
          <w:szCs w:val="28"/>
        </w:rPr>
      </w:pPr>
    </w:p>
    <w:p w14:paraId="05DDB1E4" w14:textId="77777777" w:rsidR="004B33A7" w:rsidRDefault="004B33A7" w:rsidP="004B33A7">
      <w:pPr>
        <w:rPr>
          <w:rFonts w:asciiTheme="minorBidi" w:hAnsiTheme="minorBidi"/>
          <w:b/>
          <w:bCs/>
          <w:sz w:val="28"/>
          <w:szCs w:val="28"/>
        </w:rPr>
      </w:pPr>
    </w:p>
    <w:p w14:paraId="47DB4978" w14:textId="77777777" w:rsidR="004B33A7" w:rsidRDefault="004B33A7" w:rsidP="004B33A7">
      <w:pPr>
        <w:rPr>
          <w:rFonts w:asciiTheme="minorBidi" w:hAnsiTheme="minorBidi"/>
          <w:b/>
          <w:bCs/>
          <w:sz w:val="28"/>
          <w:szCs w:val="28"/>
        </w:rPr>
      </w:pPr>
    </w:p>
    <w:p w14:paraId="52840907" w14:textId="77777777" w:rsidR="004B33A7" w:rsidRDefault="004B33A7" w:rsidP="004B33A7">
      <w:pPr>
        <w:rPr>
          <w:rFonts w:asciiTheme="minorBidi" w:hAnsiTheme="minorBidi"/>
          <w:b/>
          <w:bCs/>
          <w:sz w:val="28"/>
          <w:szCs w:val="28"/>
        </w:rPr>
      </w:pPr>
    </w:p>
    <w:p w14:paraId="7A2EE52F" w14:textId="77777777" w:rsidR="004B33A7" w:rsidRDefault="004B33A7" w:rsidP="004B33A7">
      <w:pPr>
        <w:rPr>
          <w:rFonts w:asciiTheme="minorBidi" w:hAnsiTheme="minorBidi"/>
          <w:b/>
          <w:bCs/>
          <w:sz w:val="28"/>
          <w:szCs w:val="28"/>
        </w:rPr>
      </w:pPr>
    </w:p>
    <w:p w14:paraId="2F75D3B5" w14:textId="1A3B980F" w:rsidR="004B33A7" w:rsidRPr="004B33A7" w:rsidRDefault="004B33A7" w:rsidP="004B33A7">
      <w:pPr>
        <w:rPr>
          <w:rFonts w:asciiTheme="minorBidi" w:hAnsiTheme="minorBidi"/>
          <w:sz w:val="28"/>
          <w:szCs w:val="28"/>
        </w:rPr>
      </w:pPr>
      <w:r w:rsidRPr="004B33A7">
        <w:rPr>
          <w:rFonts w:asciiTheme="minorBidi" w:hAnsiTheme="minorBidi"/>
          <w:b/>
          <w:bCs/>
          <w:sz w:val="28"/>
          <w:szCs w:val="28"/>
        </w:rPr>
        <w:lastRenderedPageBreak/>
        <w:t>Use of Generative AI in Assessment</w:t>
      </w:r>
      <w:r w:rsidRPr="004B33A7">
        <w:rPr>
          <w:rFonts w:asciiTheme="minorBidi" w:hAnsiTheme="minorBidi"/>
          <w:sz w:val="28"/>
          <w:szCs w:val="28"/>
        </w:rPr>
        <w:t>  </w:t>
      </w:r>
    </w:p>
    <w:p w14:paraId="5647A3D0" w14:textId="77777777" w:rsidR="004B33A7" w:rsidRPr="00536FF1" w:rsidRDefault="004B33A7" w:rsidP="004B33A7">
      <w:r w:rsidRPr="00536FF1">
        <w: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05"/>
        <w:gridCol w:w="4890"/>
        <w:gridCol w:w="1305"/>
      </w:tblGrid>
      <w:tr w:rsidR="004B33A7" w:rsidRPr="004B33A7" w14:paraId="40187EB3" w14:textId="77777777" w:rsidTr="00F10E82">
        <w:trPr>
          <w:trHeight w:val="1112"/>
        </w:trPr>
        <w:tc>
          <w:tcPr>
            <w:tcW w:w="2205" w:type="dxa"/>
            <w:tcBorders>
              <w:top w:val="single" w:sz="6" w:space="0" w:color="auto"/>
              <w:left w:val="single" w:sz="6" w:space="0" w:color="auto"/>
              <w:bottom w:val="single" w:sz="6" w:space="0" w:color="000000"/>
              <w:right w:val="single" w:sz="6" w:space="0" w:color="000000"/>
            </w:tcBorders>
            <w:hideMark/>
          </w:tcPr>
          <w:p w14:paraId="15645355" w14:textId="77777777" w:rsidR="004B33A7" w:rsidRPr="004B33A7" w:rsidRDefault="004B33A7" w:rsidP="00F10E82">
            <w:pPr>
              <w:rPr>
                <w:rFonts w:asciiTheme="minorBidi" w:hAnsiTheme="minorBidi"/>
                <w:sz w:val="24"/>
                <w:szCs w:val="24"/>
              </w:rPr>
            </w:pPr>
            <w:r w:rsidRPr="004B33A7">
              <w:rPr>
                <w:rFonts w:asciiTheme="minorBidi" w:hAnsiTheme="minorBidi"/>
                <w:sz w:val="24"/>
                <w:szCs w:val="24"/>
              </w:rPr>
              <w:t>RESEARCH  </w:t>
            </w:r>
          </w:p>
        </w:tc>
        <w:tc>
          <w:tcPr>
            <w:tcW w:w="4890" w:type="dxa"/>
            <w:tcBorders>
              <w:top w:val="single" w:sz="6" w:space="0" w:color="auto"/>
              <w:left w:val="single" w:sz="6" w:space="0" w:color="000000"/>
              <w:bottom w:val="single" w:sz="6" w:space="0" w:color="000000"/>
              <w:right w:val="single" w:sz="6" w:space="0" w:color="000000"/>
            </w:tcBorders>
            <w:hideMark/>
          </w:tcPr>
          <w:p w14:paraId="44DDA584" w14:textId="77777777" w:rsidR="004B33A7" w:rsidRPr="004B33A7" w:rsidRDefault="004B33A7" w:rsidP="00F10E82">
            <w:pPr>
              <w:rPr>
                <w:rFonts w:asciiTheme="minorBidi" w:hAnsiTheme="minorBidi"/>
                <w:sz w:val="24"/>
                <w:szCs w:val="24"/>
              </w:rPr>
            </w:pPr>
            <w:r w:rsidRPr="004B33A7">
              <w:rPr>
                <w:rFonts w:asciiTheme="minorBidi" w:hAnsiTheme="minorBidi"/>
                <w:sz w:val="24"/>
                <w:szCs w:val="24"/>
              </w:rPr>
              <w:t>For this assessment, you can use Generative AI to support you in research and data analysis. </w:t>
            </w:r>
          </w:p>
        </w:tc>
        <w:tc>
          <w:tcPr>
            <w:tcW w:w="1305" w:type="dxa"/>
            <w:tcBorders>
              <w:top w:val="single" w:sz="6" w:space="0" w:color="auto"/>
              <w:left w:val="single" w:sz="6" w:space="0" w:color="000000"/>
              <w:bottom w:val="single" w:sz="6" w:space="0" w:color="000000"/>
              <w:right w:val="single" w:sz="6" w:space="0" w:color="auto"/>
            </w:tcBorders>
            <w:hideMark/>
          </w:tcPr>
          <w:p w14:paraId="0623974B" w14:textId="1EBC262D" w:rsidR="004B33A7" w:rsidRPr="004B33A7" w:rsidRDefault="004B33A7" w:rsidP="00F10E82">
            <w:pPr>
              <w:rPr>
                <w:rFonts w:asciiTheme="minorBidi" w:hAnsiTheme="minorBidi"/>
                <w:sz w:val="24"/>
                <w:szCs w:val="24"/>
              </w:rPr>
            </w:pPr>
            <w:r w:rsidRPr="004B33A7">
              <w:rPr>
                <w:rFonts w:asciiTheme="minorBidi" w:hAnsiTheme="minorBidi"/>
                <w:sz w:val="24"/>
                <w:szCs w:val="24"/>
              </w:rPr>
              <w:t>Yes X</w:t>
            </w:r>
          </w:p>
          <w:p w14:paraId="1E6FBFA9" w14:textId="77777777" w:rsidR="004B33A7" w:rsidRPr="004B33A7" w:rsidRDefault="004B33A7" w:rsidP="00F10E82">
            <w:pPr>
              <w:rPr>
                <w:rFonts w:asciiTheme="minorBidi" w:hAnsiTheme="minorBidi"/>
                <w:sz w:val="24"/>
                <w:szCs w:val="24"/>
              </w:rPr>
            </w:pPr>
            <w:r w:rsidRPr="004B33A7">
              <w:rPr>
                <w:rFonts w:asciiTheme="minorBidi" w:hAnsiTheme="minorBidi"/>
                <w:sz w:val="24"/>
                <w:szCs w:val="24"/>
              </w:rPr>
              <w:t>No   ​</w:t>
            </w:r>
            <w:r w:rsidRPr="004B33A7">
              <w:rPr>
                <w:rFonts w:ascii="Segoe UI Symbol" w:hAnsi="Segoe UI Symbol" w:cs="Segoe UI Symbol"/>
                <w:sz w:val="24"/>
                <w:szCs w:val="24"/>
              </w:rPr>
              <w:t>☐</w:t>
            </w:r>
            <w:r w:rsidRPr="004B33A7">
              <w:rPr>
                <w:rFonts w:asciiTheme="minorBidi" w:hAnsiTheme="minorBidi"/>
                <w:sz w:val="24"/>
                <w:szCs w:val="24"/>
              </w:rPr>
              <w:t>​ </w:t>
            </w:r>
          </w:p>
        </w:tc>
      </w:tr>
      <w:tr w:rsidR="004B33A7" w:rsidRPr="004B33A7" w14:paraId="55546485" w14:textId="77777777" w:rsidTr="00F10E82">
        <w:trPr>
          <w:trHeight w:val="300"/>
        </w:trPr>
        <w:tc>
          <w:tcPr>
            <w:tcW w:w="2205" w:type="dxa"/>
            <w:tcBorders>
              <w:top w:val="single" w:sz="6" w:space="0" w:color="000000"/>
              <w:left w:val="single" w:sz="6" w:space="0" w:color="auto"/>
              <w:bottom w:val="single" w:sz="6" w:space="0" w:color="000000"/>
              <w:right w:val="single" w:sz="6" w:space="0" w:color="000000"/>
            </w:tcBorders>
            <w:hideMark/>
          </w:tcPr>
          <w:p w14:paraId="06C17DBC" w14:textId="77777777" w:rsidR="004B33A7" w:rsidRPr="004B33A7" w:rsidRDefault="004B33A7" w:rsidP="00F10E82">
            <w:pPr>
              <w:rPr>
                <w:rFonts w:asciiTheme="minorBidi" w:hAnsiTheme="minorBidi"/>
                <w:sz w:val="24"/>
                <w:szCs w:val="24"/>
              </w:rPr>
            </w:pPr>
            <w:r w:rsidRPr="004B33A7">
              <w:rPr>
                <w:rFonts w:asciiTheme="minorBidi" w:hAnsiTheme="minorBidi"/>
                <w:sz w:val="24"/>
                <w:szCs w:val="24"/>
              </w:rPr>
              <w:t>STRUCTURE  </w:t>
            </w:r>
          </w:p>
        </w:tc>
        <w:tc>
          <w:tcPr>
            <w:tcW w:w="4890" w:type="dxa"/>
            <w:tcBorders>
              <w:top w:val="single" w:sz="6" w:space="0" w:color="000000"/>
              <w:left w:val="single" w:sz="6" w:space="0" w:color="000000"/>
              <w:bottom w:val="single" w:sz="6" w:space="0" w:color="000000"/>
              <w:right w:val="single" w:sz="6" w:space="0" w:color="000000"/>
            </w:tcBorders>
            <w:hideMark/>
          </w:tcPr>
          <w:p w14:paraId="48014D91" w14:textId="77777777" w:rsidR="004B33A7" w:rsidRPr="004B33A7" w:rsidRDefault="004B33A7" w:rsidP="00F10E82">
            <w:pPr>
              <w:rPr>
                <w:rFonts w:asciiTheme="minorBidi" w:hAnsiTheme="minorBidi"/>
                <w:sz w:val="24"/>
                <w:szCs w:val="24"/>
              </w:rPr>
            </w:pPr>
            <w:r w:rsidRPr="004B33A7">
              <w:rPr>
                <w:rFonts w:asciiTheme="minorBidi" w:hAnsiTheme="minorBidi"/>
                <w:sz w:val="24"/>
                <w:szCs w:val="24"/>
              </w:rPr>
              <w:t>For this assessment, you can use Generative AI to support you in structuring your submission, including creating a draft argument structure, identifying parts and headings, etc.  </w:t>
            </w:r>
          </w:p>
        </w:tc>
        <w:tc>
          <w:tcPr>
            <w:tcW w:w="1305" w:type="dxa"/>
            <w:tcBorders>
              <w:top w:val="single" w:sz="6" w:space="0" w:color="000000"/>
              <w:left w:val="single" w:sz="6" w:space="0" w:color="000000"/>
              <w:bottom w:val="single" w:sz="6" w:space="0" w:color="000000"/>
              <w:right w:val="single" w:sz="6" w:space="0" w:color="auto"/>
            </w:tcBorders>
            <w:hideMark/>
          </w:tcPr>
          <w:p w14:paraId="75099D52" w14:textId="3B878842" w:rsidR="004B33A7" w:rsidRPr="004B33A7" w:rsidRDefault="004B33A7" w:rsidP="00F10E82">
            <w:pPr>
              <w:rPr>
                <w:rFonts w:asciiTheme="minorBidi" w:hAnsiTheme="minorBidi"/>
                <w:sz w:val="24"/>
                <w:szCs w:val="24"/>
              </w:rPr>
            </w:pPr>
            <w:proofErr w:type="gramStart"/>
            <w:r w:rsidRPr="004B33A7">
              <w:rPr>
                <w:rFonts w:asciiTheme="minorBidi" w:hAnsiTheme="minorBidi"/>
                <w:sz w:val="24"/>
                <w:szCs w:val="24"/>
              </w:rPr>
              <w:t>Yes  ​</w:t>
            </w:r>
            <w:proofErr w:type="gramEnd"/>
            <w:r w:rsidRPr="004B33A7">
              <w:rPr>
                <w:rFonts w:asciiTheme="minorBidi" w:hAnsiTheme="minorBidi"/>
                <w:sz w:val="24"/>
                <w:szCs w:val="24"/>
              </w:rPr>
              <w:t>X</w:t>
            </w:r>
          </w:p>
          <w:p w14:paraId="0CE55757" w14:textId="77777777" w:rsidR="004B33A7" w:rsidRPr="004B33A7" w:rsidRDefault="004B33A7" w:rsidP="00F10E82">
            <w:pPr>
              <w:rPr>
                <w:rFonts w:asciiTheme="minorBidi" w:hAnsiTheme="minorBidi"/>
                <w:sz w:val="24"/>
                <w:szCs w:val="24"/>
              </w:rPr>
            </w:pPr>
            <w:r w:rsidRPr="004B33A7">
              <w:rPr>
                <w:rFonts w:asciiTheme="minorBidi" w:hAnsiTheme="minorBidi"/>
                <w:sz w:val="24"/>
                <w:szCs w:val="24"/>
              </w:rPr>
              <w:t>No   ​</w:t>
            </w:r>
            <w:r w:rsidRPr="004B33A7">
              <w:rPr>
                <w:rFonts w:ascii="Segoe UI Symbol" w:hAnsi="Segoe UI Symbol" w:cs="Segoe UI Symbol"/>
                <w:sz w:val="24"/>
                <w:szCs w:val="24"/>
              </w:rPr>
              <w:t>☐</w:t>
            </w:r>
            <w:r w:rsidRPr="004B33A7">
              <w:rPr>
                <w:rFonts w:asciiTheme="minorBidi" w:hAnsiTheme="minorBidi"/>
                <w:sz w:val="24"/>
                <w:szCs w:val="24"/>
              </w:rPr>
              <w:t>​ </w:t>
            </w:r>
          </w:p>
        </w:tc>
      </w:tr>
      <w:tr w:rsidR="004B33A7" w:rsidRPr="004B33A7" w14:paraId="72B64EEA" w14:textId="77777777" w:rsidTr="00F10E82">
        <w:trPr>
          <w:trHeight w:val="300"/>
        </w:trPr>
        <w:tc>
          <w:tcPr>
            <w:tcW w:w="2205" w:type="dxa"/>
            <w:tcBorders>
              <w:top w:val="single" w:sz="6" w:space="0" w:color="000000"/>
              <w:left w:val="single" w:sz="6" w:space="0" w:color="auto"/>
              <w:bottom w:val="single" w:sz="6" w:space="0" w:color="000000"/>
              <w:right w:val="single" w:sz="6" w:space="0" w:color="000000"/>
            </w:tcBorders>
            <w:hideMark/>
          </w:tcPr>
          <w:p w14:paraId="21A119D6" w14:textId="77777777" w:rsidR="004B33A7" w:rsidRPr="004B33A7" w:rsidRDefault="004B33A7" w:rsidP="00F10E82">
            <w:pPr>
              <w:rPr>
                <w:rFonts w:asciiTheme="minorBidi" w:hAnsiTheme="minorBidi"/>
                <w:sz w:val="24"/>
                <w:szCs w:val="24"/>
              </w:rPr>
            </w:pPr>
            <w:r w:rsidRPr="004B33A7">
              <w:rPr>
                <w:rFonts w:asciiTheme="minorBidi" w:hAnsiTheme="minorBidi"/>
                <w:sz w:val="24"/>
                <w:szCs w:val="24"/>
              </w:rPr>
              <w:t>PROOFREADING  </w:t>
            </w:r>
          </w:p>
        </w:tc>
        <w:tc>
          <w:tcPr>
            <w:tcW w:w="4890" w:type="dxa"/>
            <w:tcBorders>
              <w:top w:val="single" w:sz="6" w:space="0" w:color="000000"/>
              <w:left w:val="single" w:sz="6" w:space="0" w:color="000000"/>
              <w:bottom w:val="single" w:sz="6" w:space="0" w:color="000000"/>
              <w:right w:val="single" w:sz="6" w:space="0" w:color="000000"/>
            </w:tcBorders>
            <w:hideMark/>
          </w:tcPr>
          <w:p w14:paraId="3C68E036" w14:textId="77777777" w:rsidR="004B33A7" w:rsidRPr="004B33A7" w:rsidRDefault="004B33A7" w:rsidP="00F10E82">
            <w:pPr>
              <w:rPr>
                <w:rFonts w:asciiTheme="minorBidi" w:hAnsiTheme="minorBidi"/>
                <w:sz w:val="24"/>
                <w:szCs w:val="24"/>
              </w:rPr>
            </w:pPr>
            <w:r w:rsidRPr="004B33A7">
              <w:rPr>
                <w:rFonts w:asciiTheme="minorBidi" w:hAnsiTheme="minorBidi"/>
                <w:sz w:val="24"/>
                <w:szCs w:val="24"/>
              </w:rPr>
              <w:t>For this assessment, you can use Generative AI to check your own text/creation for grammatical and syntactical mistakes, including getting suggestions to rephrase your work.  </w:t>
            </w:r>
          </w:p>
        </w:tc>
        <w:tc>
          <w:tcPr>
            <w:tcW w:w="1305" w:type="dxa"/>
            <w:tcBorders>
              <w:top w:val="single" w:sz="6" w:space="0" w:color="000000"/>
              <w:left w:val="single" w:sz="6" w:space="0" w:color="000000"/>
              <w:bottom w:val="single" w:sz="6" w:space="0" w:color="000000"/>
              <w:right w:val="single" w:sz="6" w:space="0" w:color="auto"/>
            </w:tcBorders>
            <w:hideMark/>
          </w:tcPr>
          <w:p w14:paraId="1E6E5DAC" w14:textId="70A20730" w:rsidR="004B33A7" w:rsidRPr="004B33A7" w:rsidRDefault="004B33A7" w:rsidP="00F10E82">
            <w:pPr>
              <w:rPr>
                <w:rFonts w:asciiTheme="minorBidi" w:hAnsiTheme="minorBidi"/>
                <w:sz w:val="24"/>
                <w:szCs w:val="24"/>
              </w:rPr>
            </w:pPr>
            <w:proofErr w:type="gramStart"/>
            <w:r w:rsidRPr="004B33A7">
              <w:rPr>
                <w:rFonts w:asciiTheme="minorBidi" w:hAnsiTheme="minorBidi"/>
                <w:sz w:val="24"/>
                <w:szCs w:val="24"/>
              </w:rPr>
              <w:t>Yes  ​</w:t>
            </w:r>
            <w:proofErr w:type="gramEnd"/>
            <w:r w:rsidRPr="004B33A7">
              <w:rPr>
                <w:rFonts w:asciiTheme="minorBidi" w:hAnsiTheme="minorBidi"/>
                <w:sz w:val="24"/>
                <w:szCs w:val="24"/>
              </w:rPr>
              <w:t>X</w:t>
            </w:r>
          </w:p>
          <w:p w14:paraId="0B0C5219" w14:textId="77777777" w:rsidR="004B33A7" w:rsidRPr="004B33A7" w:rsidRDefault="004B33A7" w:rsidP="00F10E82">
            <w:pPr>
              <w:rPr>
                <w:rFonts w:asciiTheme="minorBidi" w:hAnsiTheme="minorBidi"/>
                <w:sz w:val="24"/>
                <w:szCs w:val="24"/>
              </w:rPr>
            </w:pPr>
            <w:r w:rsidRPr="004B33A7">
              <w:rPr>
                <w:rFonts w:asciiTheme="minorBidi" w:hAnsiTheme="minorBidi"/>
                <w:sz w:val="24"/>
                <w:szCs w:val="24"/>
              </w:rPr>
              <w:t>No   ​</w:t>
            </w:r>
            <w:r w:rsidRPr="004B33A7">
              <w:rPr>
                <w:rFonts w:ascii="Segoe UI Symbol" w:hAnsi="Segoe UI Symbol" w:cs="Segoe UI Symbol"/>
                <w:sz w:val="24"/>
                <w:szCs w:val="24"/>
              </w:rPr>
              <w:t>☐</w:t>
            </w:r>
            <w:r w:rsidRPr="004B33A7">
              <w:rPr>
                <w:rFonts w:asciiTheme="minorBidi" w:hAnsiTheme="minorBidi"/>
                <w:sz w:val="24"/>
                <w:szCs w:val="24"/>
              </w:rPr>
              <w:t>​ </w:t>
            </w:r>
          </w:p>
        </w:tc>
      </w:tr>
      <w:tr w:rsidR="004B33A7" w:rsidRPr="004B33A7" w14:paraId="29ED216A" w14:textId="77777777" w:rsidTr="00F10E82">
        <w:trPr>
          <w:trHeight w:val="300"/>
        </w:trPr>
        <w:tc>
          <w:tcPr>
            <w:tcW w:w="2205" w:type="dxa"/>
            <w:tcBorders>
              <w:top w:val="single" w:sz="6" w:space="0" w:color="000000"/>
              <w:left w:val="single" w:sz="6" w:space="0" w:color="auto"/>
              <w:bottom w:val="single" w:sz="6" w:space="0" w:color="000000"/>
              <w:right w:val="single" w:sz="6" w:space="0" w:color="000000"/>
            </w:tcBorders>
            <w:hideMark/>
          </w:tcPr>
          <w:p w14:paraId="56FE4BEF" w14:textId="77777777" w:rsidR="004B33A7" w:rsidRPr="004B33A7" w:rsidRDefault="004B33A7" w:rsidP="00F10E82">
            <w:pPr>
              <w:rPr>
                <w:rFonts w:asciiTheme="minorBidi" w:hAnsiTheme="minorBidi"/>
                <w:sz w:val="24"/>
                <w:szCs w:val="24"/>
              </w:rPr>
            </w:pPr>
            <w:r w:rsidRPr="004B33A7">
              <w:rPr>
                <w:rFonts w:asciiTheme="minorBidi" w:hAnsiTheme="minorBidi"/>
                <w:sz w:val="24"/>
                <w:szCs w:val="24"/>
              </w:rPr>
              <w:t>WRITING  </w:t>
            </w:r>
          </w:p>
        </w:tc>
        <w:tc>
          <w:tcPr>
            <w:tcW w:w="4890" w:type="dxa"/>
            <w:tcBorders>
              <w:top w:val="single" w:sz="6" w:space="0" w:color="000000"/>
              <w:left w:val="single" w:sz="6" w:space="0" w:color="000000"/>
              <w:bottom w:val="single" w:sz="6" w:space="0" w:color="000000"/>
              <w:right w:val="single" w:sz="6" w:space="0" w:color="000000"/>
            </w:tcBorders>
            <w:hideMark/>
          </w:tcPr>
          <w:p w14:paraId="74B40370" w14:textId="77777777" w:rsidR="004B33A7" w:rsidRPr="004B33A7" w:rsidRDefault="004B33A7" w:rsidP="00F10E82">
            <w:pPr>
              <w:rPr>
                <w:rFonts w:asciiTheme="minorBidi" w:hAnsiTheme="minorBidi"/>
                <w:sz w:val="24"/>
                <w:szCs w:val="24"/>
              </w:rPr>
            </w:pPr>
            <w:r w:rsidRPr="004B33A7">
              <w:rPr>
                <w:rFonts w:asciiTheme="minorBidi" w:hAnsiTheme="minorBidi"/>
                <w:sz w:val="24"/>
                <w:szCs w:val="24"/>
              </w:rPr>
              <w:t>For this assessment, you can use Generative AI to create text for submission.  </w:t>
            </w:r>
          </w:p>
        </w:tc>
        <w:tc>
          <w:tcPr>
            <w:tcW w:w="1305" w:type="dxa"/>
            <w:tcBorders>
              <w:top w:val="single" w:sz="6" w:space="0" w:color="000000"/>
              <w:left w:val="single" w:sz="6" w:space="0" w:color="000000"/>
              <w:bottom w:val="single" w:sz="6" w:space="0" w:color="000000"/>
              <w:right w:val="single" w:sz="6" w:space="0" w:color="auto"/>
            </w:tcBorders>
            <w:hideMark/>
          </w:tcPr>
          <w:p w14:paraId="38F4C3F1" w14:textId="77777777" w:rsidR="004B33A7" w:rsidRPr="004B33A7" w:rsidRDefault="004B33A7" w:rsidP="00F10E82">
            <w:pPr>
              <w:rPr>
                <w:rFonts w:asciiTheme="minorBidi" w:hAnsiTheme="minorBidi"/>
                <w:sz w:val="24"/>
                <w:szCs w:val="24"/>
              </w:rPr>
            </w:pPr>
            <w:proofErr w:type="gramStart"/>
            <w:r w:rsidRPr="004B33A7">
              <w:rPr>
                <w:rFonts w:asciiTheme="minorBidi" w:hAnsiTheme="minorBidi"/>
                <w:sz w:val="24"/>
                <w:szCs w:val="24"/>
              </w:rPr>
              <w:t>Yes  ​</w:t>
            </w:r>
            <w:proofErr w:type="gramEnd"/>
            <w:r w:rsidRPr="004B33A7">
              <w:rPr>
                <w:rFonts w:ascii="Segoe UI Symbol" w:hAnsi="Segoe UI Symbol" w:cs="Segoe UI Symbol"/>
                <w:sz w:val="24"/>
                <w:szCs w:val="24"/>
              </w:rPr>
              <w:t>☐</w:t>
            </w:r>
            <w:r w:rsidRPr="004B33A7">
              <w:rPr>
                <w:rFonts w:asciiTheme="minorBidi" w:hAnsiTheme="minorBidi"/>
                <w:sz w:val="24"/>
                <w:szCs w:val="24"/>
              </w:rPr>
              <w:t>​ </w:t>
            </w:r>
          </w:p>
          <w:p w14:paraId="210DCFE4" w14:textId="34F07642" w:rsidR="004B33A7" w:rsidRPr="004B33A7" w:rsidRDefault="004B33A7" w:rsidP="00F10E82">
            <w:pPr>
              <w:rPr>
                <w:rFonts w:asciiTheme="minorBidi" w:hAnsiTheme="minorBidi"/>
                <w:sz w:val="24"/>
                <w:szCs w:val="24"/>
              </w:rPr>
            </w:pPr>
            <w:r w:rsidRPr="004B33A7">
              <w:rPr>
                <w:rFonts w:asciiTheme="minorBidi" w:hAnsiTheme="minorBidi"/>
                <w:sz w:val="24"/>
                <w:szCs w:val="24"/>
              </w:rPr>
              <w:t>No   X </w:t>
            </w:r>
          </w:p>
        </w:tc>
      </w:tr>
      <w:tr w:rsidR="004B33A7" w:rsidRPr="004B33A7" w14:paraId="2570731A" w14:textId="77777777" w:rsidTr="00F10E82">
        <w:trPr>
          <w:trHeight w:val="300"/>
        </w:trPr>
        <w:tc>
          <w:tcPr>
            <w:tcW w:w="2205" w:type="dxa"/>
            <w:tcBorders>
              <w:top w:val="single" w:sz="6" w:space="0" w:color="000000"/>
              <w:left w:val="single" w:sz="6" w:space="0" w:color="auto"/>
              <w:bottom w:val="single" w:sz="6" w:space="0" w:color="000000"/>
              <w:right w:val="single" w:sz="6" w:space="0" w:color="000000"/>
            </w:tcBorders>
            <w:hideMark/>
          </w:tcPr>
          <w:p w14:paraId="0927B335" w14:textId="77777777" w:rsidR="004B33A7" w:rsidRPr="004B33A7" w:rsidRDefault="004B33A7" w:rsidP="00F10E82">
            <w:pPr>
              <w:rPr>
                <w:rFonts w:asciiTheme="minorBidi" w:hAnsiTheme="minorBidi"/>
                <w:sz w:val="24"/>
                <w:szCs w:val="24"/>
              </w:rPr>
            </w:pPr>
            <w:r w:rsidRPr="004B33A7">
              <w:rPr>
                <w:rFonts w:asciiTheme="minorBidi" w:hAnsiTheme="minorBidi"/>
                <w:sz w:val="24"/>
                <w:szCs w:val="24"/>
              </w:rPr>
              <w:t>CREATIVE  </w:t>
            </w:r>
          </w:p>
        </w:tc>
        <w:tc>
          <w:tcPr>
            <w:tcW w:w="4890" w:type="dxa"/>
            <w:tcBorders>
              <w:top w:val="single" w:sz="6" w:space="0" w:color="000000"/>
              <w:left w:val="single" w:sz="6" w:space="0" w:color="000000"/>
              <w:bottom w:val="single" w:sz="6" w:space="0" w:color="000000"/>
              <w:right w:val="single" w:sz="6" w:space="0" w:color="000000"/>
            </w:tcBorders>
            <w:hideMark/>
          </w:tcPr>
          <w:p w14:paraId="5312A79C" w14:textId="77777777" w:rsidR="004B33A7" w:rsidRPr="004B33A7" w:rsidRDefault="004B33A7" w:rsidP="00F10E82">
            <w:pPr>
              <w:rPr>
                <w:rFonts w:asciiTheme="minorBidi" w:hAnsiTheme="minorBidi"/>
                <w:sz w:val="24"/>
                <w:szCs w:val="24"/>
              </w:rPr>
            </w:pPr>
            <w:r w:rsidRPr="004B33A7">
              <w:rPr>
                <w:rFonts w:asciiTheme="minorBidi" w:hAnsiTheme="minorBidi"/>
                <w:sz w:val="24"/>
                <w:szCs w:val="24"/>
              </w:rPr>
              <w:t>For this assessment, you can use Generative AI to create creative materials, such as images.  </w:t>
            </w:r>
          </w:p>
        </w:tc>
        <w:tc>
          <w:tcPr>
            <w:tcW w:w="1305" w:type="dxa"/>
            <w:tcBorders>
              <w:top w:val="single" w:sz="6" w:space="0" w:color="000000"/>
              <w:left w:val="single" w:sz="6" w:space="0" w:color="000000"/>
              <w:bottom w:val="single" w:sz="6" w:space="0" w:color="000000"/>
              <w:right w:val="single" w:sz="6" w:space="0" w:color="auto"/>
            </w:tcBorders>
            <w:hideMark/>
          </w:tcPr>
          <w:p w14:paraId="0DB4DDB9" w14:textId="77777777" w:rsidR="004B33A7" w:rsidRPr="004B33A7" w:rsidRDefault="004B33A7" w:rsidP="00F10E82">
            <w:pPr>
              <w:rPr>
                <w:rFonts w:asciiTheme="minorBidi" w:hAnsiTheme="minorBidi"/>
                <w:sz w:val="24"/>
                <w:szCs w:val="24"/>
              </w:rPr>
            </w:pPr>
            <w:proofErr w:type="gramStart"/>
            <w:r w:rsidRPr="004B33A7">
              <w:rPr>
                <w:rFonts w:asciiTheme="minorBidi" w:hAnsiTheme="minorBidi"/>
                <w:sz w:val="24"/>
                <w:szCs w:val="24"/>
              </w:rPr>
              <w:t>Yes  ​</w:t>
            </w:r>
            <w:proofErr w:type="gramEnd"/>
            <w:r w:rsidRPr="004B33A7">
              <w:rPr>
                <w:rFonts w:ascii="Segoe UI Symbol" w:hAnsi="Segoe UI Symbol" w:cs="Segoe UI Symbol"/>
                <w:sz w:val="24"/>
                <w:szCs w:val="24"/>
              </w:rPr>
              <w:t>☐</w:t>
            </w:r>
            <w:r w:rsidRPr="004B33A7">
              <w:rPr>
                <w:rFonts w:asciiTheme="minorBidi" w:hAnsiTheme="minorBidi"/>
                <w:sz w:val="24"/>
                <w:szCs w:val="24"/>
              </w:rPr>
              <w:t>​ </w:t>
            </w:r>
          </w:p>
          <w:p w14:paraId="6EAAB1B6" w14:textId="743694CB" w:rsidR="004B33A7" w:rsidRPr="004B33A7" w:rsidRDefault="004B33A7" w:rsidP="00F10E82">
            <w:pPr>
              <w:rPr>
                <w:rFonts w:asciiTheme="minorBidi" w:hAnsiTheme="minorBidi"/>
                <w:sz w:val="24"/>
                <w:szCs w:val="24"/>
              </w:rPr>
            </w:pPr>
            <w:r w:rsidRPr="004B33A7">
              <w:rPr>
                <w:rFonts w:asciiTheme="minorBidi" w:hAnsiTheme="minorBidi"/>
                <w:sz w:val="24"/>
                <w:szCs w:val="24"/>
              </w:rPr>
              <w:t>No   ​X</w:t>
            </w:r>
          </w:p>
        </w:tc>
      </w:tr>
      <w:tr w:rsidR="004B33A7" w:rsidRPr="004B33A7" w14:paraId="115D0585" w14:textId="77777777" w:rsidTr="00F10E82">
        <w:trPr>
          <w:trHeight w:val="300"/>
        </w:trPr>
        <w:tc>
          <w:tcPr>
            <w:tcW w:w="2205" w:type="dxa"/>
            <w:tcBorders>
              <w:top w:val="single" w:sz="6" w:space="0" w:color="000000"/>
              <w:left w:val="single" w:sz="6" w:space="0" w:color="auto"/>
              <w:bottom w:val="single" w:sz="6" w:space="0" w:color="000000"/>
              <w:right w:val="single" w:sz="6" w:space="0" w:color="000000"/>
            </w:tcBorders>
            <w:hideMark/>
          </w:tcPr>
          <w:p w14:paraId="65FC7A25" w14:textId="77777777" w:rsidR="004B33A7" w:rsidRPr="004B33A7" w:rsidRDefault="004B33A7" w:rsidP="00F10E82">
            <w:pPr>
              <w:rPr>
                <w:rFonts w:asciiTheme="minorBidi" w:hAnsiTheme="minorBidi"/>
                <w:sz w:val="24"/>
                <w:szCs w:val="24"/>
              </w:rPr>
            </w:pPr>
            <w:r w:rsidRPr="004B33A7">
              <w:rPr>
                <w:rFonts w:asciiTheme="minorBidi" w:hAnsiTheme="minorBidi"/>
                <w:sz w:val="24"/>
                <w:szCs w:val="24"/>
              </w:rPr>
              <w:t>PROGRAMING  </w:t>
            </w:r>
          </w:p>
        </w:tc>
        <w:tc>
          <w:tcPr>
            <w:tcW w:w="4890" w:type="dxa"/>
            <w:tcBorders>
              <w:top w:val="single" w:sz="6" w:space="0" w:color="000000"/>
              <w:left w:val="single" w:sz="6" w:space="0" w:color="000000"/>
              <w:bottom w:val="single" w:sz="6" w:space="0" w:color="000000"/>
              <w:right w:val="single" w:sz="6" w:space="0" w:color="000000"/>
            </w:tcBorders>
            <w:hideMark/>
          </w:tcPr>
          <w:p w14:paraId="21E6C525" w14:textId="77777777" w:rsidR="004B33A7" w:rsidRPr="004B33A7" w:rsidRDefault="004B33A7" w:rsidP="00F10E82">
            <w:pPr>
              <w:rPr>
                <w:rFonts w:asciiTheme="minorBidi" w:hAnsiTheme="minorBidi"/>
                <w:sz w:val="24"/>
                <w:szCs w:val="24"/>
              </w:rPr>
            </w:pPr>
            <w:r w:rsidRPr="004B33A7">
              <w:rPr>
                <w:rFonts w:asciiTheme="minorBidi" w:hAnsiTheme="minorBidi"/>
                <w:sz w:val="24"/>
                <w:szCs w:val="24"/>
              </w:rPr>
              <w:t>For this assessment, you can use Generative AI to create and check code.  </w:t>
            </w:r>
          </w:p>
        </w:tc>
        <w:tc>
          <w:tcPr>
            <w:tcW w:w="1305" w:type="dxa"/>
            <w:tcBorders>
              <w:top w:val="single" w:sz="6" w:space="0" w:color="000000"/>
              <w:left w:val="single" w:sz="6" w:space="0" w:color="000000"/>
              <w:bottom w:val="single" w:sz="6" w:space="0" w:color="000000"/>
              <w:right w:val="single" w:sz="6" w:space="0" w:color="auto"/>
            </w:tcBorders>
            <w:hideMark/>
          </w:tcPr>
          <w:p w14:paraId="2D25DEE7" w14:textId="77777777" w:rsidR="004B33A7" w:rsidRPr="004B33A7" w:rsidRDefault="004B33A7" w:rsidP="00F10E82">
            <w:pPr>
              <w:rPr>
                <w:rFonts w:asciiTheme="minorBidi" w:hAnsiTheme="minorBidi"/>
                <w:sz w:val="24"/>
                <w:szCs w:val="24"/>
              </w:rPr>
            </w:pPr>
            <w:proofErr w:type="gramStart"/>
            <w:r w:rsidRPr="004B33A7">
              <w:rPr>
                <w:rFonts w:asciiTheme="minorBidi" w:hAnsiTheme="minorBidi"/>
                <w:sz w:val="24"/>
                <w:szCs w:val="24"/>
              </w:rPr>
              <w:t>Yes  ​</w:t>
            </w:r>
            <w:proofErr w:type="gramEnd"/>
            <w:r w:rsidRPr="004B33A7">
              <w:rPr>
                <w:rFonts w:ascii="Segoe UI Symbol" w:hAnsi="Segoe UI Symbol" w:cs="Segoe UI Symbol"/>
                <w:sz w:val="24"/>
                <w:szCs w:val="24"/>
              </w:rPr>
              <w:t>☐</w:t>
            </w:r>
            <w:r w:rsidRPr="004B33A7">
              <w:rPr>
                <w:rFonts w:asciiTheme="minorBidi" w:hAnsiTheme="minorBidi"/>
                <w:sz w:val="24"/>
                <w:szCs w:val="24"/>
              </w:rPr>
              <w:t>​ </w:t>
            </w:r>
          </w:p>
          <w:p w14:paraId="20E5222E" w14:textId="60E63B3C" w:rsidR="004B33A7" w:rsidRPr="004B33A7" w:rsidRDefault="004B33A7" w:rsidP="00F10E82">
            <w:pPr>
              <w:rPr>
                <w:rFonts w:asciiTheme="minorBidi" w:hAnsiTheme="minorBidi"/>
                <w:sz w:val="24"/>
                <w:szCs w:val="24"/>
              </w:rPr>
            </w:pPr>
            <w:r w:rsidRPr="004B33A7">
              <w:rPr>
                <w:rFonts w:asciiTheme="minorBidi" w:hAnsiTheme="minorBidi"/>
                <w:sz w:val="24"/>
                <w:szCs w:val="24"/>
              </w:rPr>
              <w:t>No   ​X</w:t>
            </w:r>
          </w:p>
        </w:tc>
      </w:tr>
      <w:tr w:rsidR="004B33A7" w:rsidRPr="004B33A7" w14:paraId="75F2D960" w14:textId="77777777" w:rsidTr="00F10E82">
        <w:trPr>
          <w:trHeight w:val="300"/>
        </w:trPr>
        <w:tc>
          <w:tcPr>
            <w:tcW w:w="2205" w:type="dxa"/>
            <w:tcBorders>
              <w:top w:val="single" w:sz="6" w:space="0" w:color="000000"/>
              <w:left w:val="single" w:sz="6" w:space="0" w:color="auto"/>
              <w:bottom w:val="single" w:sz="6" w:space="0" w:color="auto"/>
              <w:right w:val="single" w:sz="6" w:space="0" w:color="000000"/>
            </w:tcBorders>
            <w:hideMark/>
          </w:tcPr>
          <w:p w14:paraId="38A98BBE" w14:textId="77777777" w:rsidR="004B33A7" w:rsidRPr="004B33A7" w:rsidRDefault="004B33A7" w:rsidP="00F10E82">
            <w:pPr>
              <w:rPr>
                <w:rFonts w:asciiTheme="minorBidi" w:hAnsiTheme="minorBidi"/>
                <w:sz w:val="24"/>
                <w:szCs w:val="24"/>
              </w:rPr>
            </w:pPr>
            <w:r w:rsidRPr="004B33A7">
              <w:rPr>
                <w:rFonts w:asciiTheme="minorBidi" w:hAnsiTheme="minorBidi"/>
                <w:sz w:val="24"/>
                <w:szCs w:val="24"/>
              </w:rPr>
              <w:t>NONE </w:t>
            </w:r>
          </w:p>
        </w:tc>
        <w:tc>
          <w:tcPr>
            <w:tcW w:w="4890" w:type="dxa"/>
            <w:tcBorders>
              <w:top w:val="single" w:sz="6" w:space="0" w:color="000000"/>
              <w:left w:val="single" w:sz="6" w:space="0" w:color="000000"/>
              <w:bottom w:val="single" w:sz="6" w:space="0" w:color="auto"/>
              <w:right w:val="single" w:sz="6" w:space="0" w:color="000000"/>
            </w:tcBorders>
            <w:hideMark/>
          </w:tcPr>
          <w:p w14:paraId="5B62DC5A" w14:textId="77777777" w:rsidR="004B33A7" w:rsidRPr="004B33A7" w:rsidRDefault="004B33A7" w:rsidP="00F10E82">
            <w:pPr>
              <w:rPr>
                <w:rFonts w:asciiTheme="minorBidi" w:hAnsiTheme="minorBidi"/>
                <w:sz w:val="24"/>
                <w:szCs w:val="24"/>
              </w:rPr>
            </w:pPr>
            <w:r w:rsidRPr="004B33A7">
              <w:rPr>
                <w:rFonts w:asciiTheme="minorBidi" w:hAnsiTheme="minorBidi"/>
                <w:sz w:val="24"/>
                <w:szCs w:val="24"/>
              </w:rPr>
              <w:t xml:space="preserve">For this assessment, you are not allowed to use </w:t>
            </w:r>
            <w:r w:rsidRPr="004B33A7">
              <w:rPr>
                <w:rFonts w:asciiTheme="minorBidi" w:hAnsiTheme="minorBidi"/>
                <w:b/>
                <w:bCs/>
                <w:sz w:val="24"/>
                <w:szCs w:val="24"/>
              </w:rPr>
              <w:t>any</w:t>
            </w:r>
            <w:r w:rsidRPr="004B33A7">
              <w:rPr>
                <w:rFonts w:asciiTheme="minorBidi" w:hAnsiTheme="minorBidi"/>
                <w:sz w:val="24"/>
                <w:szCs w:val="24"/>
              </w:rPr>
              <w:t xml:space="preserve"> type of Generative AI support. This includes research support, structure support, writing/proofreading support and creative support. </w:t>
            </w:r>
          </w:p>
        </w:tc>
        <w:tc>
          <w:tcPr>
            <w:tcW w:w="1305" w:type="dxa"/>
            <w:tcBorders>
              <w:top w:val="single" w:sz="6" w:space="0" w:color="000000"/>
              <w:left w:val="single" w:sz="6" w:space="0" w:color="000000"/>
              <w:bottom w:val="single" w:sz="6" w:space="0" w:color="auto"/>
              <w:right w:val="single" w:sz="6" w:space="0" w:color="auto"/>
            </w:tcBorders>
            <w:hideMark/>
          </w:tcPr>
          <w:p w14:paraId="34F308CD" w14:textId="77777777" w:rsidR="004B33A7" w:rsidRPr="004B33A7" w:rsidRDefault="004B33A7" w:rsidP="004B33A7">
            <w:pPr>
              <w:rPr>
                <w:rFonts w:asciiTheme="minorBidi" w:hAnsiTheme="minorBidi"/>
                <w:sz w:val="24"/>
                <w:szCs w:val="24"/>
              </w:rPr>
            </w:pPr>
            <w:proofErr w:type="gramStart"/>
            <w:r w:rsidRPr="004B33A7">
              <w:rPr>
                <w:rFonts w:asciiTheme="minorBidi" w:hAnsiTheme="minorBidi"/>
                <w:sz w:val="24"/>
                <w:szCs w:val="24"/>
              </w:rPr>
              <w:t>Yes  ​</w:t>
            </w:r>
            <w:proofErr w:type="gramEnd"/>
            <w:r w:rsidRPr="004B33A7">
              <w:rPr>
                <w:rFonts w:ascii="Segoe UI Symbol" w:hAnsi="Segoe UI Symbol" w:cs="Segoe UI Symbol"/>
                <w:sz w:val="24"/>
                <w:szCs w:val="24"/>
              </w:rPr>
              <w:t>☐</w:t>
            </w:r>
            <w:r w:rsidRPr="004B33A7">
              <w:rPr>
                <w:rFonts w:asciiTheme="minorBidi" w:hAnsiTheme="minorBidi"/>
                <w:sz w:val="24"/>
                <w:szCs w:val="24"/>
              </w:rPr>
              <w:t>​ </w:t>
            </w:r>
          </w:p>
          <w:p w14:paraId="3EC06516" w14:textId="6AB0D0F4" w:rsidR="004B33A7" w:rsidRPr="004B33A7" w:rsidRDefault="004B33A7" w:rsidP="004B33A7">
            <w:pPr>
              <w:rPr>
                <w:rFonts w:asciiTheme="minorBidi" w:hAnsiTheme="minorBidi"/>
                <w:sz w:val="24"/>
                <w:szCs w:val="24"/>
              </w:rPr>
            </w:pPr>
            <w:r w:rsidRPr="004B33A7">
              <w:rPr>
                <w:rFonts w:asciiTheme="minorBidi" w:hAnsiTheme="minorBidi"/>
                <w:sz w:val="24"/>
                <w:szCs w:val="24"/>
              </w:rPr>
              <w:t xml:space="preserve">No   ​X </w:t>
            </w:r>
          </w:p>
        </w:tc>
      </w:tr>
    </w:tbl>
    <w:p w14:paraId="39C7C63A" w14:textId="77777777" w:rsidR="004B33A7" w:rsidRDefault="004B33A7" w:rsidP="004B33A7">
      <w:pPr>
        <w:rPr>
          <w:sz w:val="24"/>
          <w:szCs w:val="24"/>
        </w:rPr>
      </w:pPr>
    </w:p>
    <w:p w14:paraId="143E0D83" w14:textId="77777777" w:rsidR="004B33A7" w:rsidRDefault="004B33A7" w:rsidP="004B33A7">
      <w:pPr>
        <w:rPr>
          <w:rFonts w:asciiTheme="minorBidi" w:hAnsiTheme="minorBidi"/>
          <w:b/>
          <w:bCs/>
          <w:sz w:val="28"/>
          <w:szCs w:val="28"/>
          <w:u w:val="single"/>
        </w:rPr>
      </w:pPr>
    </w:p>
    <w:p w14:paraId="2D2D0C46" w14:textId="77777777" w:rsidR="004B33A7" w:rsidRDefault="004B33A7" w:rsidP="004B33A7">
      <w:pPr>
        <w:rPr>
          <w:rFonts w:asciiTheme="minorBidi" w:hAnsiTheme="minorBidi"/>
          <w:b/>
          <w:bCs/>
          <w:sz w:val="28"/>
          <w:szCs w:val="28"/>
          <w:u w:val="single"/>
        </w:rPr>
      </w:pPr>
    </w:p>
    <w:p w14:paraId="1862A7FB" w14:textId="77777777" w:rsidR="004B33A7" w:rsidRDefault="004B33A7" w:rsidP="004B33A7">
      <w:pPr>
        <w:rPr>
          <w:rFonts w:asciiTheme="minorBidi" w:hAnsiTheme="minorBidi"/>
          <w:b/>
          <w:bCs/>
          <w:sz w:val="28"/>
          <w:szCs w:val="28"/>
          <w:u w:val="single"/>
        </w:rPr>
      </w:pPr>
    </w:p>
    <w:p w14:paraId="0B2C701E" w14:textId="77777777" w:rsidR="004B33A7" w:rsidRDefault="004B33A7" w:rsidP="004B33A7">
      <w:pPr>
        <w:rPr>
          <w:rFonts w:asciiTheme="minorBidi" w:hAnsiTheme="minorBidi"/>
          <w:b/>
          <w:bCs/>
          <w:sz w:val="28"/>
          <w:szCs w:val="28"/>
          <w:u w:val="single"/>
        </w:rPr>
      </w:pPr>
    </w:p>
    <w:p w14:paraId="23124646" w14:textId="77777777" w:rsidR="004B33A7" w:rsidRDefault="004B33A7" w:rsidP="004B33A7">
      <w:pPr>
        <w:rPr>
          <w:rFonts w:asciiTheme="minorBidi" w:hAnsiTheme="minorBidi"/>
          <w:b/>
          <w:bCs/>
          <w:sz w:val="28"/>
          <w:szCs w:val="28"/>
          <w:u w:val="single"/>
        </w:rPr>
      </w:pPr>
    </w:p>
    <w:p w14:paraId="2569B474" w14:textId="77777777" w:rsidR="004B33A7" w:rsidRDefault="004B33A7" w:rsidP="004B33A7">
      <w:pPr>
        <w:rPr>
          <w:rFonts w:asciiTheme="minorBidi" w:hAnsiTheme="minorBidi"/>
          <w:b/>
          <w:bCs/>
          <w:sz w:val="28"/>
          <w:szCs w:val="28"/>
          <w:u w:val="single"/>
        </w:rPr>
      </w:pPr>
    </w:p>
    <w:p w14:paraId="266DC1E5" w14:textId="77777777" w:rsidR="004B33A7" w:rsidRDefault="004B33A7" w:rsidP="004B33A7">
      <w:pPr>
        <w:rPr>
          <w:rFonts w:asciiTheme="minorBidi" w:hAnsiTheme="minorBidi"/>
          <w:b/>
          <w:bCs/>
          <w:sz w:val="28"/>
          <w:szCs w:val="28"/>
          <w:u w:val="single"/>
        </w:rPr>
      </w:pPr>
    </w:p>
    <w:p w14:paraId="59737CA7" w14:textId="633C96B0" w:rsidR="004B33A7" w:rsidRPr="004B33A7" w:rsidRDefault="004B33A7" w:rsidP="004B33A7">
      <w:pPr>
        <w:rPr>
          <w:rFonts w:asciiTheme="minorBidi" w:hAnsiTheme="minorBidi"/>
          <w:sz w:val="28"/>
          <w:szCs w:val="28"/>
        </w:rPr>
      </w:pPr>
      <w:r w:rsidRPr="004B33A7">
        <w:rPr>
          <w:rFonts w:asciiTheme="minorBidi" w:hAnsiTheme="minorBidi"/>
          <w:b/>
          <w:bCs/>
          <w:sz w:val="28"/>
          <w:szCs w:val="28"/>
          <w:u w:val="single"/>
        </w:rPr>
        <w:lastRenderedPageBreak/>
        <w:t>AI Acknowledgement  </w:t>
      </w:r>
      <w:r w:rsidRPr="004B33A7">
        <w:rPr>
          <w:rFonts w:asciiTheme="minorBidi" w:hAnsiTheme="minorBidi"/>
          <w:sz w:val="28"/>
          <w:szCs w:val="28"/>
        </w:rPr>
        <w:t> </w:t>
      </w:r>
    </w:p>
    <w:p w14:paraId="6F586E49" w14:textId="77777777" w:rsidR="004B33A7" w:rsidRPr="004B33A7" w:rsidRDefault="004B33A7" w:rsidP="004B33A7">
      <w:pPr>
        <w:rPr>
          <w:rFonts w:asciiTheme="minorBidi" w:hAnsiTheme="minorBidi"/>
          <w:sz w:val="24"/>
          <w:szCs w:val="24"/>
        </w:rPr>
      </w:pPr>
      <w:r w:rsidRPr="004B33A7">
        <w:rPr>
          <w:rFonts w:asciiTheme="minorBidi" w:hAnsiTheme="minorBidi"/>
          <w:sz w:val="24"/>
          <w:szCs w:val="24"/>
        </w:rPr>
        <w:t>I confirm that I have not used any AI tools in the research and creation of this assignment.  </w:t>
      </w:r>
    </w:p>
    <w:p w14:paraId="2E8BD4F7" w14:textId="77777777" w:rsidR="004B33A7" w:rsidRPr="004B33A7" w:rsidRDefault="004B33A7" w:rsidP="004B33A7">
      <w:pPr>
        <w:rPr>
          <w:rFonts w:asciiTheme="minorBidi" w:hAnsiTheme="minorBidi"/>
          <w:sz w:val="24"/>
          <w:szCs w:val="24"/>
        </w:rPr>
      </w:pPr>
      <w:r w:rsidRPr="004B33A7">
        <w:rPr>
          <w:rFonts w:asciiTheme="minorBidi" w:hAnsiTheme="minorBidi"/>
          <w:sz w:val="24"/>
          <w:szCs w:val="24"/>
        </w:rPr>
        <w:t>I confirm that I have not presented any AI generated materials as my own work.  </w:t>
      </w:r>
    </w:p>
    <w:p w14:paraId="4575D7AE" w14:textId="77777777" w:rsidR="004B33A7" w:rsidRPr="004B33A7" w:rsidRDefault="004B33A7" w:rsidP="004B33A7">
      <w:pPr>
        <w:rPr>
          <w:rFonts w:asciiTheme="minorBidi" w:hAnsiTheme="minorBidi"/>
          <w:sz w:val="24"/>
          <w:szCs w:val="24"/>
        </w:rPr>
      </w:pPr>
      <w:r w:rsidRPr="004B33A7">
        <w:rPr>
          <w:rFonts w:asciiTheme="minorBidi" w:hAnsiTheme="minorBidi"/>
          <w:sz w:val="24"/>
          <w:szCs w:val="24"/>
        </w:rPr>
        <w:t>I confirm that I have copies of my drafts, notes, and other resources I used, which I may be asked to provide in evidence. </w:t>
      </w:r>
    </w:p>
    <w:p w14:paraId="54E000C8" w14:textId="77777777" w:rsidR="004B33A7" w:rsidRPr="004B33A7" w:rsidRDefault="004B33A7" w:rsidP="004B33A7">
      <w:pPr>
        <w:rPr>
          <w:rFonts w:asciiTheme="minorBidi" w:hAnsiTheme="minorBidi"/>
          <w:sz w:val="24"/>
          <w:szCs w:val="24"/>
        </w:rPr>
      </w:pPr>
      <w:r w:rsidRPr="004B33A7">
        <w:rPr>
          <w:rFonts w:asciiTheme="minorBidi" w:hAnsiTheme="minorBidi"/>
          <w:sz w:val="24"/>
          <w:szCs w:val="24"/>
        </w:rPr>
        <w:t> </w:t>
      </w:r>
    </w:p>
    <w:p w14:paraId="6334446C" w14:textId="335101BB" w:rsidR="008D6914" w:rsidRDefault="008D6914" w:rsidP="004B33A7">
      <w:pPr>
        <w:rPr>
          <w:rFonts w:asciiTheme="minorBidi" w:hAnsiTheme="minorBidi"/>
          <w:sz w:val="24"/>
          <w:szCs w:val="24"/>
        </w:rPr>
      </w:pPr>
    </w:p>
    <w:p w14:paraId="2A429A5C" w14:textId="77777777" w:rsidR="004B33A7" w:rsidRDefault="004B33A7" w:rsidP="004B33A7">
      <w:pPr>
        <w:rPr>
          <w:rFonts w:asciiTheme="minorBidi" w:hAnsiTheme="minorBidi"/>
          <w:sz w:val="24"/>
          <w:szCs w:val="24"/>
        </w:rPr>
      </w:pPr>
    </w:p>
    <w:p w14:paraId="2809FBFB" w14:textId="77777777" w:rsidR="004B33A7" w:rsidRDefault="004B33A7" w:rsidP="004B33A7">
      <w:pPr>
        <w:rPr>
          <w:rFonts w:asciiTheme="minorBidi" w:hAnsiTheme="minorBidi"/>
          <w:sz w:val="24"/>
          <w:szCs w:val="24"/>
        </w:rPr>
      </w:pPr>
    </w:p>
    <w:p w14:paraId="082FFF89" w14:textId="77777777" w:rsidR="004B33A7" w:rsidRDefault="004B33A7" w:rsidP="004B33A7">
      <w:pPr>
        <w:rPr>
          <w:rFonts w:asciiTheme="minorBidi" w:hAnsiTheme="minorBidi"/>
          <w:sz w:val="24"/>
          <w:szCs w:val="24"/>
        </w:rPr>
      </w:pPr>
    </w:p>
    <w:p w14:paraId="02476F4A" w14:textId="77777777" w:rsidR="004B33A7" w:rsidRDefault="004B33A7" w:rsidP="004B33A7">
      <w:pPr>
        <w:rPr>
          <w:rFonts w:asciiTheme="minorBidi" w:hAnsiTheme="minorBidi"/>
          <w:sz w:val="24"/>
          <w:szCs w:val="24"/>
        </w:rPr>
      </w:pPr>
    </w:p>
    <w:p w14:paraId="5051804A" w14:textId="77777777" w:rsidR="004B33A7" w:rsidRDefault="004B33A7" w:rsidP="004B33A7">
      <w:pPr>
        <w:rPr>
          <w:rFonts w:asciiTheme="minorBidi" w:hAnsiTheme="minorBidi"/>
          <w:sz w:val="24"/>
          <w:szCs w:val="24"/>
        </w:rPr>
      </w:pPr>
    </w:p>
    <w:p w14:paraId="3C007E7B" w14:textId="77777777" w:rsidR="004B33A7" w:rsidRDefault="004B33A7" w:rsidP="004B33A7">
      <w:pPr>
        <w:rPr>
          <w:rFonts w:asciiTheme="minorBidi" w:hAnsiTheme="minorBidi"/>
          <w:sz w:val="24"/>
          <w:szCs w:val="24"/>
        </w:rPr>
      </w:pPr>
    </w:p>
    <w:p w14:paraId="135AF617" w14:textId="77777777" w:rsidR="004B33A7" w:rsidRDefault="004B33A7" w:rsidP="004B33A7">
      <w:pPr>
        <w:rPr>
          <w:rFonts w:asciiTheme="minorBidi" w:hAnsiTheme="minorBidi"/>
          <w:sz w:val="24"/>
          <w:szCs w:val="24"/>
        </w:rPr>
      </w:pPr>
    </w:p>
    <w:p w14:paraId="3BADBBBD" w14:textId="77777777" w:rsidR="004B33A7" w:rsidRDefault="004B33A7" w:rsidP="004B33A7">
      <w:pPr>
        <w:rPr>
          <w:rFonts w:asciiTheme="minorBidi" w:hAnsiTheme="minorBidi"/>
          <w:sz w:val="24"/>
          <w:szCs w:val="24"/>
        </w:rPr>
      </w:pPr>
    </w:p>
    <w:p w14:paraId="37E31CE2" w14:textId="77777777" w:rsidR="004B33A7" w:rsidRDefault="004B33A7" w:rsidP="004B33A7">
      <w:pPr>
        <w:rPr>
          <w:rFonts w:asciiTheme="minorBidi" w:hAnsiTheme="minorBidi"/>
          <w:sz w:val="24"/>
          <w:szCs w:val="24"/>
        </w:rPr>
      </w:pPr>
    </w:p>
    <w:p w14:paraId="57B88F9B" w14:textId="77777777" w:rsidR="004B33A7" w:rsidRDefault="004B33A7" w:rsidP="004B33A7">
      <w:pPr>
        <w:rPr>
          <w:rFonts w:asciiTheme="minorBidi" w:hAnsiTheme="minorBidi"/>
          <w:sz w:val="24"/>
          <w:szCs w:val="24"/>
        </w:rPr>
      </w:pPr>
    </w:p>
    <w:p w14:paraId="26B7B66C" w14:textId="77777777" w:rsidR="004B33A7" w:rsidRDefault="004B33A7" w:rsidP="004B33A7">
      <w:pPr>
        <w:rPr>
          <w:rFonts w:asciiTheme="minorBidi" w:hAnsiTheme="minorBidi"/>
          <w:sz w:val="24"/>
          <w:szCs w:val="24"/>
        </w:rPr>
      </w:pPr>
    </w:p>
    <w:p w14:paraId="1599550F" w14:textId="77777777" w:rsidR="004B33A7" w:rsidRDefault="004B33A7" w:rsidP="004B33A7">
      <w:pPr>
        <w:rPr>
          <w:rFonts w:asciiTheme="minorBidi" w:hAnsiTheme="minorBidi"/>
          <w:sz w:val="24"/>
          <w:szCs w:val="24"/>
        </w:rPr>
      </w:pPr>
    </w:p>
    <w:p w14:paraId="3EEAD786" w14:textId="77777777" w:rsidR="004B33A7" w:rsidRDefault="004B33A7" w:rsidP="004B33A7">
      <w:pPr>
        <w:rPr>
          <w:rFonts w:asciiTheme="minorBidi" w:hAnsiTheme="minorBidi"/>
          <w:sz w:val="24"/>
          <w:szCs w:val="24"/>
        </w:rPr>
      </w:pPr>
    </w:p>
    <w:p w14:paraId="09D3C1A1" w14:textId="77777777" w:rsidR="004B33A7" w:rsidRDefault="004B33A7" w:rsidP="004B33A7">
      <w:pPr>
        <w:rPr>
          <w:rFonts w:asciiTheme="minorBidi" w:hAnsiTheme="minorBidi"/>
          <w:sz w:val="24"/>
          <w:szCs w:val="24"/>
        </w:rPr>
      </w:pPr>
    </w:p>
    <w:p w14:paraId="7BC37877" w14:textId="77777777" w:rsidR="004B33A7" w:rsidRDefault="004B33A7" w:rsidP="004B33A7">
      <w:pPr>
        <w:rPr>
          <w:rFonts w:asciiTheme="minorBidi" w:hAnsiTheme="minorBidi"/>
          <w:sz w:val="24"/>
          <w:szCs w:val="24"/>
        </w:rPr>
      </w:pPr>
    </w:p>
    <w:p w14:paraId="0E6A3CC7" w14:textId="77777777" w:rsidR="004B33A7" w:rsidRDefault="004B33A7" w:rsidP="004B33A7">
      <w:pPr>
        <w:rPr>
          <w:rFonts w:asciiTheme="minorBidi" w:hAnsiTheme="minorBidi"/>
          <w:sz w:val="24"/>
          <w:szCs w:val="24"/>
        </w:rPr>
      </w:pPr>
    </w:p>
    <w:p w14:paraId="50B5FA35" w14:textId="77777777" w:rsidR="004B33A7" w:rsidRDefault="004B33A7" w:rsidP="004B33A7">
      <w:pPr>
        <w:rPr>
          <w:rFonts w:asciiTheme="minorBidi" w:hAnsiTheme="minorBidi"/>
          <w:sz w:val="24"/>
          <w:szCs w:val="24"/>
        </w:rPr>
      </w:pPr>
    </w:p>
    <w:p w14:paraId="46A38E59" w14:textId="77777777" w:rsidR="004B33A7" w:rsidRDefault="004B33A7" w:rsidP="004B33A7">
      <w:pPr>
        <w:rPr>
          <w:rFonts w:asciiTheme="minorBidi" w:hAnsiTheme="minorBidi"/>
          <w:sz w:val="24"/>
          <w:szCs w:val="24"/>
        </w:rPr>
      </w:pPr>
    </w:p>
    <w:p w14:paraId="7DD224D8" w14:textId="77777777" w:rsidR="004B33A7" w:rsidRDefault="004B33A7" w:rsidP="004B33A7">
      <w:pPr>
        <w:rPr>
          <w:rFonts w:asciiTheme="minorBidi" w:hAnsiTheme="minorBidi"/>
          <w:sz w:val="24"/>
          <w:szCs w:val="24"/>
        </w:rPr>
      </w:pPr>
    </w:p>
    <w:p w14:paraId="00D785DB" w14:textId="77777777" w:rsidR="004B33A7" w:rsidRDefault="004B33A7" w:rsidP="004B33A7">
      <w:pPr>
        <w:rPr>
          <w:rFonts w:asciiTheme="minorBidi" w:hAnsiTheme="minorBidi"/>
          <w:sz w:val="24"/>
          <w:szCs w:val="24"/>
        </w:rPr>
      </w:pPr>
    </w:p>
    <w:p w14:paraId="3EC3942C" w14:textId="77777777" w:rsidR="004B33A7" w:rsidRDefault="004B33A7" w:rsidP="004B33A7">
      <w:pPr>
        <w:rPr>
          <w:rFonts w:asciiTheme="minorBidi" w:hAnsiTheme="minorBidi"/>
          <w:sz w:val="24"/>
          <w:szCs w:val="24"/>
        </w:rPr>
      </w:pPr>
    </w:p>
    <w:p w14:paraId="68D633DA" w14:textId="77777777" w:rsidR="004B33A7" w:rsidRDefault="004B33A7" w:rsidP="004B33A7">
      <w:pPr>
        <w:rPr>
          <w:rFonts w:asciiTheme="minorBidi" w:hAnsiTheme="minorBidi"/>
          <w:sz w:val="24"/>
          <w:szCs w:val="24"/>
        </w:rPr>
      </w:pPr>
    </w:p>
    <w:p w14:paraId="74FA28C6" w14:textId="77777777" w:rsidR="006F20DB" w:rsidRDefault="006F20DB" w:rsidP="004B33A7">
      <w:pPr>
        <w:rPr>
          <w:rFonts w:asciiTheme="minorBidi" w:hAnsiTheme="minorBidi"/>
          <w:sz w:val="24"/>
          <w:szCs w:val="24"/>
        </w:rPr>
      </w:pPr>
    </w:p>
    <w:p w14:paraId="13D5B7E9" w14:textId="77777777" w:rsidR="006F20DB" w:rsidRPr="000A2752" w:rsidRDefault="006F20DB" w:rsidP="006F20DB">
      <w:pPr>
        <w:jc w:val="center"/>
        <w:rPr>
          <w:b/>
          <w:bCs/>
          <w:sz w:val="28"/>
          <w:szCs w:val="28"/>
        </w:rPr>
      </w:pPr>
      <w:r w:rsidRPr="000A2752">
        <w:rPr>
          <w:b/>
          <w:bCs/>
          <w:sz w:val="28"/>
          <w:szCs w:val="28"/>
        </w:rPr>
        <w:lastRenderedPageBreak/>
        <w:t>Learning Support Report</w:t>
      </w:r>
    </w:p>
    <w:p w14:paraId="08FD28DC" w14:textId="77777777" w:rsidR="006F20DB" w:rsidRDefault="006F20DB" w:rsidP="006F20DB">
      <w:r>
        <w:t>Part 1</w:t>
      </w:r>
    </w:p>
    <w:p w14:paraId="73153C46" w14:textId="77777777" w:rsidR="006F20DB" w:rsidRDefault="006F20DB" w:rsidP="006F20DB">
      <w:pPr>
        <w:rPr>
          <w:rFonts w:ascii="Times New Roman" w:eastAsia="Times New Roman" w:hAnsi="Times New Roman" w:cs="Times New Roman"/>
          <w:lang w:eastAsia="en-GB"/>
        </w:rPr>
      </w:pPr>
      <w:r w:rsidRPr="006E799D">
        <w:t>Inclusive practice is a core value within post-compulsory education and is central to the ethos of the University of Wales Trinity Saint David (UWTSD). Educators are required to respond effectively to the diverse and additional needs of learners while operating within clearly defined regulatory and legal frameworks.</w:t>
      </w:r>
      <w:r w:rsidRPr="006E799D">
        <w:rPr>
          <w:rFonts w:ascii="Times New Roman" w:eastAsia="Times New Roman" w:hAnsi="Times New Roman" w:cs="Times New Roman"/>
          <w:lang w:eastAsia="en-GB"/>
        </w:rPr>
        <w:t xml:space="preserve"> </w:t>
      </w:r>
      <w:r w:rsidRPr="00883A13">
        <w:rPr>
          <w:rFonts w:eastAsia="Times New Roman" w:cs="Times New Roman"/>
          <w:lang w:eastAsia="en-GB"/>
        </w:rPr>
        <w:t>Inclusive pra</w:t>
      </w:r>
      <w:r>
        <w:rPr>
          <w:rFonts w:eastAsia="Times New Roman" w:cs="Times New Roman"/>
          <w:lang w:eastAsia="en-GB"/>
        </w:rPr>
        <w:t xml:space="preserve">ctice in higher education is governed by a statutory framework that includes the Equality Act 2010 and the Public Sector Equality Duty (PSED) which is supported by Welsh policy that emphasise their rights, accessibility, and the social model of disability. At UWTSD the institutional policies and support services reflect these frameworks in practice by demonstrating a commitment to both compliance and inclusive pedagogy. For inclusive practice to be meaningful, legal duties must be embedded in teaching, assessments and institutional culture all whilst ensuring all learners can participate fully and fairly in post compulsory education. </w:t>
      </w:r>
    </w:p>
    <w:p w14:paraId="10B64268" w14:textId="77777777" w:rsidR="006F20DB" w:rsidRDefault="006F20DB" w:rsidP="006F20DB">
      <w:r>
        <w:rPr>
          <w:rFonts w:eastAsia="Times New Roman" w:cs="Times New Roman"/>
          <w:lang w:eastAsia="en-GB"/>
        </w:rPr>
        <w:t>The Equality Act 2010 is the central statutory framework in the UK that protects individuals from discrimination based on protected characteristics, including disability. Under this Act, education providers are legally obligated to make reasonable adjustments to remove barriers that place disabled students at a substantial disadvantage (Equality Act 2010). This duty is preventive as institutes must plan for inclusivity proactively rather than only after individual needs are disclosed (Office for students, 2018). The Act also insists the Public Sector Equ</w:t>
      </w:r>
      <w:r>
        <w:t xml:space="preserve">ality Duty (PSED) on public bodies which requires them to eliminate discrimination, advance equality of opportunity, and foster good relations. In practical terms, this means that universities must integrate inclusivity into institutional governance and teaching practices rather that treating it as an isolated function (EHRC, 2014). </w:t>
      </w:r>
    </w:p>
    <w:p w14:paraId="3B1E3A1E" w14:textId="77777777" w:rsidR="006F20DB" w:rsidRDefault="006F20DB" w:rsidP="006F20DB">
      <w:r>
        <w:t xml:space="preserve">Within the Welsh policy landscape, although higher education is not developed in the same way as schools, Wales still operates within the UK legal framework while also developing its own strategic policies that reinforce inclusive education. The Disabled Peoples Rights Plan 2025-2035, recently published by the Welsh Government, identifies key outcomes for educational access and inclusion for disabled learners. These outcomes include ensuring effective transition to higher education, embedding the social model of disability in education settings and enhancing accessible learning environments (Welsh Government, 2025). </w:t>
      </w:r>
    </w:p>
    <w:p w14:paraId="11A85C6E" w14:textId="77777777" w:rsidR="006F20DB" w:rsidRDefault="006F20DB" w:rsidP="006F20DB">
      <w:r>
        <w:t xml:space="preserve">In Wales, there is a statutory Additional Learning Needs (ALN) Code established under the Additional Learning Needs and Education Tribunal (Wales) Act 2018. Although this code primarily oversees learners up to age 25 in compulsory and further education, its principles of individual planning and rights-based support inform the larger educational landscape from which many students transition into higher education. Under the ALN framework, learners with identified additional learning needs receive Individual Development Plans (IDPs) which are designed to secure appropriate planning (ALN Code 2021). </w:t>
      </w:r>
    </w:p>
    <w:p w14:paraId="02EE9F0A" w14:textId="77777777" w:rsidR="006F20DB" w:rsidRDefault="006F20DB" w:rsidP="006F20DB">
      <w:r>
        <w:t xml:space="preserve">There are many institutional policies in place at UWTSD, the university’s strategic approach to inclusivity is articulated through its Strategic Equality Plan (2024-2028), which echoes both UK statutory duties and Welsh Government priorities. The plan positions equality, diversity and inclusion as a core to the institution’s mission and outlines commitments to removing systemic barriers to student access and success. The Admission of Disabled Students Policy at UWTSD operationalises legal responsibilities by outlining transparent procedures for disclosure of disability, needs assessment, and provision of reasonable adjustments. This practice aligns </w:t>
      </w:r>
      <w:r>
        <w:lastRenderedPageBreak/>
        <w:t xml:space="preserve">with guidance from the Office of the Independent Adjudicator (OIA), which emphasises fairness, consistency, and partnership in supporting disabled students (OIA,2019).  Additionally, Disability Support Services at UWTSD work in collaboration with students and academic staff to implement reasonable adjustments, such as extended assessment deadlines, assistive technologies, and tailored learning plans. These services reflect the Welsh Government ‘s push for education providers to incorporate the social model of disability. This is because they view disability as a function of environmental and institutional barriers rather than solely individual impairment rather than reliance on medical classification alone. </w:t>
      </w:r>
    </w:p>
    <w:p w14:paraId="1757E328" w14:textId="77777777" w:rsidR="006F20DB" w:rsidRDefault="006F20DB" w:rsidP="006F20DB">
      <w:r>
        <w:t>While legislative compliance is necessary, inclusive practice in the classroom requires pedagogical strategies that go beyond individual accommodations. The concept of Universal Design for Learning (UDL) advocates for the design of learning activities, materials, and assessments that anticipate and accommodate a diverse student population. UDL aligns with the statutory duty to anticipate needs and benefits all learners, not just those with disclosed disabilities (CAST,2018).</w:t>
      </w:r>
    </w:p>
    <w:p w14:paraId="21B22291" w14:textId="77777777" w:rsidR="006F20DB" w:rsidRDefault="006F20DB" w:rsidP="006F20DB">
      <w:r>
        <w:t xml:space="preserve">At UWTSD inclusive teaching practices include offering resources in accessible format, using varied assessment methods, and incorporating flexible engagement strategies. These practices are designed to foster equity and uphold academic standards while decreasing reliance on individual requests for adjustments. Research indicates that the most effective inclusion strategies integrate both systemic design and personalised support, reflecting a continuum from universal accessibility to targeted accommodations (Hockings,2010). </w:t>
      </w:r>
    </w:p>
    <w:p w14:paraId="49E4E586" w14:textId="77777777" w:rsidR="006F20DB" w:rsidRDefault="006F20DB" w:rsidP="006F20DB">
      <w:r>
        <w:t xml:space="preserve">Welsh Government policy emphasises the importance of embedding inclusive practice across all educational levels. The Disabled People’s Rights Plan prioritises accessible learning environments and transition into higher education, reinforcing that disability support should not cease at the point of entry but should be part of sustained planning and inclusive provision. (Gov Wales, 2025) This shows that there is a strategic plan in place as the Disabled People’s Rights Plan 2025-2035 indicate a long-term vision for inclusive education. However, the transformation of these visions into practice within higher education can sometimes require ongoing dialogue between policymakers, institutions like UWTSD and learners themselves. </w:t>
      </w:r>
    </w:p>
    <w:p w14:paraId="6D461F24" w14:textId="77777777" w:rsidR="006F20DB" w:rsidRDefault="006F20DB" w:rsidP="006F20DB">
      <w:r>
        <w:t>UWTSD’s Student Charter reinforces the university’s commitment to partnerships between students and staff in creating an inclusive environment. This commitment aligns with contemporary higher education discourse that positions students as active stakeholders in shaping inclusive practices, rather than passive recipients of support (Healey, Flint &amp; Harrington, 2024).</w:t>
      </w:r>
    </w:p>
    <w:p w14:paraId="3625A3A3" w14:textId="77777777" w:rsidR="006F20DB" w:rsidRDefault="006F20DB" w:rsidP="006F20DB">
      <w:r>
        <w:t xml:space="preserve">Although UWTSD’s policies demonstrate robust alignment with both the UK and Welsh frameworks, institutional practice must continuously evolve to meet the needs of a diverse student body. Although Legal compliance is necessary it is insufficient without sustained commitment to pedagogical inclusion, staff training, and evaluation of outcomes. It is vital to understand that inclusion can be a dynamic process shaped by institutional culture, staff capabilities and how students feedback.   </w:t>
      </w:r>
    </w:p>
    <w:p w14:paraId="5D036BEB" w14:textId="77777777" w:rsidR="006F20DB" w:rsidRDefault="006F20DB" w:rsidP="006F20DB"/>
    <w:p w14:paraId="2480FC8A" w14:textId="77777777" w:rsidR="006F20DB" w:rsidRDefault="006F20DB" w:rsidP="006F20DB"/>
    <w:p w14:paraId="556BE3C5" w14:textId="77777777" w:rsidR="006F20DB" w:rsidRDefault="006F20DB" w:rsidP="006F20DB"/>
    <w:p w14:paraId="59939DB1" w14:textId="77777777" w:rsidR="006F20DB" w:rsidRDefault="006F20DB" w:rsidP="006F20DB"/>
    <w:p w14:paraId="6750100D" w14:textId="270DDAE7" w:rsidR="006F20DB" w:rsidRDefault="006F20DB" w:rsidP="006F20DB">
      <w:r>
        <w:lastRenderedPageBreak/>
        <w:t>Part 2</w:t>
      </w:r>
    </w:p>
    <w:p w14:paraId="0584C254" w14:textId="77777777" w:rsidR="006F20DB" w:rsidRDefault="006F20DB" w:rsidP="006F20DB">
      <w:r>
        <w:t>The education setting I have chosen for the 3 scenarios are corresponding with University of Wales Trinity Saint David Sports Management course.</w:t>
      </w:r>
    </w:p>
    <w:p w14:paraId="511FD0CE" w14:textId="77777777" w:rsidR="006F20DB" w:rsidRPr="00792959" w:rsidRDefault="006F20DB" w:rsidP="006F20DB">
      <w:pPr>
        <w:rPr>
          <w:b/>
          <w:bCs/>
          <w:u w:val="single"/>
        </w:rPr>
      </w:pPr>
      <w:r w:rsidRPr="00792959">
        <w:rPr>
          <w:b/>
          <w:bCs/>
          <w:u w:val="single"/>
        </w:rPr>
        <w:t>Angharad</w:t>
      </w:r>
    </w:p>
    <w:p w14:paraId="4C9A42D5" w14:textId="77777777" w:rsidR="006F20DB" w:rsidRDefault="006F20DB" w:rsidP="006F20DB">
      <w:r>
        <w:t xml:space="preserve">As Angharad’s lecturer I would first and foremost reassure them that as a university we have a zero-tolerance approach to discrimination and provide them a formal route for action if concerns ever arise. This is because the university operates under the Equality, Diversity and Inclusion framework which protects individuals from discrimination based on their gender reassignment. This means that Angharad has the right to be treated with dignity and respect by all staff members and students. It is my duty of care as Angharad’s lecture to handle this situation sensitively and confidentiality and must not be shared with anyone without their consent. The information would only be shared on a need-to-know basis to support Angharad and there is no requirement to inform family members. These protocols are put in place to provide Angharad a safe environment to express their identity. This also helps build trust especially as this is the first time they have told somebody. </w:t>
      </w:r>
    </w:p>
    <w:p w14:paraId="5502B09B" w14:textId="77777777" w:rsidR="006F20DB" w:rsidRDefault="006F20DB" w:rsidP="006F20DB">
      <w:r>
        <w:t xml:space="preserve">At UWTSD students are allowed to choose a ‘preferred name’ in many internal systems such as class lists, email display names etc without the need for legal documentation being required. This means that Angharad’s legal name would only be used on formal records such as certificates unless it was legally changed. This means that Angharad can be referred to by all staff and students by their chosen name and pronoun. This will help with reducing stress and anxiety in learning environments as well as highlights the fact that Angharad is seen and respected for who they are without forcing a transition. </w:t>
      </w:r>
    </w:p>
    <w:p w14:paraId="633E123B" w14:textId="77777777" w:rsidR="006F20DB" w:rsidRDefault="006F20DB" w:rsidP="006F20DB">
      <w:r>
        <w:t xml:space="preserve">There is many different wellbeing, and mental health supports available to Angharad if they wish they need it. This includes counselling services and mental health mentoring. There is support available for those struggling to deal with identity, anxiety, confidence and belonging. All wellbeing appointments are strictly confidential which can provide Angharad with a safe space to explore their gender identity. </w:t>
      </w:r>
    </w:p>
    <w:p w14:paraId="5F4E5F29" w14:textId="77777777" w:rsidR="006F20DB" w:rsidRDefault="006F20DB" w:rsidP="006F20DB">
      <w:r>
        <w:t xml:space="preserve">UWTSD recognises that personal circumstances can impact academic performances. As a university there are many avenues for Angharad to be supported, and the university will try its best to help. The university can provide Angharad with extra time to submit assignments due to extenuating circumstances as their wellbeing is impacting assessments. The university could provide Angharad with a personal tutor who would have check ins regularly to monitor Angharad’s wellbeing. Both strategies acknowledge the emotional impact of identity related stresses and whilst support is put in place with a personal tutor it can help re-engage Angharad academically and address the recent drop in grades. When linked to professional standards it is vital for Angharad’s best interest we value and promote diversity, equality of opportunity and inclusion. </w:t>
      </w:r>
    </w:p>
    <w:p w14:paraId="6296ABBE" w14:textId="77777777" w:rsidR="006F20DB" w:rsidRDefault="006F20DB" w:rsidP="006F20DB">
      <w:r>
        <w:t xml:space="preserve">It is crucial that as a university Angharad feels a connection and a sense of belonging. I would remind Angharad of the safe reporting systems in case they ever feel excluded. I would also, point them in the direction of Student Union societies and peer support networks which may be a good opportunity for Angharad to build confidence and unity. UWTSD promotes inclusion and belonging and specific LGBTQ+ inclusive practices could support Angharad by reinforcing that their identity is valid and accepted within the university community and offers peer connections when they feel ready. </w:t>
      </w:r>
    </w:p>
    <w:p w14:paraId="1F7F2518" w14:textId="468E77CC" w:rsidR="006F20DB" w:rsidRPr="006F20DB" w:rsidRDefault="006F20DB" w:rsidP="006F20DB">
      <w:r w:rsidRPr="00792959">
        <w:rPr>
          <w:b/>
          <w:bCs/>
          <w:u w:val="single"/>
        </w:rPr>
        <w:lastRenderedPageBreak/>
        <w:t>Iwan</w:t>
      </w:r>
    </w:p>
    <w:p w14:paraId="6BBED698" w14:textId="6CEE5408" w:rsidR="006F20DB" w:rsidRDefault="006F20DB" w:rsidP="006F20DB">
      <w:r>
        <w:t>As Iwan’s lecturer I would offer guidance and support by directing him to resources within the university such as Student Financial Support Fund which is designed to support students experiencing unexpected financial difficulties. This UWTSD fund is a non-repayable fund which students can apply for to get short term financial relief due to other loans and part time job unable to cover basic expenses. Iwan would simply have to show proof that he has “</w:t>
      </w:r>
      <w:r w:rsidRPr="00A47BAA">
        <w:t>exhausted all other funding sources, including their overdraft provision before an application can be considered.</w:t>
      </w:r>
      <w:r>
        <w:t xml:space="preserve">” </w:t>
      </w:r>
      <w:r>
        <w:t>(Money Support</w:t>
      </w:r>
      <w:r>
        <w:t>, 2026.</w:t>
      </w:r>
      <w:r>
        <w:t>)</w:t>
      </w:r>
    </w:p>
    <w:p w14:paraId="133B6CFF" w14:textId="77777777" w:rsidR="006F20DB" w:rsidRDefault="006F20DB" w:rsidP="006F20DB">
      <w:r>
        <w:t xml:space="preserve">In addition, there are many bursaries made available to students in similar situations to Iwan as they accommodate to those students who come from deprived areas or those from areas of socio-economic disadvantages in comparison to their fellow students studying on the same course. These types of bursaries are in place to support disadvantaged students due to the equality act 2010 which states that higher education institutes are required to promote equality of opportunity for all learners (Equality Act, 2010). The Public Sector Equality Duty (PSED) which is outlined within the Equality Act 2010, places a responsibility on public bodies to eliminate discrimination, advance equality of opportunity, and foster good relations between different groups (Equality Act,2010). The Well-being of Future Generations (Wales) Act 2015 further supports this approach by requiring public bodies in Wales to work towards reducing inequality and improving social and educational outcomes. (Welsh Government, 2015). Supporting Iwan through hardship funding, financial guidance and wellbeing services contributes to long-term goals of social mobility and educational fulfilment.  An example of this potentially becoming an issue would be the mandatory requirement all students studying Sport at UWTSD purchases their respective courses kit. This kit is required when representing the University in public such as delivering coaching sessions to schools. This situation would initially become a financial barrier as well as an inclusion barrier if Iwan was unable to afford to purchase the kit and look different in comparison to his fellow class students. The possibility of an additional support being available for Iwan to help fund the kit through a bursary would be </w:t>
      </w:r>
      <w:proofErr w:type="gramStart"/>
      <w:r>
        <w:t>really beneficial</w:t>
      </w:r>
      <w:proofErr w:type="gramEnd"/>
      <w:r>
        <w:t xml:space="preserve">. </w:t>
      </w:r>
    </w:p>
    <w:p w14:paraId="69D13C24" w14:textId="77777777" w:rsidR="006F20DB" w:rsidRDefault="006F20DB" w:rsidP="006F20DB">
      <w:r>
        <w:t xml:space="preserve">When relating this situation to professional standards the main key factors would include valuing and promoting diversity, equality of opportunity and inclusion as well as demonstrating dignity, courtesy and respect towards each other which in relation links to building positive and collaborative relationships within a healthy classroom environment. This is because the UWTSD kit is a uniform which will be worn by everyone to promote equality and unity amongst the students. When building a positive and healthy classroom environment it is essential that there is harmony amongst the students and as a result that they respect one another. This allows students to simply bond trust and friendships without allowing socio economic factors become an issue. </w:t>
      </w:r>
    </w:p>
    <w:p w14:paraId="1AFD1230" w14:textId="77777777" w:rsidR="006F20DB" w:rsidRDefault="006F20DB" w:rsidP="006F20DB">
      <w:r>
        <w:t xml:space="preserve">I would also offer Iwan support by providing him with information regarding food hubs and free food access on UWTSD campus which provides groceries as well as all other living essentials. The University can offer students budgeting guidance including one to one financial support sessions with the Money Support team. These cost-of-living solutions would potentially support Iwan due to the cost-of-living measures would ease day to day financial strain, which would result in hopefully reducing the need to work extra shifts which will ultimately interfere with his studies. </w:t>
      </w:r>
    </w:p>
    <w:p w14:paraId="304EB1BF" w14:textId="77777777" w:rsidR="006F20DB" w:rsidRDefault="006F20DB" w:rsidP="006F20DB">
      <w:pPr>
        <w:rPr>
          <w:b/>
          <w:bCs/>
          <w:u w:val="single"/>
        </w:rPr>
      </w:pPr>
    </w:p>
    <w:p w14:paraId="79AF7E7F" w14:textId="0E1AAC3F" w:rsidR="006F20DB" w:rsidRPr="00792959" w:rsidRDefault="006F20DB" w:rsidP="006F20DB">
      <w:pPr>
        <w:rPr>
          <w:b/>
          <w:bCs/>
          <w:u w:val="single"/>
        </w:rPr>
      </w:pPr>
      <w:r w:rsidRPr="00792959">
        <w:rPr>
          <w:b/>
          <w:bCs/>
          <w:u w:val="single"/>
        </w:rPr>
        <w:lastRenderedPageBreak/>
        <w:t>Megan</w:t>
      </w:r>
    </w:p>
    <w:p w14:paraId="5C94BDC7" w14:textId="77777777" w:rsidR="006F20DB" w:rsidRDefault="006F20DB" w:rsidP="006F20DB">
      <w:r>
        <w:t>As Megan’s lecturer I would reassure her that there would be no expectation from me for her to speak in large group discussions unless she feels completely comfortable. I would offer her alternatives such as contributing via written responses or online discussion boards. I would also suggest building confidence by discussing in small groups if possible. These suggestions will hopefully reduce her anxiety and allow Megan to feel engaged. This aligns with the professional standard of valuing and promoting diversity, equality of opportunity and inclusion. In addition to supporting Megan, I would prepare and upload all teaching materials at least 48 hours in advance of the session to allow Megan to mentally prepare for the lessons ahead. In the case of uncertainty or any issues that arises for Megan there would be an option to meet 1-1 and have regular check ins as a way of supporting Megans academic journey. There would also be an understanding from UWTSD in relation to Megans attendance in the result of her anxiety impacting her attendance.</w:t>
      </w:r>
    </w:p>
    <w:p w14:paraId="51416E02" w14:textId="77777777" w:rsidR="006F20DB" w:rsidRDefault="006F20DB" w:rsidP="006F20DB">
      <w:r>
        <w:t xml:space="preserve">I would offer Megan permission to record my lecturers </w:t>
      </w:r>
      <w:proofErr w:type="gramStart"/>
      <w:r>
        <w:t>in order to</w:t>
      </w:r>
      <w:proofErr w:type="gramEnd"/>
      <w:r>
        <w:t xml:space="preserve"> revisit material at a later stage due to lapses in concentration whilst I’m teaching. An example of this would be the </w:t>
      </w:r>
      <w:proofErr w:type="spellStart"/>
      <w:r>
        <w:t>Genio</w:t>
      </w:r>
      <w:proofErr w:type="spellEnd"/>
      <w:r>
        <w:t xml:space="preserve"> notes app. This notes app is designed to support students by recording lessons as well as turning those lessons into detailed transcripts with built in headings, lecture slides and the ability to make notes in the moment. </w:t>
      </w:r>
      <w:proofErr w:type="spellStart"/>
      <w:r>
        <w:t>Genio</w:t>
      </w:r>
      <w:proofErr w:type="spellEnd"/>
      <w:r>
        <w:t xml:space="preserve"> believes that they are having an impact on students who are currently using the software stating that “84% of students say that </w:t>
      </w:r>
      <w:proofErr w:type="spellStart"/>
      <w:r>
        <w:t>Genio</w:t>
      </w:r>
      <w:proofErr w:type="spellEnd"/>
      <w:r>
        <w:t xml:space="preserve"> Notes helped them achieve better grades.” This is due to “85% of students say there are more confident that they can study effectively from class.” As well as “78% of learners say that they find studying less stressful since using </w:t>
      </w:r>
      <w:proofErr w:type="spellStart"/>
      <w:r>
        <w:t>Genio</w:t>
      </w:r>
      <w:proofErr w:type="spellEnd"/>
      <w:r>
        <w:t xml:space="preserve"> Notes.” – </w:t>
      </w:r>
      <w:proofErr w:type="spellStart"/>
      <w:r>
        <w:t>Genio</w:t>
      </w:r>
      <w:proofErr w:type="spellEnd"/>
      <w:r>
        <w:t xml:space="preserve"> 2026 In addition to providing Megan with the opportunity to utilise this app I would tailor my teaching to be broken down into more manageable chunks and emphasise where key learning points are being delivered during the lectures. The focus would be on improving Megans ability to understand and retain the information effectively to complete the assignments. This would show my ability to plan and deliver effective learning, teaching and assessment because of being conscious of the fact to get straight to the point when delivering and not to over complicate which may be an issue for Megans concentration.</w:t>
      </w:r>
    </w:p>
    <w:p w14:paraId="56262016" w14:textId="77777777" w:rsidR="006F20DB" w:rsidRDefault="006F20DB" w:rsidP="006F20DB">
      <w:r>
        <w:t xml:space="preserve">In correlation to UWTSD assignment guidelines, Megan would be intitled to extra time when submitting assignments based on her condition. Megan would also be intitled to use other assistive technology such as spell check or text to speech to help support equity and equality. </w:t>
      </w:r>
    </w:p>
    <w:p w14:paraId="0FA9D246" w14:textId="77777777" w:rsidR="006F20DB" w:rsidRDefault="006F20DB" w:rsidP="006F20DB"/>
    <w:p w14:paraId="00F47896" w14:textId="77777777" w:rsidR="006F20DB" w:rsidRDefault="006F20DB" w:rsidP="006F20DB"/>
    <w:p w14:paraId="3DC2CBF6" w14:textId="77777777" w:rsidR="006F20DB" w:rsidRDefault="006F20DB" w:rsidP="006F20DB"/>
    <w:p w14:paraId="7517826B" w14:textId="77777777" w:rsidR="006F20DB" w:rsidRDefault="006F20DB" w:rsidP="006F20DB"/>
    <w:p w14:paraId="21F33750" w14:textId="77777777" w:rsidR="006F20DB" w:rsidRDefault="006F20DB" w:rsidP="006F20DB"/>
    <w:p w14:paraId="0A9DB608" w14:textId="77777777" w:rsidR="006F20DB" w:rsidRDefault="006F20DB" w:rsidP="006F20DB"/>
    <w:p w14:paraId="5F5D0CB3" w14:textId="77777777" w:rsidR="006F20DB" w:rsidRDefault="006F20DB" w:rsidP="006F20DB"/>
    <w:p w14:paraId="36281587" w14:textId="77777777" w:rsidR="006F20DB" w:rsidRDefault="006F20DB" w:rsidP="006F20DB">
      <w:pPr>
        <w:spacing w:line="278" w:lineRule="auto"/>
      </w:pPr>
    </w:p>
    <w:p w14:paraId="26EDD33C" w14:textId="77777777" w:rsidR="006F20DB" w:rsidRDefault="006F20DB" w:rsidP="006F20DB">
      <w:pPr>
        <w:spacing w:line="278" w:lineRule="auto"/>
      </w:pPr>
    </w:p>
    <w:p w14:paraId="0FBD06EC" w14:textId="3ACEB476" w:rsidR="006F20DB" w:rsidRPr="00016BFE" w:rsidRDefault="006F20DB" w:rsidP="006F20DB">
      <w:pPr>
        <w:spacing w:line="278" w:lineRule="auto"/>
        <w:rPr>
          <w:b/>
          <w:bCs/>
        </w:rPr>
      </w:pPr>
      <w:r>
        <w:lastRenderedPageBreak/>
        <w:t>Reference List</w:t>
      </w:r>
    </w:p>
    <w:p w14:paraId="61BF41AE" w14:textId="77777777" w:rsidR="006F20DB" w:rsidRPr="00016BFE" w:rsidRDefault="006F20DB" w:rsidP="006F20DB">
      <w:pPr>
        <w:spacing w:line="278" w:lineRule="auto"/>
      </w:pPr>
      <w:r w:rsidRPr="00016BFE">
        <w:t xml:space="preserve">Advance HE (n.d.) </w:t>
      </w:r>
      <w:r w:rsidRPr="00016BFE">
        <w:rPr>
          <w:i/>
          <w:iCs/>
        </w:rPr>
        <w:t>Engagement through partnership: students as partners in learning and teaching in higher education</w:t>
      </w:r>
      <w:r w:rsidRPr="00016BFE">
        <w:t xml:space="preserve">. Available at: </w:t>
      </w:r>
      <w:hyperlink r:id="rId5" w:history="1">
        <w:r w:rsidRPr="00016BFE">
          <w:rPr>
            <w:rStyle w:val="Hyperlink"/>
          </w:rPr>
          <w:t>https://www.advance-he.ac.uk/teaching-learning/student-engagement</w:t>
        </w:r>
      </w:hyperlink>
      <w:r w:rsidRPr="00016BFE">
        <w:t xml:space="preserve"> (Accessed: 30 January 2026).</w:t>
      </w:r>
    </w:p>
    <w:p w14:paraId="0147A807" w14:textId="77777777" w:rsidR="006F20DB" w:rsidRPr="00016BFE" w:rsidRDefault="006F20DB" w:rsidP="006F20DB">
      <w:pPr>
        <w:spacing w:line="278" w:lineRule="auto"/>
      </w:pPr>
      <w:r w:rsidRPr="00016BFE">
        <w:t xml:space="preserve">CAST (n.d.) </w:t>
      </w:r>
      <w:r w:rsidRPr="00016BFE">
        <w:rPr>
          <w:i/>
          <w:iCs/>
        </w:rPr>
        <w:t>Universal Design for Learning</w:t>
      </w:r>
      <w:r w:rsidRPr="00016BFE">
        <w:t xml:space="preserve">. Available at: </w:t>
      </w:r>
      <w:hyperlink r:id="rId6" w:history="1">
        <w:r w:rsidRPr="00016BFE">
          <w:rPr>
            <w:rStyle w:val="Hyperlink"/>
          </w:rPr>
          <w:t>https://www.cast.org/what-we-do/universal-design-for-learning/</w:t>
        </w:r>
      </w:hyperlink>
      <w:r w:rsidRPr="00016BFE">
        <w:t xml:space="preserve"> (Accessed: 30 January 2026).</w:t>
      </w:r>
    </w:p>
    <w:p w14:paraId="3505B2AA" w14:textId="77777777" w:rsidR="006F20DB" w:rsidRPr="00016BFE" w:rsidRDefault="006F20DB" w:rsidP="006F20DB">
      <w:pPr>
        <w:spacing w:line="278" w:lineRule="auto"/>
      </w:pPr>
      <w:r w:rsidRPr="00016BFE">
        <w:t xml:space="preserve">Equality Act 2010 (2010). </w:t>
      </w:r>
      <w:r w:rsidRPr="00016BFE">
        <w:rPr>
          <w:i/>
          <w:iCs/>
        </w:rPr>
        <w:t>Equality Act 2010</w:t>
      </w:r>
      <w:r w:rsidRPr="00016BFE">
        <w:t xml:space="preserve">. Available at: </w:t>
      </w:r>
      <w:hyperlink r:id="rId7" w:history="1">
        <w:r w:rsidRPr="00016BFE">
          <w:rPr>
            <w:rStyle w:val="Hyperlink"/>
          </w:rPr>
          <w:t>https://www.legislation.gov.uk/ukpga/2010/15/contents</w:t>
        </w:r>
      </w:hyperlink>
      <w:r w:rsidRPr="00016BFE">
        <w:t xml:space="preserve"> (Accessed: 30 January 2026).</w:t>
      </w:r>
    </w:p>
    <w:p w14:paraId="36A3FE59" w14:textId="77777777" w:rsidR="006F20DB" w:rsidRPr="00016BFE" w:rsidRDefault="006F20DB" w:rsidP="006F20DB">
      <w:pPr>
        <w:spacing w:line="278" w:lineRule="auto"/>
      </w:pPr>
      <w:r w:rsidRPr="00016BFE">
        <w:t xml:space="preserve">Equality and Human Rights Commission (EHRC) (n.d.) </w:t>
      </w:r>
      <w:r w:rsidRPr="00016BFE">
        <w:rPr>
          <w:i/>
          <w:iCs/>
        </w:rPr>
        <w:t>Technical guidance on the Public Sector Equality Duty: England</w:t>
      </w:r>
      <w:r w:rsidRPr="00016BFE">
        <w:t xml:space="preserve">. Available at: </w:t>
      </w:r>
      <w:hyperlink r:id="rId8" w:history="1">
        <w:r w:rsidRPr="00016BFE">
          <w:rPr>
            <w:rStyle w:val="Hyperlink"/>
          </w:rPr>
          <w:t>https://www.equalityhumanrights.com/guidance/public-sector/public-sector-equality-duty/technical-guidance-public-sector-equality-duty-1</w:t>
        </w:r>
      </w:hyperlink>
      <w:r w:rsidRPr="00016BFE">
        <w:t xml:space="preserve"> (Accessed: 30 January 2026).</w:t>
      </w:r>
    </w:p>
    <w:p w14:paraId="4C617276" w14:textId="77777777" w:rsidR="006F20DB" w:rsidRPr="00016BFE" w:rsidRDefault="006F20DB" w:rsidP="006F20DB">
      <w:pPr>
        <w:spacing w:line="278" w:lineRule="auto"/>
      </w:pPr>
      <w:proofErr w:type="spellStart"/>
      <w:r w:rsidRPr="00016BFE">
        <w:t>Genio</w:t>
      </w:r>
      <w:proofErr w:type="spellEnd"/>
      <w:r w:rsidRPr="00016BFE">
        <w:t xml:space="preserve"> Notes (n.d.) </w:t>
      </w:r>
      <w:proofErr w:type="spellStart"/>
      <w:r w:rsidRPr="00016BFE">
        <w:rPr>
          <w:i/>
          <w:iCs/>
        </w:rPr>
        <w:t>Genio</w:t>
      </w:r>
      <w:proofErr w:type="spellEnd"/>
      <w:r w:rsidRPr="00016BFE">
        <w:rPr>
          <w:i/>
          <w:iCs/>
        </w:rPr>
        <w:t xml:space="preserve"> Notes makes effective learning easy</w:t>
      </w:r>
      <w:r w:rsidRPr="00016BFE">
        <w:t>. URL not available — please provide exact link (Accessed: 30 January 2026).</w:t>
      </w:r>
    </w:p>
    <w:p w14:paraId="5170FE05" w14:textId="77777777" w:rsidR="006F20DB" w:rsidRPr="00016BFE" w:rsidRDefault="006F20DB" w:rsidP="006F20DB">
      <w:pPr>
        <w:spacing w:line="278" w:lineRule="auto"/>
      </w:pPr>
      <w:r w:rsidRPr="00016BFE">
        <w:t xml:space="preserve">GOV.WALES (n.d.) </w:t>
      </w:r>
      <w:r w:rsidRPr="00016BFE">
        <w:rPr>
          <w:i/>
          <w:iCs/>
        </w:rPr>
        <w:t>Disabled People’s Rights Plan 2025 to 2035</w:t>
      </w:r>
      <w:r w:rsidRPr="00016BFE">
        <w:t xml:space="preserve">. Available at: </w:t>
      </w:r>
      <w:hyperlink r:id="rId9" w:history="1">
        <w:r w:rsidRPr="00016BFE">
          <w:rPr>
            <w:rStyle w:val="Hyperlink"/>
          </w:rPr>
          <w:t>https://www.gov.wales/disabled-peoples-rights-plan-html</w:t>
        </w:r>
      </w:hyperlink>
      <w:r w:rsidRPr="00016BFE">
        <w:t xml:space="preserve"> (Accessed: 30 January 2026).</w:t>
      </w:r>
    </w:p>
    <w:p w14:paraId="76CDE7E5" w14:textId="77777777" w:rsidR="006F20DB" w:rsidRPr="00016BFE" w:rsidRDefault="006F20DB" w:rsidP="006F20DB">
      <w:pPr>
        <w:spacing w:line="278" w:lineRule="auto"/>
      </w:pPr>
      <w:r w:rsidRPr="00016BFE">
        <w:t xml:space="preserve">GOV.WALES (n.d.) </w:t>
      </w:r>
      <w:r w:rsidRPr="00016BFE">
        <w:rPr>
          <w:i/>
          <w:iCs/>
        </w:rPr>
        <w:t>The Additional Learning Needs Code and regulations: children’s rights impact assessment</w:t>
      </w:r>
      <w:r w:rsidRPr="00016BFE">
        <w:t xml:space="preserve">. Available at: </w:t>
      </w:r>
      <w:hyperlink r:id="rId10" w:history="1">
        <w:r w:rsidRPr="00016BFE">
          <w:rPr>
            <w:rStyle w:val="Hyperlink"/>
          </w:rPr>
          <w:t>https://www.gov.wales/additional-learning-needs-code-and-regulations-childrens-rights-impact-assessment-html</w:t>
        </w:r>
      </w:hyperlink>
      <w:r w:rsidRPr="00016BFE">
        <w:t xml:space="preserve"> (Accessed: 30 January 2026).</w:t>
      </w:r>
    </w:p>
    <w:p w14:paraId="5446337A" w14:textId="77777777" w:rsidR="006F20DB" w:rsidRPr="00016BFE" w:rsidRDefault="006F20DB" w:rsidP="006F20DB">
      <w:pPr>
        <w:spacing w:line="278" w:lineRule="auto"/>
      </w:pPr>
      <w:r w:rsidRPr="00016BFE">
        <w:t xml:space="preserve">GOV.WALES (n.d.) </w:t>
      </w:r>
      <w:r w:rsidRPr="00016BFE">
        <w:rPr>
          <w:i/>
          <w:iCs/>
        </w:rPr>
        <w:t>Recommendations of the Disability Rights Taskforce</w:t>
      </w:r>
      <w:r w:rsidRPr="00016BFE">
        <w:t xml:space="preserve">. Available at: </w:t>
      </w:r>
      <w:hyperlink r:id="rId11" w:history="1">
        <w:r w:rsidRPr="00016BFE">
          <w:rPr>
            <w:rStyle w:val="Hyperlink"/>
          </w:rPr>
          <w:t>https://www.gov.wales/recommendations-disability-rights-taskforce-html</w:t>
        </w:r>
      </w:hyperlink>
      <w:r w:rsidRPr="00016BFE">
        <w:t xml:space="preserve"> (Accessed: 30 January 2026).</w:t>
      </w:r>
    </w:p>
    <w:p w14:paraId="2431AFC1" w14:textId="77777777" w:rsidR="006F20DB" w:rsidRPr="00016BFE" w:rsidRDefault="006F20DB" w:rsidP="006F20DB">
      <w:pPr>
        <w:spacing w:line="278" w:lineRule="auto"/>
      </w:pPr>
      <w:r w:rsidRPr="00016BFE">
        <w:t xml:space="preserve">Office for Students (n.d.) </w:t>
      </w:r>
      <w:r w:rsidRPr="00016BFE">
        <w:rPr>
          <w:i/>
          <w:iCs/>
        </w:rPr>
        <w:t>Regulatory framework for higher education in England</w:t>
      </w:r>
      <w:r w:rsidRPr="00016BFE">
        <w:t xml:space="preserve">. Available at: </w:t>
      </w:r>
      <w:hyperlink r:id="rId12" w:history="1">
        <w:r w:rsidRPr="00016BFE">
          <w:rPr>
            <w:rStyle w:val="Hyperlink"/>
          </w:rPr>
          <w:t>https://www.officeforstudents.org.uk/for-providers/regulatory-resources/the-regulatory-framework-for-higher-education-in-england/</w:t>
        </w:r>
      </w:hyperlink>
      <w:r w:rsidRPr="00016BFE">
        <w:t xml:space="preserve"> (Accessed: 30 January 2026).</w:t>
      </w:r>
    </w:p>
    <w:p w14:paraId="21305030" w14:textId="77777777" w:rsidR="006F20DB" w:rsidRPr="00016BFE" w:rsidRDefault="006F20DB" w:rsidP="006F20DB">
      <w:pPr>
        <w:spacing w:line="278" w:lineRule="auto"/>
      </w:pPr>
      <w:r w:rsidRPr="00016BFE">
        <w:t xml:space="preserve">Office of the Independent Adjudicator for Higher Education (OIAHE) (n.d.) </w:t>
      </w:r>
      <w:r w:rsidRPr="00016BFE">
        <w:rPr>
          <w:i/>
          <w:iCs/>
        </w:rPr>
        <w:t>Removing obstacles to learning</w:t>
      </w:r>
      <w:r w:rsidRPr="00016BFE">
        <w:t xml:space="preserve">. Available at: </w:t>
      </w:r>
      <w:hyperlink r:id="rId13" w:history="1">
        <w:r w:rsidRPr="00016BFE">
          <w:rPr>
            <w:rStyle w:val="Hyperlink"/>
          </w:rPr>
          <w:t>https://www.oiahe.org.uk/resources-and-publications/good-practice-framework/supporting-disabled-students/removing-obstacles-to-learning/</w:t>
        </w:r>
      </w:hyperlink>
      <w:r w:rsidRPr="00016BFE">
        <w:t xml:space="preserve"> (Accessed: 30 January 2026). (</w:t>
      </w:r>
      <w:hyperlink r:id="rId14" w:tooltip="Removing obstacles to learning - OIAHE" w:history="1">
        <w:r w:rsidRPr="00016BFE">
          <w:rPr>
            <w:rStyle w:val="Hyperlink"/>
          </w:rPr>
          <w:t>oiahe.org.uk</w:t>
        </w:r>
      </w:hyperlink>
      <w:r w:rsidRPr="00016BFE">
        <w:t>)</w:t>
      </w:r>
    </w:p>
    <w:p w14:paraId="55810971" w14:textId="77777777" w:rsidR="006F20DB" w:rsidRPr="00016BFE" w:rsidRDefault="006F20DB" w:rsidP="006F20DB">
      <w:pPr>
        <w:spacing w:line="278" w:lineRule="auto"/>
      </w:pPr>
      <w:r w:rsidRPr="00016BFE">
        <w:t xml:space="preserve">University of Wales Trinity Saint David (n.d.) </w:t>
      </w:r>
      <w:r w:rsidRPr="00016BFE">
        <w:rPr>
          <w:i/>
          <w:iCs/>
        </w:rPr>
        <w:t>Admissions Policy and Terms and Conditions for Applicants</w:t>
      </w:r>
      <w:r w:rsidRPr="00016BFE">
        <w:t xml:space="preserve">. Available at: </w:t>
      </w:r>
      <w:hyperlink r:id="rId15" w:history="1">
        <w:r w:rsidRPr="00016BFE">
          <w:rPr>
            <w:rStyle w:val="Hyperlink"/>
          </w:rPr>
          <w:t>https://www.uwtsd.ac.uk/about/governance-and-management/strategies-and-policies/admissions-policy-and-terms-and-conditions</w:t>
        </w:r>
      </w:hyperlink>
      <w:r w:rsidRPr="00016BFE">
        <w:t xml:space="preserve"> (Accessed: 30 January 2026).</w:t>
      </w:r>
    </w:p>
    <w:p w14:paraId="5254233E" w14:textId="77777777" w:rsidR="006F20DB" w:rsidRPr="00016BFE" w:rsidRDefault="006F20DB" w:rsidP="006F20DB">
      <w:pPr>
        <w:spacing w:line="278" w:lineRule="auto"/>
      </w:pPr>
      <w:r w:rsidRPr="00016BFE">
        <w:t xml:space="preserve">University of Wales Trinity Saint David (n.d.) </w:t>
      </w:r>
      <w:r w:rsidRPr="00016BFE">
        <w:rPr>
          <w:i/>
          <w:iCs/>
        </w:rPr>
        <w:t>Disability Support</w:t>
      </w:r>
      <w:r w:rsidRPr="00016BFE">
        <w:t xml:space="preserve">. Available at: </w:t>
      </w:r>
      <w:hyperlink r:id="rId16" w:history="1">
        <w:r w:rsidRPr="00016BFE">
          <w:rPr>
            <w:rStyle w:val="Hyperlink"/>
          </w:rPr>
          <w:t>https://www.uwtsd.ac.uk/study/experience-facilities/student-support-wellbeing/disability-support</w:t>
        </w:r>
      </w:hyperlink>
      <w:r w:rsidRPr="00016BFE">
        <w:t xml:space="preserve"> (Accessed: 30 January 2026). (</w:t>
      </w:r>
      <w:hyperlink r:id="rId17" w:tooltip="Disability Support | University of Wales Trinity Saint David" w:history="1">
        <w:r w:rsidRPr="00016BFE">
          <w:rPr>
            <w:rStyle w:val="Hyperlink"/>
          </w:rPr>
          <w:t>University of Wales Trinity Saint David</w:t>
        </w:r>
      </w:hyperlink>
      <w:r w:rsidRPr="00016BFE">
        <w:t>)</w:t>
      </w:r>
    </w:p>
    <w:p w14:paraId="00D8F0A5" w14:textId="77777777" w:rsidR="006F20DB" w:rsidRPr="00016BFE" w:rsidRDefault="006F20DB" w:rsidP="006F20DB">
      <w:pPr>
        <w:spacing w:line="278" w:lineRule="auto"/>
      </w:pPr>
      <w:r w:rsidRPr="00016BFE">
        <w:t xml:space="preserve">University of Wales Trinity Saint David (n.d.) </w:t>
      </w:r>
      <w:r w:rsidRPr="00016BFE">
        <w:rPr>
          <w:i/>
          <w:iCs/>
        </w:rPr>
        <w:t>Fee and Access Plan</w:t>
      </w:r>
      <w:r w:rsidRPr="00016BFE">
        <w:t>. URL not available — please provide exact link (Accessed: 30 January 2026).</w:t>
      </w:r>
    </w:p>
    <w:p w14:paraId="1D94ABBB" w14:textId="77777777" w:rsidR="006F20DB" w:rsidRPr="00016BFE" w:rsidRDefault="006F20DB" w:rsidP="006F20DB">
      <w:pPr>
        <w:spacing w:line="278" w:lineRule="auto"/>
      </w:pPr>
      <w:r w:rsidRPr="00016BFE">
        <w:lastRenderedPageBreak/>
        <w:t xml:space="preserve">University of Wales Trinity Saint David (n.d.) </w:t>
      </w:r>
      <w:r w:rsidRPr="00016BFE">
        <w:rPr>
          <w:i/>
          <w:iCs/>
        </w:rPr>
        <w:t>Money Support</w:t>
      </w:r>
      <w:r w:rsidRPr="00016BFE">
        <w:t xml:space="preserve">. Available at: </w:t>
      </w:r>
      <w:hyperlink r:id="rId18" w:history="1">
        <w:r w:rsidRPr="00016BFE">
          <w:rPr>
            <w:rStyle w:val="Hyperlink"/>
          </w:rPr>
          <w:t>https://www.uwtsd.ac.uk/study/experience-and-facilities/student-support-and-wellbeing/money-support</w:t>
        </w:r>
      </w:hyperlink>
      <w:r w:rsidRPr="00016BFE">
        <w:t xml:space="preserve"> (Accessed: 30 January 2026). (</w:t>
      </w:r>
      <w:hyperlink r:id="rId19" w:tooltip="Money Support | University of Wales Trinity Saint David" w:history="1">
        <w:r w:rsidRPr="00016BFE">
          <w:rPr>
            <w:rStyle w:val="Hyperlink"/>
          </w:rPr>
          <w:t>University of Wales Trinity Saint David</w:t>
        </w:r>
      </w:hyperlink>
      <w:r w:rsidRPr="00016BFE">
        <w:t>)</w:t>
      </w:r>
    </w:p>
    <w:p w14:paraId="6B8CEAD7" w14:textId="77777777" w:rsidR="006F20DB" w:rsidRPr="00016BFE" w:rsidRDefault="006F20DB" w:rsidP="006F20DB">
      <w:pPr>
        <w:spacing w:line="278" w:lineRule="auto"/>
      </w:pPr>
      <w:r w:rsidRPr="00016BFE">
        <w:t xml:space="preserve">University of Wales Trinity Saint David (n.d.) </w:t>
      </w:r>
      <w:r w:rsidRPr="00016BFE">
        <w:rPr>
          <w:i/>
          <w:iCs/>
        </w:rPr>
        <w:t>Reporting to the University</w:t>
      </w:r>
      <w:r w:rsidRPr="00016BFE">
        <w:t xml:space="preserve">. Available at: </w:t>
      </w:r>
      <w:hyperlink r:id="rId20" w:history="1">
        <w:r w:rsidRPr="00016BFE">
          <w:rPr>
            <w:rStyle w:val="Hyperlink"/>
          </w:rPr>
          <w:t>https://www.uwtsd.ac.uk/experience-facilities/student-support-wellbeing/reporting-university</w:t>
        </w:r>
      </w:hyperlink>
      <w:r w:rsidRPr="00016BFE">
        <w:t xml:space="preserve"> (Accessed: 30 January 2026). (</w:t>
      </w:r>
      <w:hyperlink r:id="rId21" w:tooltip="Reporting to the University | University of Wales Trinity Saint David" w:history="1">
        <w:r w:rsidRPr="00016BFE">
          <w:rPr>
            <w:rStyle w:val="Hyperlink"/>
          </w:rPr>
          <w:t>University of Wales Trinity Saint David</w:t>
        </w:r>
      </w:hyperlink>
      <w:r w:rsidRPr="00016BFE">
        <w:t>)</w:t>
      </w:r>
    </w:p>
    <w:p w14:paraId="181A3182" w14:textId="77777777" w:rsidR="006F20DB" w:rsidRPr="00016BFE" w:rsidRDefault="006F20DB" w:rsidP="006F20DB">
      <w:pPr>
        <w:spacing w:line="278" w:lineRule="auto"/>
      </w:pPr>
      <w:r w:rsidRPr="00016BFE">
        <w:t xml:space="preserve">University of Wales Trinity Saint David (n.d.) </w:t>
      </w:r>
      <w:r w:rsidRPr="00016BFE">
        <w:rPr>
          <w:i/>
          <w:iCs/>
        </w:rPr>
        <w:t>Student Charter</w:t>
      </w:r>
      <w:r w:rsidRPr="00016BFE">
        <w:t xml:space="preserve">. Available at: </w:t>
      </w:r>
      <w:hyperlink r:id="rId22" w:history="1">
        <w:r w:rsidRPr="00016BFE">
          <w:rPr>
            <w:rStyle w:val="Hyperlink"/>
          </w:rPr>
          <w:t>https://www.uwtsd.ac.uk/student-charter</w:t>
        </w:r>
      </w:hyperlink>
      <w:r w:rsidRPr="00016BFE">
        <w:t xml:space="preserve"> (Accessed: 30 January 2026). (</w:t>
      </w:r>
      <w:hyperlink r:id="rId23" w:tooltip="Student Charter | University of Wales Trinity Saint David" w:history="1">
        <w:r w:rsidRPr="00016BFE">
          <w:rPr>
            <w:rStyle w:val="Hyperlink"/>
          </w:rPr>
          <w:t>University of Wales Trinity Saint David</w:t>
        </w:r>
      </w:hyperlink>
      <w:r w:rsidRPr="00016BFE">
        <w:t>)</w:t>
      </w:r>
    </w:p>
    <w:p w14:paraId="3FE9F99B" w14:textId="77777777" w:rsidR="006F20DB" w:rsidRPr="00016BFE" w:rsidRDefault="006F20DB" w:rsidP="006F20DB">
      <w:pPr>
        <w:spacing w:line="278" w:lineRule="auto"/>
      </w:pPr>
      <w:r w:rsidRPr="00016BFE">
        <w:t xml:space="preserve">University of Wales Trinity Saint David (n.d.) </w:t>
      </w:r>
      <w:r w:rsidRPr="00016BFE">
        <w:rPr>
          <w:i/>
          <w:iCs/>
        </w:rPr>
        <w:t>Student Hwb</w:t>
      </w:r>
      <w:r w:rsidRPr="00016BFE">
        <w:t>. URL not available — please share exact link (Accessed: 30 January 2026).</w:t>
      </w:r>
    </w:p>
    <w:p w14:paraId="0E197DB0" w14:textId="77777777" w:rsidR="006F20DB" w:rsidRPr="00016BFE" w:rsidRDefault="006F20DB" w:rsidP="006F20DB">
      <w:pPr>
        <w:spacing w:line="278" w:lineRule="auto"/>
      </w:pPr>
      <w:r w:rsidRPr="00016BFE">
        <w:t xml:space="preserve">University of Wales Trinity Saint David (n.d.) </w:t>
      </w:r>
      <w:r w:rsidRPr="00016BFE">
        <w:rPr>
          <w:i/>
          <w:iCs/>
        </w:rPr>
        <w:t>Students’ Union</w:t>
      </w:r>
      <w:r w:rsidRPr="00016BFE">
        <w:t xml:space="preserve">. Available at: </w:t>
      </w:r>
      <w:hyperlink r:id="rId24" w:history="1">
        <w:r w:rsidRPr="00016BFE">
          <w:rPr>
            <w:rStyle w:val="Hyperlink"/>
          </w:rPr>
          <w:t>https://www.uwtsdunion.co.uk/</w:t>
        </w:r>
      </w:hyperlink>
      <w:r w:rsidRPr="00016BFE">
        <w:t xml:space="preserve"> (Accessed: 30 January 2026). (</w:t>
      </w:r>
      <w:hyperlink r:id="rId25" w:tooltip="University Contacts @ UWTSD Students' Union" w:history="1">
        <w:r w:rsidRPr="00016BFE">
          <w:rPr>
            <w:rStyle w:val="Hyperlink"/>
          </w:rPr>
          <w:t>uwtsdunion.co.uk</w:t>
        </w:r>
      </w:hyperlink>
      <w:r w:rsidRPr="00016BFE">
        <w:t>)</w:t>
      </w:r>
    </w:p>
    <w:p w14:paraId="02F77C44" w14:textId="77777777" w:rsidR="006F20DB" w:rsidRDefault="006F20DB" w:rsidP="006F20DB">
      <w:r w:rsidRPr="00016BFE">
        <w:t xml:space="preserve">University of Wales Trinity Saint David (n.d.) </w:t>
      </w:r>
      <w:r w:rsidRPr="00016BFE">
        <w:rPr>
          <w:i/>
          <w:iCs/>
        </w:rPr>
        <w:t>Wellbeing Support</w:t>
      </w:r>
      <w:r w:rsidRPr="00016BFE">
        <w:t xml:space="preserve">. Available at: </w:t>
      </w:r>
      <w:hyperlink r:id="rId26" w:history="1">
        <w:r w:rsidRPr="00016BFE">
          <w:rPr>
            <w:rStyle w:val="Hyperlink"/>
          </w:rPr>
          <w:t>https://www.uwtsd.ac.uk/study/experience-facilities/student-support-wellbeing/wellbeing-support</w:t>
        </w:r>
      </w:hyperlink>
      <w:r w:rsidRPr="00016BFE">
        <w:t xml:space="preserve"> (Accessed: 30 January 2026). (</w:t>
      </w:r>
      <w:hyperlink r:id="rId27" w:tooltip="Wellbeing Support | University of Wales Trinity Saint David" w:history="1">
        <w:r w:rsidRPr="00016BFE">
          <w:rPr>
            <w:rStyle w:val="Hyperlink"/>
          </w:rPr>
          <w:t>University of Wales Trinity Saint David</w:t>
        </w:r>
      </w:hyperlink>
      <w:r w:rsidRPr="00016BFE">
        <w:t>)</w:t>
      </w:r>
    </w:p>
    <w:p w14:paraId="3EAE3D8F" w14:textId="01256D10" w:rsidR="004B33A7" w:rsidRPr="004B33A7" w:rsidRDefault="004B33A7" w:rsidP="006F20DB">
      <w:pPr>
        <w:rPr>
          <w:rFonts w:asciiTheme="minorBidi" w:hAnsiTheme="minorBidi"/>
          <w:sz w:val="24"/>
          <w:szCs w:val="24"/>
        </w:rPr>
      </w:pPr>
    </w:p>
    <w:sectPr w:rsidR="004B33A7" w:rsidRPr="004B33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3A7"/>
    <w:rsid w:val="001063A2"/>
    <w:rsid w:val="003509E8"/>
    <w:rsid w:val="0035572A"/>
    <w:rsid w:val="00385B11"/>
    <w:rsid w:val="003E6F31"/>
    <w:rsid w:val="0044049C"/>
    <w:rsid w:val="004B33A7"/>
    <w:rsid w:val="005306D0"/>
    <w:rsid w:val="006F20DB"/>
    <w:rsid w:val="00703E2E"/>
    <w:rsid w:val="008652D3"/>
    <w:rsid w:val="008D6914"/>
    <w:rsid w:val="00BD07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C3916"/>
  <w15:chartTrackingRefBased/>
  <w15:docId w15:val="{A133BC34-3EDE-4873-851B-1E7D7D677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33A7"/>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4B33A7"/>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semiHidden/>
    <w:unhideWhenUsed/>
    <w:qFormat/>
    <w:rsid w:val="004B33A7"/>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4B33A7"/>
    <w:pPr>
      <w:keepNext/>
      <w:keepLines/>
      <w:spacing w:before="160" w:after="80" w:line="278" w:lineRule="auto"/>
      <w:outlineLvl w:val="2"/>
    </w:pPr>
    <w:rPr>
      <w:rFonts w:eastAsiaTheme="majorEastAsia"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4B33A7"/>
    <w:pPr>
      <w:keepNext/>
      <w:keepLines/>
      <w:spacing w:before="80" w:after="40" w:line="278" w:lineRule="auto"/>
      <w:outlineLvl w:val="3"/>
    </w:pPr>
    <w:rPr>
      <w:rFonts w:eastAsiaTheme="majorEastAsia" w:cstheme="majorBidi"/>
      <w:i/>
      <w:iCs/>
      <w:color w:val="0F4761" w:themeColor="accent1" w:themeShade="BF"/>
      <w:kern w:val="2"/>
      <w:sz w:val="24"/>
      <w:szCs w:val="24"/>
      <w:lang w:eastAsia="zh-CN"/>
      <w14:ligatures w14:val="standardContextual"/>
    </w:rPr>
  </w:style>
  <w:style w:type="paragraph" w:styleId="Heading5">
    <w:name w:val="heading 5"/>
    <w:basedOn w:val="Normal"/>
    <w:next w:val="Normal"/>
    <w:link w:val="Heading5Char"/>
    <w:uiPriority w:val="9"/>
    <w:semiHidden/>
    <w:unhideWhenUsed/>
    <w:qFormat/>
    <w:rsid w:val="004B33A7"/>
    <w:pPr>
      <w:keepNext/>
      <w:keepLines/>
      <w:spacing w:before="80" w:after="40" w:line="278" w:lineRule="auto"/>
      <w:outlineLvl w:val="4"/>
    </w:pPr>
    <w:rPr>
      <w:rFonts w:eastAsiaTheme="majorEastAsia" w:cstheme="majorBidi"/>
      <w:color w:val="0F4761" w:themeColor="accent1" w:themeShade="BF"/>
      <w:kern w:val="2"/>
      <w:sz w:val="24"/>
      <w:szCs w:val="24"/>
      <w:lang w:eastAsia="zh-CN"/>
      <w14:ligatures w14:val="standardContextual"/>
    </w:rPr>
  </w:style>
  <w:style w:type="paragraph" w:styleId="Heading6">
    <w:name w:val="heading 6"/>
    <w:basedOn w:val="Normal"/>
    <w:next w:val="Normal"/>
    <w:link w:val="Heading6Char"/>
    <w:uiPriority w:val="9"/>
    <w:semiHidden/>
    <w:unhideWhenUsed/>
    <w:qFormat/>
    <w:rsid w:val="004B33A7"/>
    <w:pPr>
      <w:keepNext/>
      <w:keepLines/>
      <w:spacing w:before="40" w:after="0" w:line="278" w:lineRule="auto"/>
      <w:outlineLvl w:val="5"/>
    </w:pPr>
    <w:rPr>
      <w:rFonts w:eastAsiaTheme="majorEastAsia" w:cstheme="majorBidi"/>
      <w:i/>
      <w:iCs/>
      <w:color w:val="595959" w:themeColor="text1" w:themeTint="A6"/>
      <w:kern w:val="2"/>
      <w:sz w:val="24"/>
      <w:szCs w:val="24"/>
      <w:lang w:eastAsia="zh-CN"/>
      <w14:ligatures w14:val="standardContextual"/>
    </w:rPr>
  </w:style>
  <w:style w:type="paragraph" w:styleId="Heading7">
    <w:name w:val="heading 7"/>
    <w:basedOn w:val="Normal"/>
    <w:next w:val="Normal"/>
    <w:link w:val="Heading7Char"/>
    <w:uiPriority w:val="9"/>
    <w:semiHidden/>
    <w:unhideWhenUsed/>
    <w:qFormat/>
    <w:rsid w:val="004B33A7"/>
    <w:pPr>
      <w:keepNext/>
      <w:keepLines/>
      <w:spacing w:before="40" w:after="0" w:line="278" w:lineRule="auto"/>
      <w:outlineLvl w:val="6"/>
    </w:pPr>
    <w:rPr>
      <w:rFonts w:eastAsiaTheme="majorEastAsia" w:cstheme="majorBidi"/>
      <w:color w:val="595959" w:themeColor="text1" w:themeTint="A6"/>
      <w:kern w:val="2"/>
      <w:sz w:val="24"/>
      <w:szCs w:val="24"/>
      <w:lang w:eastAsia="zh-CN"/>
      <w14:ligatures w14:val="standardContextual"/>
    </w:rPr>
  </w:style>
  <w:style w:type="paragraph" w:styleId="Heading8">
    <w:name w:val="heading 8"/>
    <w:basedOn w:val="Normal"/>
    <w:next w:val="Normal"/>
    <w:link w:val="Heading8Char"/>
    <w:uiPriority w:val="9"/>
    <w:semiHidden/>
    <w:unhideWhenUsed/>
    <w:qFormat/>
    <w:rsid w:val="004B33A7"/>
    <w:pPr>
      <w:keepNext/>
      <w:keepLines/>
      <w:spacing w:after="0" w:line="278" w:lineRule="auto"/>
      <w:outlineLvl w:val="7"/>
    </w:pPr>
    <w:rPr>
      <w:rFonts w:eastAsiaTheme="majorEastAsia" w:cstheme="majorBidi"/>
      <w:i/>
      <w:iCs/>
      <w:color w:val="272727" w:themeColor="text1" w:themeTint="D8"/>
      <w:kern w:val="2"/>
      <w:sz w:val="24"/>
      <w:szCs w:val="24"/>
      <w:lang w:eastAsia="zh-CN"/>
      <w14:ligatures w14:val="standardContextual"/>
    </w:rPr>
  </w:style>
  <w:style w:type="paragraph" w:styleId="Heading9">
    <w:name w:val="heading 9"/>
    <w:basedOn w:val="Normal"/>
    <w:next w:val="Normal"/>
    <w:link w:val="Heading9Char"/>
    <w:uiPriority w:val="9"/>
    <w:semiHidden/>
    <w:unhideWhenUsed/>
    <w:qFormat/>
    <w:rsid w:val="004B33A7"/>
    <w:pPr>
      <w:keepNext/>
      <w:keepLines/>
      <w:spacing w:after="0" w:line="278" w:lineRule="auto"/>
      <w:outlineLvl w:val="8"/>
    </w:pPr>
    <w:rPr>
      <w:rFonts w:eastAsiaTheme="majorEastAsia" w:cstheme="majorBidi"/>
      <w:color w:val="272727" w:themeColor="text1" w:themeTint="D8"/>
      <w:kern w:val="2"/>
      <w:sz w:val="24"/>
      <w:szCs w:val="24"/>
      <w:lang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33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33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33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33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33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33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33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33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33A7"/>
    <w:rPr>
      <w:rFonts w:eastAsiaTheme="majorEastAsia" w:cstheme="majorBidi"/>
      <w:color w:val="272727" w:themeColor="text1" w:themeTint="D8"/>
    </w:rPr>
  </w:style>
  <w:style w:type="paragraph" w:styleId="Title">
    <w:name w:val="Title"/>
    <w:basedOn w:val="Normal"/>
    <w:next w:val="Normal"/>
    <w:link w:val="TitleChar"/>
    <w:uiPriority w:val="10"/>
    <w:qFormat/>
    <w:rsid w:val="004B33A7"/>
    <w:pPr>
      <w:spacing w:after="80" w:line="240" w:lineRule="auto"/>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4B33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33A7"/>
    <w:pPr>
      <w:numPr>
        <w:ilvl w:val="1"/>
      </w:numPr>
      <w:spacing w:line="278" w:lineRule="auto"/>
    </w:pPr>
    <w:rPr>
      <w:rFonts w:eastAsiaTheme="majorEastAsia"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4B33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33A7"/>
    <w:pPr>
      <w:spacing w:before="160" w:line="278" w:lineRule="auto"/>
      <w:jc w:val="center"/>
    </w:pPr>
    <w:rPr>
      <w:rFonts w:eastAsiaTheme="minorEastAsia"/>
      <w:i/>
      <w:iCs/>
      <w:color w:val="404040" w:themeColor="text1" w:themeTint="BF"/>
      <w:kern w:val="2"/>
      <w:sz w:val="24"/>
      <w:szCs w:val="24"/>
      <w:lang w:eastAsia="zh-CN"/>
      <w14:ligatures w14:val="standardContextual"/>
    </w:rPr>
  </w:style>
  <w:style w:type="character" w:customStyle="1" w:styleId="QuoteChar">
    <w:name w:val="Quote Char"/>
    <w:basedOn w:val="DefaultParagraphFont"/>
    <w:link w:val="Quote"/>
    <w:uiPriority w:val="29"/>
    <w:rsid w:val="004B33A7"/>
    <w:rPr>
      <w:i/>
      <w:iCs/>
      <w:color w:val="404040" w:themeColor="text1" w:themeTint="BF"/>
    </w:rPr>
  </w:style>
  <w:style w:type="paragraph" w:styleId="ListParagraph">
    <w:name w:val="List Paragraph"/>
    <w:basedOn w:val="Normal"/>
    <w:uiPriority w:val="34"/>
    <w:qFormat/>
    <w:rsid w:val="004B33A7"/>
    <w:pPr>
      <w:spacing w:line="278" w:lineRule="auto"/>
      <w:ind w:left="720"/>
      <w:contextualSpacing/>
    </w:pPr>
    <w:rPr>
      <w:rFonts w:eastAsiaTheme="minorEastAsia"/>
      <w:kern w:val="2"/>
      <w:sz w:val="24"/>
      <w:szCs w:val="24"/>
      <w:lang w:eastAsia="zh-CN"/>
      <w14:ligatures w14:val="standardContextual"/>
    </w:rPr>
  </w:style>
  <w:style w:type="character" w:styleId="IntenseEmphasis">
    <w:name w:val="Intense Emphasis"/>
    <w:basedOn w:val="DefaultParagraphFont"/>
    <w:uiPriority w:val="21"/>
    <w:qFormat/>
    <w:rsid w:val="004B33A7"/>
    <w:rPr>
      <w:i/>
      <w:iCs/>
      <w:color w:val="0F4761" w:themeColor="accent1" w:themeShade="BF"/>
    </w:rPr>
  </w:style>
  <w:style w:type="paragraph" w:styleId="IntenseQuote">
    <w:name w:val="Intense Quote"/>
    <w:basedOn w:val="Normal"/>
    <w:next w:val="Normal"/>
    <w:link w:val="IntenseQuoteChar"/>
    <w:uiPriority w:val="30"/>
    <w:qFormat/>
    <w:rsid w:val="004B33A7"/>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EastAsia"/>
      <w:i/>
      <w:iCs/>
      <w:color w:val="0F4761" w:themeColor="accent1" w:themeShade="BF"/>
      <w:kern w:val="2"/>
      <w:sz w:val="24"/>
      <w:szCs w:val="24"/>
      <w:lang w:eastAsia="zh-CN"/>
      <w14:ligatures w14:val="standardContextual"/>
    </w:rPr>
  </w:style>
  <w:style w:type="character" w:customStyle="1" w:styleId="IntenseQuoteChar">
    <w:name w:val="Intense Quote Char"/>
    <w:basedOn w:val="DefaultParagraphFont"/>
    <w:link w:val="IntenseQuote"/>
    <w:uiPriority w:val="30"/>
    <w:rsid w:val="004B33A7"/>
    <w:rPr>
      <w:i/>
      <w:iCs/>
      <w:color w:val="0F4761" w:themeColor="accent1" w:themeShade="BF"/>
    </w:rPr>
  </w:style>
  <w:style w:type="character" w:styleId="IntenseReference">
    <w:name w:val="Intense Reference"/>
    <w:basedOn w:val="DefaultParagraphFont"/>
    <w:uiPriority w:val="32"/>
    <w:qFormat/>
    <w:rsid w:val="004B33A7"/>
    <w:rPr>
      <w:b/>
      <w:bCs/>
      <w:smallCaps/>
      <w:color w:val="0F4761" w:themeColor="accent1" w:themeShade="BF"/>
      <w:spacing w:val="5"/>
    </w:rPr>
  </w:style>
  <w:style w:type="character" w:styleId="Hyperlink">
    <w:name w:val="Hyperlink"/>
    <w:basedOn w:val="DefaultParagraphFont"/>
    <w:uiPriority w:val="99"/>
    <w:unhideWhenUsed/>
    <w:rsid w:val="006F20D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qualityhumanrights.com/guidance/public-sector/public-sector-equality-duty/technical-guidance-public-sector-equality-duty-1" TargetMode="External"/><Relationship Id="rId13" Type="http://schemas.openxmlformats.org/officeDocument/2006/relationships/hyperlink" Target="https://www.oiahe.org.uk/resources-and-publications/good-practice-framework/supporting-disabled-students/removing-obstacles-to-learning/" TargetMode="External"/><Relationship Id="rId18" Type="http://schemas.openxmlformats.org/officeDocument/2006/relationships/hyperlink" Target="https://www.uwtsd.ac.uk/study/experience-and-facilities/student-support-and-wellbeing/money-support" TargetMode="External"/><Relationship Id="rId26" Type="http://schemas.openxmlformats.org/officeDocument/2006/relationships/hyperlink" Target="https://www.uwtsd.ac.uk/study/experience-facilities/student-support-wellbeing/wellbeing-support" TargetMode="External"/><Relationship Id="rId3" Type="http://schemas.openxmlformats.org/officeDocument/2006/relationships/webSettings" Target="webSettings.xml"/><Relationship Id="rId21" Type="http://schemas.openxmlformats.org/officeDocument/2006/relationships/hyperlink" Target="https://www.uwtsd.ac.uk/experience-facilities/student-support-wellbeing/reporting-university?utm_source=chatgpt.com" TargetMode="External"/><Relationship Id="rId7" Type="http://schemas.openxmlformats.org/officeDocument/2006/relationships/hyperlink" Target="https://www.legislation.gov.uk/ukpga/2010/15/contents" TargetMode="External"/><Relationship Id="rId12" Type="http://schemas.openxmlformats.org/officeDocument/2006/relationships/hyperlink" Target="https://www.officeforstudents.org.uk/for-providers/regulatory-resources/the-regulatory-framework-for-higher-education-in-england/" TargetMode="External"/><Relationship Id="rId17" Type="http://schemas.openxmlformats.org/officeDocument/2006/relationships/hyperlink" Target="https://www.uwtsd.ac.uk/study/experience-facilities/student-support-wellbeing/disability-support?utm_source=chatgpt.com" TargetMode="External"/><Relationship Id="rId25" Type="http://schemas.openxmlformats.org/officeDocument/2006/relationships/hyperlink" Target="https://www.uwtsdunion.co.uk/main-menu/advice/university-contacts?utm_source=chatgpt.com" TargetMode="External"/><Relationship Id="rId2" Type="http://schemas.openxmlformats.org/officeDocument/2006/relationships/settings" Target="settings.xml"/><Relationship Id="rId16" Type="http://schemas.openxmlformats.org/officeDocument/2006/relationships/hyperlink" Target="https://www.uwtsd.ac.uk/study/experience-facilities/student-support-wellbeing/disability-support" TargetMode="External"/><Relationship Id="rId20" Type="http://schemas.openxmlformats.org/officeDocument/2006/relationships/hyperlink" Target="https://www.uwtsd.ac.uk/experience-facilities/student-support-wellbeing/reporting-university"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cast.org/what-we-do/universal-design-for-learning/" TargetMode="External"/><Relationship Id="rId11" Type="http://schemas.openxmlformats.org/officeDocument/2006/relationships/hyperlink" Target="https://www.gov.wales/recommendations-disability-rights-taskforce-html" TargetMode="External"/><Relationship Id="rId24" Type="http://schemas.openxmlformats.org/officeDocument/2006/relationships/hyperlink" Target="https://www.uwtsdunion.co.uk/" TargetMode="External"/><Relationship Id="rId5" Type="http://schemas.openxmlformats.org/officeDocument/2006/relationships/hyperlink" Target="https://www.advance-he.ac.uk/teaching-learning/student-engagement" TargetMode="External"/><Relationship Id="rId15" Type="http://schemas.openxmlformats.org/officeDocument/2006/relationships/hyperlink" Target="https://www.uwtsd.ac.uk/about/governance-and-management/strategies-and-policies/admissions-policy-and-terms-and-conditions" TargetMode="External"/><Relationship Id="rId23" Type="http://schemas.openxmlformats.org/officeDocument/2006/relationships/hyperlink" Target="https://www.uwtsd.ac.uk/student-charter?utm_source=chatgpt.com" TargetMode="External"/><Relationship Id="rId28" Type="http://schemas.openxmlformats.org/officeDocument/2006/relationships/fontTable" Target="fontTable.xml"/><Relationship Id="rId10" Type="http://schemas.openxmlformats.org/officeDocument/2006/relationships/hyperlink" Target="https://www.gov.wales/additional-learning-needs-code-and-regulations-childrens-rights-impact-assessment-html" TargetMode="External"/><Relationship Id="rId19" Type="http://schemas.openxmlformats.org/officeDocument/2006/relationships/hyperlink" Target="https://www.uwtsd.ac.uk/study/experience-and-facilities/student-support-and-wellbeing/money-support?utm_source=chatgpt.com" TargetMode="External"/><Relationship Id="rId4" Type="http://schemas.openxmlformats.org/officeDocument/2006/relationships/image" Target="media/image1.png"/><Relationship Id="rId9" Type="http://schemas.openxmlformats.org/officeDocument/2006/relationships/hyperlink" Target="https://www.gov.wales/disabled-peoples-rights-plan-html" TargetMode="External"/><Relationship Id="rId14" Type="http://schemas.openxmlformats.org/officeDocument/2006/relationships/hyperlink" Target="https://www.oiahe.org.uk/resources-and-publications/good-practice-framework/supporting-disabled-students/removing-obstacles-to-learning/?utm_source=chatgpt.com" TargetMode="External"/><Relationship Id="rId22" Type="http://schemas.openxmlformats.org/officeDocument/2006/relationships/hyperlink" Target="https://www.uwtsd.ac.uk/student-charter" TargetMode="External"/><Relationship Id="rId27" Type="http://schemas.openxmlformats.org/officeDocument/2006/relationships/hyperlink" Target="https://www.uwtsd.ac.uk/study/experience-facilities/student-support-wellbeing/wellbeing-support?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3845</Words>
  <Characters>21917</Characters>
  <Application>Microsoft Office Word</Application>
  <DocSecurity>0</DocSecurity>
  <Lines>182</Lines>
  <Paragraphs>51</Paragraphs>
  <ScaleCrop>false</ScaleCrop>
  <Company>University of Wales Trinity Saint David</Company>
  <LinksUpToDate>false</LinksUpToDate>
  <CharactersWithSpaces>25711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Gardner</dc:creator>
  <cp:keywords/>
  <dc:description/>
  <cp:lastModifiedBy>Ash James</cp:lastModifiedBy>
  <cp:revision>2</cp:revision>
  <dcterms:created xsi:type="dcterms:W3CDTF">2026-01-30T22:12:00Z</dcterms:created>
  <dcterms:modified xsi:type="dcterms:W3CDTF">2026-01-30T22:12:00Z</dcterms:modified>
</cp:coreProperties>
</file>