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73F5B0" w14:textId="438B8D4A" w:rsidR="008D7A39" w:rsidRDefault="008D7A39" w:rsidP="00026995">
      <w:pPr>
        <w:spacing w:line="360" w:lineRule="auto"/>
        <w:jc w:val="center"/>
        <w:rPr>
          <w:rFonts w:ascii="Arial" w:hAnsi="Arial" w:cs="Arial"/>
          <w:b/>
          <w:sz w:val="40"/>
        </w:rPr>
      </w:pPr>
      <w:r w:rsidRPr="00CD33A8">
        <w:rPr>
          <w:rFonts w:asciiTheme="minorBidi" w:hAnsiTheme="minorBidi"/>
          <w:noProof/>
        </w:rPr>
        <w:drawing>
          <wp:anchor distT="0" distB="0" distL="114300" distR="114300" simplePos="0" relativeHeight="251659264" behindDoc="0" locked="0" layoutInCell="1" allowOverlap="1" wp14:anchorId="29093EC3" wp14:editId="5BB82599">
            <wp:simplePos x="0" y="0"/>
            <wp:positionH relativeFrom="margin">
              <wp:align>left</wp:align>
            </wp:positionH>
            <wp:positionV relativeFrom="paragraph">
              <wp:posOffset>34925</wp:posOffset>
            </wp:positionV>
            <wp:extent cx="1809750" cy="7620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62000"/>
                    </a:xfrm>
                    <a:prstGeom prst="rect">
                      <a:avLst/>
                    </a:prstGeom>
                    <a:noFill/>
                    <a:ln>
                      <a:noFill/>
                    </a:ln>
                  </pic:spPr>
                </pic:pic>
              </a:graphicData>
            </a:graphic>
            <wp14:sizeRelV relativeFrom="margin">
              <wp14:pctHeight>0</wp14:pctHeight>
            </wp14:sizeRelV>
          </wp:anchor>
        </w:drawing>
      </w:r>
    </w:p>
    <w:p w14:paraId="3CA535AF" w14:textId="0E17D679" w:rsidR="008D7A39" w:rsidRPr="00CD33A8" w:rsidRDefault="008D7A39" w:rsidP="008D7A39">
      <w:pPr>
        <w:spacing w:line="360" w:lineRule="auto"/>
        <w:rPr>
          <w:rFonts w:asciiTheme="minorBidi" w:hAnsiTheme="minorBidi"/>
        </w:rPr>
      </w:pPr>
    </w:p>
    <w:p w14:paraId="0DC3D075" w14:textId="226451AB" w:rsidR="007F4C7C" w:rsidRPr="00026995" w:rsidRDefault="00026995" w:rsidP="00026995">
      <w:pPr>
        <w:spacing w:line="360" w:lineRule="auto"/>
        <w:jc w:val="center"/>
        <w:rPr>
          <w:rFonts w:ascii="Arial" w:hAnsi="Arial" w:cs="Arial"/>
          <w:b/>
          <w:sz w:val="32"/>
        </w:rPr>
      </w:pPr>
      <w:r w:rsidRPr="00026995">
        <w:rPr>
          <w:rFonts w:ascii="Arial" w:hAnsi="Arial" w:cs="Arial"/>
          <w:b/>
          <w:sz w:val="40"/>
        </w:rPr>
        <w:t>Depression: Measurement, Monitoring, Control and Community Support</w:t>
      </w:r>
    </w:p>
    <w:p w14:paraId="2C20D1E7" w14:textId="77777777" w:rsidR="007F4C7C" w:rsidRPr="007F4C7C" w:rsidRDefault="007F4C7C" w:rsidP="007F4C7C">
      <w:pPr>
        <w:spacing w:line="360" w:lineRule="auto"/>
        <w:jc w:val="center"/>
        <w:rPr>
          <w:rFonts w:ascii="Arial" w:hAnsi="Arial" w:cs="Arial"/>
          <w:b/>
          <w:sz w:val="24"/>
        </w:rPr>
      </w:pPr>
      <w:r w:rsidRPr="007F4C7C">
        <w:rPr>
          <w:rFonts w:ascii="Arial" w:hAnsi="Arial" w:cs="Arial"/>
          <w:b/>
          <w:sz w:val="32"/>
        </w:rPr>
        <w:t>Component 2: Report on a Health Issue</w:t>
      </w:r>
    </w:p>
    <w:p w14:paraId="5097C9B2" w14:textId="3B3490F1" w:rsidR="008D7A39" w:rsidRPr="00E91F08" w:rsidRDefault="008D7A39" w:rsidP="008D7A39">
      <w:pPr>
        <w:spacing w:line="360" w:lineRule="auto"/>
        <w:jc w:val="both"/>
        <w:rPr>
          <w:rFonts w:ascii="Arial" w:hAnsi="Arial" w:cs="Arial"/>
          <w:b/>
        </w:rPr>
      </w:pPr>
      <w:r w:rsidRPr="00E91F08">
        <w:rPr>
          <w:rFonts w:ascii="Arial" w:hAnsi="Arial" w:cs="Arial"/>
          <w:b/>
        </w:rPr>
        <w:t xml:space="preserve">Student </w:t>
      </w:r>
      <w:r>
        <w:rPr>
          <w:rFonts w:ascii="Arial" w:hAnsi="Arial" w:cs="Arial"/>
          <w:b/>
        </w:rPr>
        <w:t>N</w:t>
      </w:r>
      <w:r w:rsidRPr="00E91F08">
        <w:rPr>
          <w:rFonts w:ascii="Arial" w:hAnsi="Arial" w:cs="Arial"/>
          <w:b/>
        </w:rPr>
        <w:t>ame:</w:t>
      </w:r>
      <w:r>
        <w:rPr>
          <w:rFonts w:ascii="Arial" w:hAnsi="Arial" w:cs="Arial"/>
          <w:b/>
        </w:rPr>
        <w:t xml:space="preserve"> </w:t>
      </w:r>
      <w:r>
        <w:rPr>
          <w:rFonts w:ascii="Arial" w:hAnsi="Arial" w:cs="Arial"/>
          <w:b/>
        </w:rPr>
        <w:t>Hamna Nasir</w:t>
      </w:r>
    </w:p>
    <w:p w14:paraId="20F420B7" w14:textId="2D838B9D" w:rsidR="008D7A39" w:rsidRPr="008D7A39" w:rsidRDefault="008D7A39" w:rsidP="007F4C7C">
      <w:pPr>
        <w:spacing w:line="360" w:lineRule="auto"/>
        <w:jc w:val="both"/>
        <w:rPr>
          <w:rFonts w:ascii="Arial" w:hAnsi="Arial" w:cs="Arial"/>
          <w:b/>
        </w:rPr>
      </w:pPr>
      <w:r w:rsidRPr="00E91F08">
        <w:rPr>
          <w:rFonts w:ascii="Arial" w:hAnsi="Arial" w:cs="Arial"/>
          <w:b/>
        </w:rPr>
        <w:t>Student ID number:</w:t>
      </w:r>
      <w:r>
        <w:rPr>
          <w:rFonts w:ascii="Arial" w:hAnsi="Arial" w:cs="Arial"/>
          <w:b/>
        </w:rPr>
        <w:t xml:space="preserve"> 2523960</w:t>
      </w:r>
    </w:p>
    <w:p w14:paraId="022143A5" w14:textId="39AC4587" w:rsidR="007F4C7C" w:rsidRPr="007F4C7C" w:rsidRDefault="007F4C7C" w:rsidP="007F4C7C">
      <w:pPr>
        <w:spacing w:line="360" w:lineRule="auto"/>
        <w:jc w:val="both"/>
        <w:rPr>
          <w:rFonts w:ascii="Arial" w:hAnsi="Arial" w:cs="Arial"/>
          <w:sz w:val="24"/>
        </w:rPr>
      </w:pPr>
      <w:r w:rsidRPr="007F4C7C">
        <w:rPr>
          <w:rFonts w:ascii="Arial" w:hAnsi="Arial" w:cs="Arial"/>
          <w:b/>
          <w:sz w:val="24"/>
        </w:rPr>
        <w:t>Programme:</w:t>
      </w:r>
      <w:r w:rsidRPr="007F4C7C">
        <w:rPr>
          <w:rFonts w:ascii="Arial" w:hAnsi="Arial" w:cs="Arial"/>
          <w:sz w:val="24"/>
        </w:rPr>
        <w:t xml:space="preserve"> Certificate of Higher Education Skills for the Workplace (Health &amp; Social Care) </w:t>
      </w:r>
    </w:p>
    <w:p w14:paraId="512CB14F" w14:textId="77777777" w:rsidR="007F4C7C" w:rsidRPr="007F4C7C" w:rsidRDefault="007F4C7C" w:rsidP="007F4C7C">
      <w:pPr>
        <w:spacing w:line="360" w:lineRule="auto"/>
        <w:jc w:val="both"/>
        <w:rPr>
          <w:rFonts w:ascii="Arial" w:hAnsi="Arial" w:cs="Arial"/>
          <w:sz w:val="24"/>
        </w:rPr>
      </w:pPr>
      <w:r w:rsidRPr="007F4C7C">
        <w:rPr>
          <w:rFonts w:ascii="Arial" w:hAnsi="Arial" w:cs="Arial"/>
          <w:b/>
          <w:sz w:val="24"/>
        </w:rPr>
        <w:t>Module:</w:t>
      </w:r>
      <w:r w:rsidRPr="007F4C7C">
        <w:rPr>
          <w:rFonts w:ascii="Arial" w:hAnsi="Arial" w:cs="Arial"/>
          <w:sz w:val="24"/>
        </w:rPr>
        <w:t xml:space="preserve"> Introduction to Public Health </w:t>
      </w:r>
    </w:p>
    <w:p w14:paraId="3A9B0F86" w14:textId="77777777" w:rsidR="00046D71" w:rsidRDefault="007F4C7C" w:rsidP="007F4C7C">
      <w:pPr>
        <w:spacing w:line="360" w:lineRule="auto"/>
        <w:jc w:val="both"/>
        <w:rPr>
          <w:rFonts w:ascii="Arial" w:hAnsi="Arial" w:cs="Arial"/>
          <w:sz w:val="24"/>
        </w:rPr>
      </w:pPr>
      <w:r w:rsidRPr="007F4C7C">
        <w:rPr>
          <w:rFonts w:ascii="Arial" w:hAnsi="Arial" w:cs="Arial"/>
          <w:b/>
          <w:sz w:val="24"/>
        </w:rPr>
        <w:t>Module code:</w:t>
      </w:r>
      <w:r w:rsidRPr="007F4C7C">
        <w:rPr>
          <w:rFonts w:ascii="Arial" w:hAnsi="Arial" w:cs="Arial"/>
          <w:sz w:val="24"/>
        </w:rPr>
        <w:t xml:space="preserve"> LCHS4008</w:t>
      </w:r>
    </w:p>
    <w:p w14:paraId="29980D22" w14:textId="3059DC1E" w:rsidR="008D7A39" w:rsidRPr="007F4C7C" w:rsidRDefault="008D7A39" w:rsidP="007F4C7C">
      <w:pPr>
        <w:spacing w:line="360" w:lineRule="auto"/>
        <w:jc w:val="both"/>
        <w:rPr>
          <w:rFonts w:ascii="Arial" w:hAnsi="Arial" w:cs="Arial"/>
          <w:sz w:val="24"/>
        </w:rPr>
      </w:pPr>
      <w:r w:rsidRPr="00527880">
        <w:rPr>
          <w:rFonts w:ascii="Arial Black" w:hAnsi="Arial Black"/>
          <w:sz w:val="20"/>
          <w:szCs w:val="20"/>
        </w:rPr>
        <w:t>Lecturer's Name:</w:t>
      </w:r>
      <w:r>
        <w:rPr>
          <w:rFonts w:ascii="Arial Black" w:hAnsi="Arial Black"/>
          <w:sz w:val="20"/>
          <w:szCs w:val="20"/>
        </w:rPr>
        <w:t xml:space="preserve"> </w:t>
      </w:r>
      <w:r w:rsidRPr="008D7A39">
        <w:rPr>
          <w:rFonts w:ascii="Arial" w:hAnsi="Arial" w:cs="Arial"/>
        </w:rPr>
        <w:t>Shepherd Ziko</w:t>
      </w:r>
      <w:r>
        <w:rPr>
          <w:rFonts w:ascii="Arial Black" w:hAnsi="Arial Black"/>
          <w:sz w:val="20"/>
          <w:szCs w:val="20"/>
        </w:rPr>
        <w:t xml:space="preserve"> </w:t>
      </w:r>
    </w:p>
    <w:p w14:paraId="69AF60C4" w14:textId="77777777" w:rsidR="007F4C7C" w:rsidRDefault="007F4C7C" w:rsidP="007F4C7C">
      <w:pPr>
        <w:spacing w:line="360" w:lineRule="auto"/>
        <w:jc w:val="both"/>
        <w:rPr>
          <w:rFonts w:ascii="Times New Roman" w:hAnsi="Times New Roman" w:cs="Times New Roman"/>
          <w:sz w:val="24"/>
        </w:rPr>
      </w:pPr>
    </w:p>
    <w:p w14:paraId="08203E49" w14:textId="77777777" w:rsidR="007F4C7C" w:rsidRDefault="007F4C7C" w:rsidP="007F4C7C">
      <w:pPr>
        <w:spacing w:line="360" w:lineRule="auto"/>
        <w:jc w:val="both"/>
        <w:rPr>
          <w:rFonts w:ascii="Times New Roman" w:hAnsi="Times New Roman" w:cs="Times New Roman"/>
          <w:sz w:val="24"/>
        </w:rPr>
      </w:pPr>
    </w:p>
    <w:p w14:paraId="58022C64" w14:textId="77777777" w:rsidR="007F4C7C" w:rsidRDefault="007F4C7C" w:rsidP="007F4C7C">
      <w:pPr>
        <w:spacing w:line="360" w:lineRule="auto"/>
        <w:jc w:val="both"/>
        <w:rPr>
          <w:rFonts w:ascii="Times New Roman" w:hAnsi="Times New Roman" w:cs="Times New Roman"/>
          <w:sz w:val="24"/>
        </w:rPr>
      </w:pPr>
    </w:p>
    <w:p w14:paraId="666DE92B" w14:textId="77777777" w:rsidR="007F4C7C" w:rsidRDefault="007F4C7C" w:rsidP="007F4C7C">
      <w:pPr>
        <w:spacing w:line="360" w:lineRule="auto"/>
        <w:jc w:val="both"/>
        <w:rPr>
          <w:rFonts w:ascii="Times New Roman" w:hAnsi="Times New Roman" w:cs="Times New Roman"/>
          <w:sz w:val="24"/>
        </w:rPr>
      </w:pPr>
    </w:p>
    <w:p w14:paraId="21970598" w14:textId="77777777" w:rsidR="007F4C7C" w:rsidRDefault="007F4C7C" w:rsidP="007F4C7C">
      <w:pPr>
        <w:spacing w:line="360" w:lineRule="auto"/>
        <w:jc w:val="both"/>
        <w:rPr>
          <w:rFonts w:ascii="Times New Roman" w:hAnsi="Times New Roman" w:cs="Times New Roman"/>
          <w:sz w:val="24"/>
        </w:rPr>
      </w:pPr>
    </w:p>
    <w:p w14:paraId="39BE4C12" w14:textId="77777777" w:rsidR="007F4C7C" w:rsidRDefault="007F4C7C" w:rsidP="007F4C7C">
      <w:pPr>
        <w:spacing w:line="360" w:lineRule="auto"/>
        <w:jc w:val="both"/>
        <w:rPr>
          <w:rFonts w:ascii="Times New Roman" w:hAnsi="Times New Roman" w:cs="Times New Roman"/>
          <w:sz w:val="24"/>
        </w:rPr>
      </w:pPr>
    </w:p>
    <w:p w14:paraId="54791CB0" w14:textId="77777777" w:rsidR="007F4C7C" w:rsidRDefault="007F4C7C" w:rsidP="007F4C7C">
      <w:pPr>
        <w:spacing w:line="360" w:lineRule="auto"/>
        <w:jc w:val="both"/>
        <w:rPr>
          <w:rFonts w:ascii="Times New Roman" w:hAnsi="Times New Roman" w:cs="Times New Roman"/>
          <w:sz w:val="24"/>
        </w:rPr>
      </w:pPr>
    </w:p>
    <w:p w14:paraId="454E7716" w14:textId="77777777" w:rsidR="007F4C7C" w:rsidRDefault="007F4C7C" w:rsidP="007F4C7C">
      <w:pPr>
        <w:spacing w:line="360" w:lineRule="auto"/>
        <w:jc w:val="both"/>
        <w:rPr>
          <w:rFonts w:ascii="Times New Roman" w:hAnsi="Times New Roman" w:cs="Times New Roman"/>
          <w:sz w:val="24"/>
        </w:rPr>
      </w:pPr>
    </w:p>
    <w:p w14:paraId="6E3B5717" w14:textId="77777777" w:rsidR="007F4C7C" w:rsidRDefault="007F4C7C" w:rsidP="007F4C7C">
      <w:pPr>
        <w:spacing w:line="360" w:lineRule="auto"/>
        <w:jc w:val="both"/>
        <w:rPr>
          <w:rFonts w:ascii="Times New Roman" w:hAnsi="Times New Roman" w:cs="Times New Roman"/>
          <w:sz w:val="24"/>
        </w:rPr>
      </w:pPr>
    </w:p>
    <w:p w14:paraId="7588EDDC" w14:textId="77777777" w:rsidR="007F4C7C" w:rsidRDefault="007F4C7C" w:rsidP="007F4C7C">
      <w:pPr>
        <w:spacing w:line="360" w:lineRule="auto"/>
        <w:jc w:val="both"/>
        <w:rPr>
          <w:rFonts w:ascii="Times New Roman" w:hAnsi="Times New Roman" w:cs="Times New Roman"/>
          <w:sz w:val="24"/>
        </w:rPr>
      </w:pPr>
    </w:p>
    <w:p w14:paraId="211A0F54" w14:textId="77777777" w:rsidR="007F4C7C" w:rsidRDefault="007F4C7C" w:rsidP="007F4C7C">
      <w:pPr>
        <w:spacing w:line="360" w:lineRule="auto"/>
        <w:jc w:val="both"/>
        <w:rPr>
          <w:rFonts w:ascii="Times New Roman" w:hAnsi="Times New Roman" w:cs="Times New Roman"/>
          <w:sz w:val="24"/>
        </w:rPr>
      </w:pPr>
    </w:p>
    <w:p w14:paraId="7FCACD79" w14:textId="77777777" w:rsidR="007F4C7C" w:rsidRDefault="007F4C7C" w:rsidP="007F4C7C">
      <w:pPr>
        <w:spacing w:line="360" w:lineRule="auto"/>
        <w:jc w:val="both"/>
        <w:rPr>
          <w:rFonts w:ascii="Times New Roman" w:hAnsi="Times New Roman" w:cs="Times New Roman"/>
          <w:sz w:val="24"/>
        </w:rPr>
      </w:pPr>
    </w:p>
    <w:p w14:paraId="2239917F" w14:textId="77777777" w:rsidR="007F4C7C" w:rsidRDefault="007F4C7C" w:rsidP="007F4C7C">
      <w:pPr>
        <w:spacing w:line="360" w:lineRule="auto"/>
        <w:jc w:val="both"/>
        <w:rPr>
          <w:rFonts w:ascii="Times New Roman" w:hAnsi="Times New Roman" w:cs="Times New Roman"/>
          <w:sz w:val="24"/>
        </w:rPr>
      </w:pPr>
    </w:p>
    <w:p w14:paraId="158F7667" w14:textId="77777777" w:rsidR="007F4C7C" w:rsidRDefault="007F4C7C" w:rsidP="007F4C7C">
      <w:pPr>
        <w:spacing w:line="360" w:lineRule="auto"/>
        <w:jc w:val="both"/>
        <w:rPr>
          <w:rFonts w:ascii="Times New Roman" w:hAnsi="Times New Roman" w:cs="Times New Roman"/>
          <w:sz w:val="24"/>
        </w:rPr>
      </w:pPr>
    </w:p>
    <w:p w14:paraId="3BBE08E9" w14:textId="77777777" w:rsidR="007F4C7C" w:rsidRDefault="007F4C7C" w:rsidP="007F4C7C">
      <w:pPr>
        <w:spacing w:line="360" w:lineRule="auto"/>
        <w:jc w:val="both"/>
        <w:rPr>
          <w:rFonts w:ascii="Times New Roman" w:hAnsi="Times New Roman" w:cs="Times New Roman"/>
          <w:sz w:val="24"/>
        </w:rPr>
      </w:pPr>
    </w:p>
    <w:p w14:paraId="0468B508" w14:textId="77777777" w:rsidR="007F4C7C" w:rsidRDefault="007F4C7C" w:rsidP="007F4C7C">
      <w:pPr>
        <w:spacing w:line="360" w:lineRule="auto"/>
        <w:jc w:val="both"/>
        <w:rPr>
          <w:rFonts w:ascii="Times New Roman" w:hAnsi="Times New Roman" w:cs="Times New Roman"/>
          <w:sz w:val="24"/>
        </w:rPr>
      </w:pPr>
    </w:p>
    <w:sdt>
      <w:sdtPr>
        <w:rPr>
          <w:rFonts w:asciiTheme="minorHAnsi" w:eastAsiaTheme="minorHAnsi" w:hAnsiTheme="minorHAnsi" w:cstheme="minorBidi"/>
          <w:color w:val="auto"/>
          <w:sz w:val="22"/>
          <w:szCs w:val="22"/>
          <w:lang w:val="en-GB"/>
        </w:rPr>
        <w:id w:val="960236800"/>
        <w:docPartObj>
          <w:docPartGallery w:val="Table of Contents"/>
          <w:docPartUnique/>
        </w:docPartObj>
      </w:sdtPr>
      <w:sdtEndPr>
        <w:rPr>
          <w:b/>
          <w:bCs/>
          <w:noProof/>
        </w:rPr>
      </w:sdtEndPr>
      <w:sdtContent>
        <w:p w14:paraId="3FF593FA" w14:textId="77777777" w:rsidR="007F4C7C" w:rsidRPr="00122307" w:rsidRDefault="007F4C7C" w:rsidP="00586748">
          <w:pPr>
            <w:pStyle w:val="TOCHeading"/>
            <w:spacing w:line="360" w:lineRule="auto"/>
            <w:jc w:val="center"/>
            <w:rPr>
              <w:rFonts w:ascii="Arial" w:hAnsi="Arial" w:cs="Arial"/>
              <w:b/>
            </w:rPr>
          </w:pPr>
          <w:r w:rsidRPr="00122307">
            <w:rPr>
              <w:rFonts w:ascii="Arial" w:hAnsi="Arial" w:cs="Arial"/>
              <w:b/>
            </w:rPr>
            <w:t>Table of Contents</w:t>
          </w:r>
        </w:p>
        <w:p w14:paraId="4B3AADC5" w14:textId="77777777" w:rsidR="0042300F" w:rsidRDefault="007F4C7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6402805" w:history="1">
            <w:r w:rsidR="0042300F" w:rsidRPr="00B976AA">
              <w:rPr>
                <w:rStyle w:val="Hyperlink"/>
                <w:rFonts w:ascii="Arial" w:hAnsi="Arial" w:cs="Arial"/>
                <w:noProof/>
              </w:rPr>
              <w:t>1. Introduction</w:t>
            </w:r>
            <w:r w:rsidR="0042300F">
              <w:rPr>
                <w:noProof/>
                <w:webHidden/>
              </w:rPr>
              <w:tab/>
            </w:r>
            <w:r w:rsidR="0042300F">
              <w:rPr>
                <w:noProof/>
                <w:webHidden/>
              </w:rPr>
              <w:fldChar w:fldCharType="begin"/>
            </w:r>
            <w:r w:rsidR="0042300F">
              <w:rPr>
                <w:noProof/>
                <w:webHidden/>
              </w:rPr>
              <w:instrText xml:space="preserve"> PAGEREF _Toc236402805 \h </w:instrText>
            </w:r>
            <w:r w:rsidR="0042300F">
              <w:rPr>
                <w:noProof/>
                <w:webHidden/>
              </w:rPr>
            </w:r>
            <w:r w:rsidR="0042300F">
              <w:rPr>
                <w:noProof/>
                <w:webHidden/>
              </w:rPr>
              <w:fldChar w:fldCharType="separate"/>
            </w:r>
            <w:r w:rsidR="0042300F">
              <w:rPr>
                <w:noProof/>
                <w:webHidden/>
              </w:rPr>
              <w:t>3</w:t>
            </w:r>
            <w:r w:rsidR="0042300F">
              <w:rPr>
                <w:noProof/>
                <w:webHidden/>
              </w:rPr>
              <w:fldChar w:fldCharType="end"/>
            </w:r>
          </w:hyperlink>
        </w:p>
        <w:p w14:paraId="25293124" w14:textId="77777777" w:rsidR="0042300F" w:rsidRDefault="0042300F">
          <w:pPr>
            <w:pStyle w:val="TOC1"/>
            <w:tabs>
              <w:tab w:val="right" w:leader="dot" w:pos="9016"/>
            </w:tabs>
            <w:rPr>
              <w:rFonts w:eastAsiaTheme="minorEastAsia"/>
              <w:noProof/>
              <w:lang w:eastAsia="en-GB"/>
            </w:rPr>
          </w:pPr>
          <w:hyperlink w:anchor="_Toc236402806" w:history="1">
            <w:r w:rsidRPr="00B976AA">
              <w:rPr>
                <w:rStyle w:val="Hyperlink"/>
                <w:rFonts w:ascii="Arial" w:hAnsi="Arial" w:cs="Arial"/>
                <w:noProof/>
              </w:rPr>
              <w:t>2. Measuring and Monitoring Depression</w:t>
            </w:r>
            <w:r>
              <w:rPr>
                <w:noProof/>
                <w:webHidden/>
              </w:rPr>
              <w:tab/>
            </w:r>
            <w:r>
              <w:rPr>
                <w:noProof/>
                <w:webHidden/>
              </w:rPr>
              <w:fldChar w:fldCharType="begin"/>
            </w:r>
            <w:r>
              <w:rPr>
                <w:noProof/>
                <w:webHidden/>
              </w:rPr>
              <w:instrText xml:space="preserve"> PAGEREF _Toc236402806 \h </w:instrText>
            </w:r>
            <w:r>
              <w:rPr>
                <w:noProof/>
                <w:webHidden/>
              </w:rPr>
            </w:r>
            <w:r>
              <w:rPr>
                <w:noProof/>
                <w:webHidden/>
              </w:rPr>
              <w:fldChar w:fldCharType="separate"/>
            </w:r>
            <w:r>
              <w:rPr>
                <w:noProof/>
                <w:webHidden/>
              </w:rPr>
              <w:t>3</w:t>
            </w:r>
            <w:r>
              <w:rPr>
                <w:noProof/>
                <w:webHidden/>
              </w:rPr>
              <w:fldChar w:fldCharType="end"/>
            </w:r>
          </w:hyperlink>
        </w:p>
        <w:p w14:paraId="384EEC00" w14:textId="77777777" w:rsidR="0042300F" w:rsidRDefault="0042300F">
          <w:pPr>
            <w:pStyle w:val="TOC1"/>
            <w:tabs>
              <w:tab w:val="right" w:leader="dot" w:pos="9016"/>
            </w:tabs>
            <w:rPr>
              <w:rFonts w:eastAsiaTheme="minorEastAsia"/>
              <w:noProof/>
              <w:lang w:eastAsia="en-GB"/>
            </w:rPr>
          </w:pPr>
          <w:hyperlink w:anchor="_Toc236402807" w:history="1">
            <w:r w:rsidRPr="00B976AA">
              <w:rPr>
                <w:rStyle w:val="Hyperlink"/>
                <w:rFonts w:ascii="Arial" w:hAnsi="Arial" w:cs="Arial"/>
                <w:noProof/>
              </w:rPr>
              <w:t>3. Control of Depression</w:t>
            </w:r>
            <w:r>
              <w:rPr>
                <w:noProof/>
                <w:webHidden/>
              </w:rPr>
              <w:tab/>
            </w:r>
            <w:r>
              <w:rPr>
                <w:noProof/>
                <w:webHidden/>
              </w:rPr>
              <w:fldChar w:fldCharType="begin"/>
            </w:r>
            <w:r>
              <w:rPr>
                <w:noProof/>
                <w:webHidden/>
              </w:rPr>
              <w:instrText xml:space="preserve"> PAGEREF _Toc236402807 \h </w:instrText>
            </w:r>
            <w:r>
              <w:rPr>
                <w:noProof/>
                <w:webHidden/>
              </w:rPr>
            </w:r>
            <w:r>
              <w:rPr>
                <w:noProof/>
                <w:webHidden/>
              </w:rPr>
              <w:fldChar w:fldCharType="separate"/>
            </w:r>
            <w:r>
              <w:rPr>
                <w:noProof/>
                <w:webHidden/>
              </w:rPr>
              <w:t>4</w:t>
            </w:r>
            <w:r>
              <w:rPr>
                <w:noProof/>
                <w:webHidden/>
              </w:rPr>
              <w:fldChar w:fldCharType="end"/>
            </w:r>
          </w:hyperlink>
        </w:p>
        <w:p w14:paraId="46C07F23" w14:textId="77777777" w:rsidR="0042300F" w:rsidRDefault="0042300F">
          <w:pPr>
            <w:pStyle w:val="TOC1"/>
            <w:tabs>
              <w:tab w:val="right" w:leader="dot" w:pos="9016"/>
            </w:tabs>
            <w:rPr>
              <w:rFonts w:eastAsiaTheme="minorEastAsia"/>
              <w:noProof/>
              <w:lang w:eastAsia="en-GB"/>
            </w:rPr>
          </w:pPr>
          <w:hyperlink w:anchor="_Toc236402808" w:history="1">
            <w:r w:rsidRPr="00B976AA">
              <w:rPr>
                <w:rStyle w:val="Hyperlink"/>
                <w:rFonts w:ascii="Arial" w:hAnsi="Arial" w:cs="Arial"/>
                <w:noProof/>
              </w:rPr>
              <w:t>4. Consequences on Individuals and the Community</w:t>
            </w:r>
            <w:r>
              <w:rPr>
                <w:noProof/>
                <w:webHidden/>
              </w:rPr>
              <w:tab/>
            </w:r>
            <w:r>
              <w:rPr>
                <w:noProof/>
                <w:webHidden/>
              </w:rPr>
              <w:fldChar w:fldCharType="begin"/>
            </w:r>
            <w:r>
              <w:rPr>
                <w:noProof/>
                <w:webHidden/>
              </w:rPr>
              <w:instrText xml:space="preserve"> PAGEREF _Toc236402808 \h </w:instrText>
            </w:r>
            <w:r>
              <w:rPr>
                <w:noProof/>
                <w:webHidden/>
              </w:rPr>
            </w:r>
            <w:r>
              <w:rPr>
                <w:noProof/>
                <w:webHidden/>
              </w:rPr>
              <w:fldChar w:fldCharType="separate"/>
            </w:r>
            <w:r>
              <w:rPr>
                <w:noProof/>
                <w:webHidden/>
              </w:rPr>
              <w:t>4</w:t>
            </w:r>
            <w:r>
              <w:rPr>
                <w:noProof/>
                <w:webHidden/>
              </w:rPr>
              <w:fldChar w:fldCharType="end"/>
            </w:r>
          </w:hyperlink>
        </w:p>
        <w:p w14:paraId="61DA31F6" w14:textId="77777777" w:rsidR="0042300F" w:rsidRDefault="0042300F">
          <w:pPr>
            <w:pStyle w:val="TOC1"/>
            <w:tabs>
              <w:tab w:val="right" w:leader="dot" w:pos="9016"/>
            </w:tabs>
            <w:rPr>
              <w:rFonts w:eastAsiaTheme="minorEastAsia"/>
              <w:noProof/>
              <w:lang w:eastAsia="en-GB"/>
            </w:rPr>
          </w:pPr>
          <w:hyperlink w:anchor="_Toc236402809" w:history="1">
            <w:r w:rsidRPr="00B976AA">
              <w:rPr>
                <w:rStyle w:val="Hyperlink"/>
                <w:rFonts w:ascii="Arial" w:hAnsi="Arial" w:cs="Arial"/>
                <w:noProof/>
              </w:rPr>
              <w:t>5. Health and Social Care Support Services</w:t>
            </w:r>
            <w:r>
              <w:rPr>
                <w:noProof/>
                <w:webHidden/>
              </w:rPr>
              <w:tab/>
            </w:r>
            <w:r>
              <w:rPr>
                <w:noProof/>
                <w:webHidden/>
              </w:rPr>
              <w:fldChar w:fldCharType="begin"/>
            </w:r>
            <w:r>
              <w:rPr>
                <w:noProof/>
                <w:webHidden/>
              </w:rPr>
              <w:instrText xml:space="preserve"> PAGEREF _Toc236402809 \h </w:instrText>
            </w:r>
            <w:r>
              <w:rPr>
                <w:noProof/>
                <w:webHidden/>
              </w:rPr>
            </w:r>
            <w:r>
              <w:rPr>
                <w:noProof/>
                <w:webHidden/>
              </w:rPr>
              <w:fldChar w:fldCharType="separate"/>
            </w:r>
            <w:r>
              <w:rPr>
                <w:noProof/>
                <w:webHidden/>
              </w:rPr>
              <w:t>5</w:t>
            </w:r>
            <w:r>
              <w:rPr>
                <w:noProof/>
                <w:webHidden/>
              </w:rPr>
              <w:fldChar w:fldCharType="end"/>
            </w:r>
          </w:hyperlink>
        </w:p>
        <w:p w14:paraId="0ABB98D1" w14:textId="77777777" w:rsidR="0042300F" w:rsidRDefault="0042300F">
          <w:pPr>
            <w:pStyle w:val="TOC1"/>
            <w:tabs>
              <w:tab w:val="right" w:leader="dot" w:pos="9016"/>
            </w:tabs>
            <w:rPr>
              <w:rFonts w:eastAsiaTheme="minorEastAsia"/>
              <w:noProof/>
              <w:lang w:eastAsia="en-GB"/>
            </w:rPr>
          </w:pPr>
          <w:hyperlink w:anchor="_Toc236402810" w:history="1">
            <w:r w:rsidRPr="00B976AA">
              <w:rPr>
                <w:rStyle w:val="Hyperlink"/>
                <w:rFonts w:ascii="Arial" w:hAnsi="Arial" w:cs="Arial"/>
                <w:noProof/>
              </w:rPr>
              <w:t>6. Conclusion</w:t>
            </w:r>
            <w:r>
              <w:rPr>
                <w:noProof/>
                <w:webHidden/>
              </w:rPr>
              <w:tab/>
            </w:r>
            <w:r>
              <w:rPr>
                <w:noProof/>
                <w:webHidden/>
              </w:rPr>
              <w:fldChar w:fldCharType="begin"/>
            </w:r>
            <w:r>
              <w:rPr>
                <w:noProof/>
                <w:webHidden/>
              </w:rPr>
              <w:instrText xml:space="preserve"> PAGEREF _Toc236402810 \h </w:instrText>
            </w:r>
            <w:r>
              <w:rPr>
                <w:noProof/>
                <w:webHidden/>
              </w:rPr>
            </w:r>
            <w:r>
              <w:rPr>
                <w:noProof/>
                <w:webHidden/>
              </w:rPr>
              <w:fldChar w:fldCharType="separate"/>
            </w:r>
            <w:r>
              <w:rPr>
                <w:noProof/>
                <w:webHidden/>
              </w:rPr>
              <w:t>6</w:t>
            </w:r>
            <w:r>
              <w:rPr>
                <w:noProof/>
                <w:webHidden/>
              </w:rPr>
              <w:fldChar w:fldCharType="end"/>
            </w:r>
          </w:hyperlink>
        </w:p>
        <w:p w14:paraId="59E2335C" w14:textId="77777777" w:rsidR="0042300F" w:rsidRDefault="0042300F">
          <w:pPr>
            <w:pStyle w:val="TOC1"/>
            <w:tabs>
              <w:tab w:val="right" w:leader="dot" w:pos="9016"/>
            </w:tabs>
            <w:rPr>
              <w:rFonts w:eastAsiaTheme="minorEastAsia"/>
              <w:noProof/>
              <w:lang w:eastAsia="en-GB"/>
            </w:rPr>
          </w:pPr>
          <w:hyperlink w:anchor="_Toc236402811" w:history="1">
            <w:r w:rsidRPr="00B976AA">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_Toc236402811 \h </w:instrText>
            </w:r>
            <w:r>
              <w:rPr>
                <w:noProof/>
                <w:webHidden/>
              </w:rPr>
            </w:r>
            <w:r>
              <w:rPr>
                <w:noProof/>
                <w:webHidden/>
              </w:rPr>
              <w:fldChar w:fldCharType="separate"/>
            </w:r>
            <w:r>
              <w:rPr>
                <w:noProof/>
                <w:webHidden/>
              </w:rPr>
              <w:t>7</w:t>
            </w:r>
            <w:r>
              <w:rPr>
                <w:noProof/>
                <w:webHidden/>
              </w:rPr>
              <w:fldChar w:fldCharType="end"/>
            </w:r>
          </w:hyperlink>
        </w:p>
        <w:p w14:paraId="55D93B6B" w14:textId="77777777" w:rsidR="007F4C7C" w:rsidRDefault="007F4C7C">
          <w:r>
            <w:rPr>
              <w:b/>
              <w:bCs/>
              <w:noProof/>
            </w:rPr>
            <w:fldChar w:fldCharType="end"/>
          </w:r>
        </w:p>
      </w:sdtContent>
    </w:sdt>
    <w:p w14:paraId="09C96066" w14:textId="77777777" w:rsidR="007F4C7C" w:rsidRDefault="007F4C7C" w:rsidP="007F4C7C">
      <w:pPr>
        <w:spacing w:line="360" w:lineRule="auto"/>
        <w:jc w:val="both"/>
        <w:rPr>
          <w:rFonts w:ascii="Times New Roman" w:hAnsi="Times New Roman" w:cs="Times New Roman"/>
          <w:sz w:val="24"/>
        </w:rPr>
      </w:pPr>
    </w:p>
    <w:p w14:paraId="0D83EB72" w14:textId="77777777" w:rsidR="007F4C7C" w:rsidRDefault="007F4C7C" w:rsidP="007F4C7C">
      <w:pPr>
        <w:spacing w:line="360" w:lineRule="auto"/>
        <w:jc w:val="both"/>
        <w:rPr>
          <w:rFonts w:ascii="Times New Roman" w:hAnsi="Times New Roman" w:cs="Times New Roman"/>
          <w:sz w:val="24"/>
        </w:rPr>
      </w:pPr>
    </w:p>
    <w:p w14:paraId="18EC2558" w14:textId="77777777" w:rsidR="007F4C7C" w:rsidRDefault="007F4C7C" w:rsidP="007F4C7C">
      <w:pPr>
        <w:spacing w:line="360" w:lineRule="auto"/>
        <w:jc w:val="both"/>
        <w:rPr>
          <w:rFonts w:ascii="Times New Roman" w:hAnsi="Times New Roman" w:cs="Times New Roman"/>
          <w:sz w:val="24"/>
        </w:rPr>
      </w:pPr>
    </w:p>
    <w:p w14:paraId="36616BE6" w14:textId="77777777" w:rsidR="00586748" w:rsidRDefault="00586748" w:rsidP="007F4C7C">
      <w:pPr>
        <w:spacing w:line="360" w:lineRule="auto"/>
        <w:jc w:val="both"/>
        <w:rPr>
          <w:rFonts w:ascii="Times New Roman" w:hAnsi="Times New Roman" w:cs="Times New Roman"/>
          <w:sz w:val="24"/>
        </w:rPr>
      </w:pPr>
    </w:p>
    <w:p w14:paraId="5275229B" w14:textId="77777777" w:rsidR="00586748" w:rsidRDefault="00586748" w:rsidP="007F4C7C">
      <w:pPr>
        <w:spacing w:line="360" w:lineRule="auto"/>
        <w:jc w:val="both"/>
        <w:rPr>
          <w:rFonts w:ascii="Times New Roman" w:hAnsi="Times New Roman" w:cs="Times New Roman"/>
          <w:sz w:val="24"/>
        </w:rPr>
      </w:pPr>
    </w:p>
    <w:p w14:paraId="72BD7C28" w14:textId="77777777" w:rsidR="00586748" w:rsidRDefault="00586748" w:rsidP="007F4C7C">
      <w:pPr>
        <w:spacing w:line="360" w:lineRule="auto"/>
        <w:jc w:val="both"/>
        <w:rPr>
          <w:rFonts w:ascii="Times New Roman" w:hAnsi="Times New Roman" w:cs="Times New Roman"/>
          <w:sz w:val="24"/>
        </w:rPr>
      </w:pPr>
    </w:p>
    <w:p w14:paraId="6A51014A" w14:textId="77777777" w:rsidR="00586748" w:rsidRDefault="00586748" w:rsidP="007F4C7C">
      <w:pPr>
        <w:spacing w:line="360" w:lineRule="auto"/>
        <w:jc w:val="both"/>
        <w:rPr>
          <w:rFonts w:ascii="Times New Roman" w:hAnsi="Times New Roman" w:cs="Times New Roman"/>
          <w:sz w:val="24"/>
        </w:rPr>
      </w:pPr>
    </w:p>
    <w:p w14:paraId="40AB7057" w14:textId="77777777" w:rsidR="00586748" w:rsidRDefault="00586748" w:rsidP="007F4C7C">
      <w:pPr>
        <w:spacing w:line="360" w:lineRule="auto"/>
        <w:jc w:val="both"/>
        <w:rPr>
          <w:rFonts w:ascii="Times New Roman" w:hAnsi="Times New Roman" w:cs="Times New Roman"/>
          <w:sz w:val="24"/>
        </w:rPr>
      </w:pPr>
    </w:p>
    <w:p w14:paraId="0C018822" w14:textId="77777777" w:rsidR="00586748" w:rsidRDefault="00586748" w:rsidP="007F4C7C">
      <w:pPr>
        <w:spacing w:line="360" w:lineRule="auto"/>
        <w:jc w:val="both"/>
        <w:rPr>
          <w:rFonts w:ascii="Times New Roman" w:hAnsi="Times New Roman" w:cs="Times New Roman"/>
          <w:sz w:val="24"/>
        </w:rPr>
      </w:pPr>
    </w:p>
    <w:p w14:paraId="31D0419E" w14:textId="77777777" w:rsidR="00586748" w:rsidRDefault="00586748" w:rsidP="007F4C7C">
      <w:pPr>
        <w:spacing w:line="360" w:lineRule="auto"/>
        <w:jc w:val="both"/>
        <w:rPr>
          <w:rFonts w:ascii="Times New Roman" w:hAnsi="Times New Roman" w:cs="Times New Roman"/>
          <w:sz w:val="24"/>
        </w:rPr>
      </w:pPr>
    </w:p>
    <w:p w14:paraId="1D7205E5" w14:textId="77777777" w:rsidR="00586748" w:rsidRDefault="00586748" w:rsidP="007F4C7C">
      <w:pPr>
        <w:spacing w:line="360" w:lineRule="auto"/>
        <w:jc w:val="both"/>
        <w:rPr>
          <w:rFonts w:ascii="Times New Roman" w:hAnsi="Times New Roman" w:cs="Times New Roman"/>
          <w:sz w:val="24"/>
        </w:rPr>
      </w:pPr>
    </w:p>
    <w:p w14:paraId="3A58DE36" w14:textId="77777777" w:rsidR="00586748" w:rsidRDefault="00586748" w:rsidP="007F4C7C">
      <w:pPr>
        <w:spacing w:line="360" w:lineRule="auto"/>
        <w:jc w:val="both"/>
        <w:rPr>
          <w:rFonts w:ascii="Times New Roman" w:hAnsi="Times New Roman" w:cs="Times New Roman"/>
          <w:sz w:val="24"/>
        </w:rPr>
      </w:pPr>
    </w:p>
    <w:p w14:paraId="7E51840C" w14:textId="77777777" w:rsidR="00586748" w:rsidRDefault="00586748" w:rsidP="007F4C7C">
      <w:pPr>
        <w:spacing w:line="360" w:lineRule="auto"/>
        <w:jc w:val="both"/>
        <w:rPr>
          <w:rFonts w:ascii="Times New Roman" w:hAnsi="Times New Roman" w:cs="Times New Roman"/>
          <w:sz w:val="24"/>
        </w:rPr>
      </w:pPr>
    </w:p>
    <w:p w14:paraId="1843B6AD" w14:textId="77777777" w:rsidR="00586748" w:rsidRDefault="00586748" w:rsidP="007F4C7C">
      <w:pPr>
        <w:spacing w:line="360" w:lineRule="auto"/>
        <w:jc w:val="both"/>
        <w:rPr>
          <w:rFonts w:ascii="Times New Roman" w:hAnsi="Times New Roman" w:cs="Times New Roman"/>
          <w:sz w:val="24"/>
        </w:rPr>
      </w:pPr>
    </w:p>
    <w:p w14:paraId="78C3B721" w14:textId="77777777" w:rsidR="00586748" w:rsidRDefault="00586748" w:rsidP="007F4C7C">
      <w:pPr>
        <w:spacing w:line="360" w:lineRule="auto"/>
        <w:jc w:val="both"/>
        <w:rPr>
          <w:rFonts w:ascii="Times New Roman" w:hAnsi="Times New Roman" w:cs="Times New Roman"/>
          <w:sz w:val="24"/>
        </w:rPr>
      </w:pPr>
    </w:p>
    <w:p w14:paraId="0755543E" w14:textId="77777777" w:rsidR="00586748" w:rsidRDefault="00586748" w:rsidP="007F4C7C">
      <w:pPr>
        <w:spacing w:line="360" w:lineRule="auto"/>
        <w:jc w:val="both"/>
        <w:rPr>
          <w:rFonts w:ascii="Times New Roman" w:hAnsi="Times New Roman" w:cs="Times New Roman"/>
          <w:sz w:val="24"/>
        </w:rPr>
      </w:pPr>
    </w:p>
    <w:p w14:paraId="6F8D8DAF" w14:textId="77777777" w:rsidR="00586748" w:rsidRDefault="00586748" w:rsidP="007F4C7C">
      <w:pPr>
        <w:spacing w:line="360" w:lineRule="auto"/>
        <w:jc w:val="both"/>
        <w:rPr>
          <w:rFonts w:ascii="Times New Roman" w:hAnsi="Times New Roman" w:cs="Times New Roman"/>
          <w:sz w:val="24"/>
        </w:rPr>
      </w:pPr>
    </w:p>
    <w:p w14:paraId="24817780" w14:textId="77777777" w:rsidR="00586748" w:rsidRDefault="00586748" w:rsidP="007F4C7C">
      <w:pPr>
        <w:spacing w:line="360" w:lineRule="auto"/>
        <w:jc w:val="both"/>
        <w:rPr>
          <w:rFonts w:ascii="Times New Roman" w:hAnsi="Times New Roman" w:cs="Times New Roman"/>
          <w:sz w:val="24"/>
        </w:rPr>
      </w:pPr>
    </w:p>
    <w:p w14:paraId="15D225F8" w14:textId="77777777" w:rsidR="00586748" w:rsidRPr="002E0785" w:rsidRDefault="00240629" w:rsidP="004B2C2B">
      <w:pPr>
        <w:pStyle w:val="Heading1"/>
        <w:spacing w:line="360" w:lineRule="auto"/>
        <w:jc w:val="both"/>
        <w:rPr>
          <w:rFonts w:ascii="Arial" w:hAnsi="Arial" w:cs="Arial"/>
          <w:sz w:val="22"/>
          <w:szCs w:val="22"/>
        </w:rPr>
      </w:pPr>
      <w:bookmarkStart w:id="0" w:name="_Toc236402805"/>
      <w:r w:rsidRPr="002E0785">
        <w:rPr>
          <w:rFonts w:ascii="Arial" w:hAnsi="Arial" w:cs="Arial"/>
          <w:sz w:val="22"/>
          <w:szCs w:val="22"/>
        </w:rPr>
        <w:t>1. Introduction</w:t>
      </w:r>
      <w:bookmarkEnd w:id="0"/>
    </w:p>
    <w:p w14:paraId="3A0764F9" w14:textId="77777777" w:rsidR="00B85F95" w:rsidRPr="002E0785" w:rsidRDefault="00B85F95" w:rsidP="004B2C2B">
      <w:pPr>
        <w:spacing w:line="360" w:lineRule="auto"/>
        <w:jc w:val="both"/>
        <w:rPr>
          <w:rFonts w:ascii="Arial" w:hAnsi="Arial" w:cs="Arial"/>
        </w:rPr>
      </w:pPr>
      <w:r w:rsidRPr="002E0785">
        <w:rPr>
          <w:rFonts w:ascii="Arial" w:hAnsi="Arial" w:cs="Arial"/>
        </w:rPr>
        <w:t>Depression is a mental health condition defined by a constant state of unhappiness and discouragement, including a loss of interest and enjoyment in activities that were previously enjoyable. The most serious type of depression is a major depression, which is diagnosed when these symptoms last for at least two weeks and cause significant impairment in a person's work, school, home or personal relationships. Symptoms and signs include sadness, fatigue, trouble sleeping, loss of appetite, difficulty focusing, low self-esteem, and, for some, suicidal or self-destructive ideation. Depression is thought to affect around 280 million people globally and is one of the biggest causes of disability in the world. In the UK about 15% of adults are likely to suffer from moderate to severe depressive symptoms at some point in their lives. Depression is a major public health problem because it is common, costly, and has a signifi</w:t>
      </w:r>
      <w:r w:rsidR="009A155B">
        <w:rPr>
          <w:rFonts w:ascii="Arial" w:hAnsi="Arial" w:cs="Arial"/>
        </w:rPr>
        <w:t>cant impact on people, families</w:t>
      </w:r>
      <w:r w:rsidRPr="002E0785">
        <w:rPr>
          <w:rFonts w:ascii="Arial" w:hAnsi="Arial" w:cs="Arial"/>
        </w:rPr>
        <w:t xml:space="preserve"> and health services</w:t>
      </w:r>
      <w:r w:rsidR="009A155B">
        <w:rPr>
          <w:rFonts w:ascii="Arial" w:hAnsi="Arial" w:cs="Arial"/>
        </w:rPr>
        <w:t xml:space="preserve"> </w:t>
      </w:r>
      <w:r w:rsidR="009A155B">
        <w:rPr>
          <w:rFonts w:ascii="Arial" w:hAnsi="Arial" w:cs="Arial"/>
        </w:rPr>
        <w:fldChar w:fldCharType="begin"/>
      </w:r>
      <w:r w:rsidR="009A155B">
        <w:rPr>
          <w:rFonts w:ascii="Arial" w:hAnsi="Arial" w:cs="Arial"/>
        </w:rPr>
        <w:instrText xml:space="preserve"> ADDIN ZOTERO_ITEM CSL_CITATION {"citationID":"Cn77MN2h","properties":{"unsorted":false,"formattedCitation":"(Cruz-Gonzalez {\\i{}et al.}, 2025)","plainCitation":"(Cruz-Gonzalez et al., 2025)","noteIndex":0},"citationItems":[{"id":24105,"uris":["http://zotero.org/users/local/GWzaosOp/items/34B42ZQD"],"itemData":{"id":24105,"type":"article-journal","container-title":"Psychological medicine","page":"e18","publisher":"Cambridge University Press","source":"Google Scholar","title":"Artificial intelligence in mental health care: a systematic review of diagnosis, monitoring, and intervention applications","title-short":"Artificial intelligence in mental health care","volume":"55","author":[{"family":"Cruz-Gonzalez","given":"Pablo"},{"family":"He","given":"Aaron Wan-Jia"},{"family":"Lam","given":"Elly PoPo"},{"family":"Ng","given":"Ingrid Man Ching"},{"family":"Li","given":"Mandy Wingman"},{"family":"Hou","given":"Rangchun"},{"family":"Chan","given":"Jackie Ngai-Man"},{"family":"Sahni","given":"Yuvraj"},{"family":"Guasch","given":"Nestor Vinas"},{"family":"Miller","given":"Tiev"}],"issued":{"date-parts":[["2025"]]}}}],"schema":"https://github.com/citation-style-language/schema/raw/master/csl-citation.json"} </w:instrText>
      </w:r>
      <w:r w:rsidR="009A155B">
        <w:rPr>
          <w:rFonts w:ascii="Arial" w:hAnsi="Arial" w:cs="Arial"/>
        </w:rPr>
        <w:fldChar w:fldCharType="separate"/>
      </w:r>
      <w:r w:rsidR="009A155B" w:rsidRPr="009A155B">
        <w:rPr>
          <w:rFonts w:ascii="Arial" w:hAnsi="Arial" w:cs="Arial"/>
          <w:szCs w:val="24"/>
        </w:rPr>
        <w:t xml:space="preserve">(Cruz-Gonzalez </w:t>
      </w:r>
      <w:r w:rsidR="009A155B" w:rsidRPr="009A155B">
        <w:rPr>
          <w:rFonts w:ascii="Arial" w:hAnsi="Arial" w:cs="Arial"/>
          <w:i/>
          <w:iCs/>
          <w:szCs w:val="24"/>
        </w:rPr>
        <w:t>et al.</w:t>
      </w:r>
      <w:r w:rsidR="009A155B" w:rsidRPr="009A155B">
        <w:rPr>
          <w:rFonts w:ascii="Arial" w:hAnsi="Arial" w:cs="Arial"/>
          <w:szCs w:val="24"/>
        </w:rPr>
        <w:t>, 2025)</w:t>
      </w:r>
      <w:r w:rsidR="009A155B">
        <w:rPr>
          <w:rFonts w:ascii="Arial" w:hAnsi="Arial" w:cs="Arial"/>
        </w:rPr>
        <w:fldChar w:fldCharType="end"/>
      </w:r>
      <w:r w:rsidRPr="002E0785">
        <w:rPr>
          <w:rFonts w:ascii="Arial" w:hAnsi="Arial" w:cs="Arial"/>
        </w:rPr>
        <w:t>.</w:t>
      </w:r>
    </w:p>
    <w:p w14:paraId="48B9820B" w14:textId="77777777" w:rsidR="00B85F95" w:rsidRPr="002E0785" w:rsidRDefault="0026318C" w:rsidP="004B2C2B">
      <w:pPr>
        <w:pStyle w:val="Heading1"/>
        <w:spacing w:line="360" w:lineRule="auto"/>
        <w:jc w:val="both"/>
        <w:rPr>
          <w:rFonts w:ascii="Arial" w:hAnsi="Arial" w:cs="Arial"/>
          <w:sz w:val="22"/>
          <w:szCs w:val="22"/>
        </w:rPr>
      </w:pPr>
      <w:bookmarkStart w:id="1" w:name="_Toc236402806"/>
      <w:r>
        <w:rPr>
          <w:rFonts w:ascii="Arial" w:hAnsi="Arial" w:cs="Arial"/>
          <w:sz w:val="22"/>
          <w:szCs w:val="22"/>
        </w:rPr>
        <w:t>2</w:t>
      </w:r>
      <w:r w:rsidR="00BD6C55" w:rsidRPr="002E0785">
        <w:rPr>
          <w:rFonts w:ascii="Arial" w:hAnsi="Arial" w:cs="Arial"/>
          <w:sz w:val="22"/>
          <w:szCs w:val="22"/>
        </w:rPr>
        <w:t>. Measuring and Monitoring Depression</w:t>
      </w:r>
      <w:bookmarkEnd w:id="1"/>
    </w:p>
    <w:p w14:paraId="0FBEB4D1" w14:textId="77777777" w:rsidR="00B85F95" w:rsidRPr="002E0785" w:rsidRDefault="00B85F95" w:rsidP="004B2C2B">
      <w:pPr>
        <w:spacing w:line="360" w:lineRule="auto"/>
        <w:jc w:val="both"/>
        <w:rPr>
          <w:rFonts w:ascii="Arial" w:hAnsi="Arial" w:cs="Arial"/>
        </w:rPr>
      </w:pPr>
      <w:r w:rsidRPr="002E0785">
        <w:rPr>
          <w:rFonts w:ascii="Arial" w:hAnsi="Arial" w:cs="Arial"/>
        </w:rPr>
        <w:t>The accurate diagnosis, proper treatment and effective long-term management of depression requires doctors to measure and monitor the condition. The diagnosis and evaluation of depression both in a clinical context and as a public health problem rely on different diagnostic processes, such as clinical assessment, diagnostic criteria, screening processes and surveillance of populations. The first step in clinical assessment involves checking a person's symptoms in detail, medical history, family history and social history. The time frame of the symptoms, severity, previous depression, or risk factors for depression including substance abuse or a history of stre</w:t>
      </w:r>
      <w:r w:rsidR="00BD6C55" w:rsidRPr="002E0785">
        <w:rPr>
          <w:rFonts w:ascii="Arial" w:hAnsi="Arial" w:cs="Arial"/>
        </w:rPr>
        <w:t xml:space="preserve">ssful life events </w:t>
      </w:r>
      <w:proofErr w:type="gramStart"/>
      <w:r w:rsidR="00BD6C55" w:rsidRPr="002E0785">
        <w:rPr>
          <w:rFonts w:ascii="Arial" w:hAnsi="Arial" w:cs="Arial"/>
        </w:rPr>
        <w:t>are</w:t>
      </w:r>
      <w:proofErr w:type="gramEnd"/>
      <w:r w:rsidR="00BD6C55" w:rsidRPr="002E0785">
        <w:rPr>
          <w:rFonts w:ascii="Arial" w:hAnsi="Arial" w:cs="Arial"/>
        </w:rPr>
        <w:t xml:space="preserve"> assessed. </w:t>
      </w:r>
      <w:r w:rsidRPr="002E0785">
        <w:rPr>
          <w:rFonts w:ascii="Arial" w:hAnsi="Arial" w:cs="Arial"/>
        </w:rPr>
        <w:t xml:space="preserve">The diagnosis of depressive disorder is made according to the internationally recognised criteria of the Diagnostic and Statistical Manual of Mental Disorders (DSM-5) and ICD-11. In these cases, people need to feel sad and unenthusiastic for a long period of time and also experience some problems like fatigue, disturbed sleep, difficulty to concentrate, change of appetite, low </w:t>
      </w:r>
      <w:r w:rsidR="001F3B86" w:rsidRPr="002E0785">
        <w:rPr>
          <w:rFonts w:ascii="Arial" w:hAnsi="Arial" w:cs="Arial"/>
        </w:rPr>
        <w:t>self</w:t>
      </w:r>
      <w:r w:rsidR="001F3B86">
        <w:rPr>
          <w:rFonts w:ascii="Arial" w:hAnsi="Arial" w:cs="Arial"/>
        </w:rPr>
        <w:t xml:space="preserve">-worth </w:t>
      </w:r>
      <w:r w:rsidRPr="002E0785">
        <w:rPr>
          <w:rFonts w:ascii="Arial" w:hAnsi="Arial" w:cs="Arial"/>
        </w:rPr>
        <w:t>and suicidal ideas</w:t>
      </w:r>
      <w:r w:rsidR="009A155B">
        <w:rPr>
          <w:rFonts w:ascii="Arial" w:hAnsi="Arial" w:cs="Arial"/>
        </w:rPr>
        <w:t xml:space="preserve"> </w:t>
      </w:r>
      <w:r w:rsidR="009A155B">
        <w:rPr>
          <w:rFonts w:ascii="Arial" w:hAnsi="Arial" w:cs="Arial"/>
        </w:rPr>
        <w:fldChar w:fldCharType="begin"/>
      </w:r>
      <w:r w:rsidR="009A155B">
        <w:rPr>
          <w:rFonts w:ascii="Arial" w:hAnsi="Arial" w:cs="Arial"/>
        </w:rPr>
        <w:instrText xml:space="preserve"> ADDIN ZOTERO_ITEM CSL_CITATION {"citationID":"dy84o6Vr","properties":{"unsorted":false,"formattedCitation":"(Marx, Manger, {\\i{}et al.}, 2023)","plainCitation":"(Marx, Manger, et al., 2023)","noteIndex":0},"citationItems":[{"id":24099,"uris":["http://zotero.org/users/local/GWzaosOp/items/4QQ835LC"],"itemData":{"id":24099,"type":"article-journal","container-title":"The World Journal of Biological Psychiatry","DOI":"10.1080/15622975.2022.2112074","ISSN":"1562-2975, 1814-1412","issue":"5","journalAbbreviation":"The World Journal of Biological Psychiatry","language":"en","page":"333-386","source":"DOI.org (Crossref)","title":"Clinical guidelines for the use of lifestyle-based mental health care in major depressive disorder: World Federation of Societies for Biological Psychiatry (WFSBP) and Australasian Society of Lifestyle Medicine (ASLM) taskforce","title-short":"Clinical guidelines for the use of lifestyle-based mental health care in major depressive disorder","volume":"24","author":[{"family":"Marx","given":"Wolfgang"},{"family":"Manger","given":"Sam H."},{"family":"Blencowe","given":"Mark"},{"family":"Murray","given":"Greg"},{"family":"Ho","given":"Fiona Yan-Yee"},{"family":"Lawn","given":"Sharon"},{"family":"Blumenthal","given":"James A."},{"family":"Schuch","given":"Felipe"},{"family":"Stubbs","given":"Brendon"},{"family":"Ruusunen","given":"Anu"},{"family":"Desyibelew","given":"Hanna Demelash"},{"family":"Dinan","given":"Timothy G."},{"family":"Jacka","given":"Felice"},{"family":"Ravindran","given":"Arun"},{"family":"Berk","given":"Michael"},{"family":"O’Neil","given":"Adrienne"}],"issued":{"date-parts":[["2023",5,28]]}}}],"schema":"https://github.com/citation-style-language/schema/raw/master/csl-citation.json"} </w:instrText>
      </w:r>
      <w:r w:rsidR="009A155B">
        <w:rPr>
          <w:rFonts w:ascii="Arial" w:hAnsi="Arial" w:cs="Arial"/>
        </w:rPr>
        <w:fldChar w:fldCharType="separate"/>
      </w:r>
      <w:r w:rsidR="009A155B" w:rsidRPr="009A155B">
        <w:rPr>
          <w:rFonts w:ascii="Arial" w:hAnsi="Arial" w:cs="Arial"/>
          <w:szCs w:val="24"/>
        </w:rPr>
        <w:t xml:space="preserve">(Marx, Manger, </w:t>
      </w:r>
      <w:r w:rsidR="009A155B" w:rsidRPr="009A155B">
        <w:rPr>
          <w:rFonts w:ascii="Arial" w:hAnsi="Arial" w:cs="Arial"/>
          <w:i/>
          <w:iCs/>
          <w:szCs w:val="24"/>
        </w:rPr>
        <w:t>et al.</w:t>
      </w:r>
      <w:r w:rsidR="009A155B" w:rsidRPr="009A155B">
        <w:rPr>
          <w:rFonts w:ascii="Arial" w:hAnsi="Arial" w:cs="Arial"/>
          <w:szCs w:val="24"/>
        </w:rPr>
        <w:t>, 2023)</w:t>
      </w:r>
      <w:r w:rsidR="009A155B">
        <w:rPr>
          <w:rFonts w:ascii="Arial" w:hAnsi="Arial" w:cs="Arial"/>
        </w:rPr>
        <w:fldChar w:fldCharType="end"/>
      </w:r>
      <w:r w:rsidRPr="002E0785">
        <w:rPr>
          <w:rFonts w:ascii="Arial" w:hAnsi="Arial" w:cs="Arial"/>
        </w:rPr>
        <w:t xml:space="preserve">. </w:t>
      </w:r>
    </w:p>
    <w:p w14:paraId="222B8115" w14:textId="77777777" w:rsidR="00B85F95" w:rsidRPr="002E0785" w:rsidRDefault="00B85F95" w:rsidP="004B2C2B">
      <w:pPr>
        <w:spacing w:line="360" w:lineRule="auto"/>
        <w:jc w:val="both"/>
        <w:rPr>
          <w:rFonts w:ascii="Arial" w:hAnsi="Arial" w:cs="Arial"/>
        </w:rPr>
      </w:pPr>
      <w:r w:rsidRPr="002E0785">
        <w:rPr>
          <w:rFonts w:ascii="Arial" w:hAnsi="Arial" w:cs="Arial"/>
        </w:rPr>
        <w:t xml:space="preserve">Validated screening tools also help the clinician to gauge the severity of symptoms. Patient Health Questionnaire-9 (PHQ-9) is a common tool for measuring depressive symptoms and </w:t>
      </w:r>
      <w:r w:rsidRPr="002E0785">
        <w:rPr>
          <w:rFonts w:ascii="Arial" w:hAnsi="Arial" w:cs="Arial"/>
        </w:rPr>
        <w:lastRenderedPageBreak/>
        <w:t>treatment effectiveness in primary care. If anxiety is also suspected a Generalised Anxiety Disorder-7 (GAD-7) questionnaire may be used to assess symptoms of anxiety that often occur with depression. Patients also undergo a Mental State Examination or MSE by healthcare staff to review mood, behavioural and cognitive changes, thought processes, perception, and suicide risk, revealing a comp</w:t>
      </w:r>
      <w:r w:rsidR="00BD6C55" w:rsidRPr="002E0785">
        <w:rPr>
          <w:rFonts w:ascii="Arial" w:hAnsi="Arial" w:cs="Arial"/>
        </w:rPr>
        <w:t xml:space="preserve">lete overview of mental health. </w:t>
      </w:r>
      <w:r w:rsidRPr="002E0785">
        <w:rPr>
          <w:rFonts w:ascii="Arial" w:hAnsi="Arial" w:cs="Arial"/>
        </w:rPr>
        <w:t xml:space="preserve">The monitoring of depression at </w:t>
      </w:r>
      <w:r w:rsidR="004B2C2B">
        <w:rPr>
          <w:rFonts w:ascii="Arial" w:hAnsi="Arial" w:cs="Arial"/>
        </w:rPr>
        <w:t>the population level is done through</w:t>
      </w:r>
      <w:r w:rsidRPr="002E0785">
        <w:rPr>
          <w:rFonts w:ascii="Arial" w:hAnsi="Arial" w:cs="Arial"/>
        </w:rPr>
        <w:t xml:space="preserve"> national mental health surveys, GP records and Hospital Episode Statistics (HES). These data sources can provide information about prevalence of illness in children, patterns of medication use, hospital admissions and use of services. These outcomes are part of public health surveillance and can be used to target high-risk populations, track trends, assess mental health policies and allocate health care resources to these resources</w:t>
      </w:r>
      <w:r w:rsidR="009A155B">
        <w:rPr>
          <w:rFonts w:ascii="Arial" w:hAnsi="Arial" w:cs="Arial"/>
        </w:rPr>
        <w:t xml:space="preserve"> </w:t>
      </w:r>
      <w:r w:rsidR="009A155B">
        <w:rPr>
          <w:rFonts w:ascii="Arial" w:hAnsi="Arial" w:cs="Arial"/>
        </w:rPr>
        <w:fldChar w:fldCharType="begin"/>
      </w:r>
      <w:r w:rsidR="009A155B">
        <w:rPr>
          <w:rFonts w:ascii="Arial" w:hAnsi="Arial" w:cs="Arial"/>
        </w:rPr>
        <w:instrText xml:space="preserve"> ADDIN ZOTERO_ITEM CSL_CITATION {"citationID":"PCF0TfF9","properties":{"unsorted":false,"formattedCitation":"(Thapar {\\i{}et al.}, 2022)","plainCitation":"(Thapar et al., 2022)","noteIndex":0},"citationItems":[{"id":24090,"uris":["http://zotero.org/users/local/GWzaosOp/items/URAHM8K3"],"itemData":{"id":24090,"type":"article-journal","container-title":"The Lancet","issue":"10352","page":"617–631","publisher":"Elsevier","source":"Google Scholar","title":"Depression in young people","volume":"400","author":[{"family":"Thapar","given":"Anita"},{"family":"Eyre","given":"Olga"},{"family":"Patel","given":"Vikram"},{"family":"Brent","given":"David"}],"issued":{"date-parts":[["2022"]]}}}],"schema":"https://github.com/citation-style-language/schema/raw/master/csl-citation.json"} </w:instrText>
      </w:r>
      <w:r w:rsidR="009A155B">
        <w:rPr>
          <w:rFonts w:ascii="Arial" w:hAnsi="Arial" w:cs="Arial"/>
        </w:rPr>
        <w:fldChar w:fldCharType="separate"/>
      </w:r>
      <w:r w:rsidR="009A155B" w:rsidRPr="009A155B">
        <w:rPr>
          <w:rFonts w:ascii="Arial" w:hAnsi="Arial" w:cs="Arial"/>
          <w:szCs w:val="24"/>
        </w:rPr>
        <w:t xml:space="preserve">(Thapar </w:t>
      </w:r>
      <w:r w:rsidR="009A155B" w:rsidRPr="009A155B">
        <w:rPr>
          <w:rFonts w:ascii="Arial" w:hAnsi="Arial" w:cs="Arial"/>
          <w:i/>
          <w:iCs/>
          <w:szCs w:val="24"/>
        </w:rPr>
        <w:t>et al.</w:t>
      </w:r>
      <w:r w:rsidR="009A155B" w:rsidRPr="009A155B">
        <w:rPr>
          <w:rFonts w:ascii="Arial" w:hAnsi="Arial" w:cs="Arial"/>
          <w:szCs w:val="24"/>
        </w:rPr>
        <w:t>, 2022)</w:t>
      </w:r>
      <w:r w:rsidR="009A155B">
        <w:rPr>
          <w:rFonts w:ascii="Arial" w:hAnsi="Arial" w:cs="Arial"/>
        </w:rPr>
        <w:fldChar w:fldCharType="end"/>
      </w:r>
      <w:r w:rsidRPr="002E0785">
        <w:rPr>
          <w:rFonts w:ascii="Arial" w:hAnsi="Arial" w:cs="Arial"/>
        </w:rPr>
        <w:t xml:space="preserve">. </w:t>
      </w:r>
    </w:p>
    <w:p w14:paraId="7A03BD38" w14:textId="77777777" w:rsidR="00B85F95" w:rsidRPr="002E0785" w:rsidRDefault="0026318C" w:rsidP="004B2C2B">
      <w:pPr>
        <w:pStyle w:val="Heading1"/>
        <w:spacing w:line="360" w:lineRule="auto"/>
        <w:jc w:val="both"/>
        <w:rPr>
          <w:rFonts w:ascii="Arial" w:hAnsi="Arial" w:cs="Arial"/>
          <w:sz w:val="22"/>
          <w:szCs w:val="22"/>
        </w:rPr>
      </w:pPr>
      <w:bookmarkStart w:id="2" w:name="_Toc236402807"/>
      <w:r>
        <w:rPr>
          <w:rFonts w:ascii="Arial" w:hAnsi="Arial" w:cs="Arial"/>
          <w:sz w:val="22"/>
          <w:szCs w:val="22"/>
        </w:rPr>
        <w:t>3</w:t>
      </w:r>
      <w:r w:rsidR="00B85F95" w:rsidRPr="002E0785">
        <w:rPr>
          <w:rFonts w:ascii="Arial" w:hAnsi="Arial" w:cs="Arial"/>
          <w:sz w:val="22"/>
          <w:szCs w:val="22"/>
        </w:rPr>
        <w:t>. Control of Depression</w:t>
      </w:r>
      <w:bookmarkEnd w:id="2"/>
    </w:p>
    <w:p w14:paraId="7C7F0F31" w14:textId="77777777" w:rsidR="00B85F95" w:rsidRPr="002E0785" w:rsidRDefault="00B85F95" w:rsidP="004B2C2B">
      <w:pPr>
        <w:spacing w:line="360" w:lineRule="auto"/>
        <w:jc w:val="both"/>
        <w:rPr>
          <w:rFonts w:ascii="Arial" w:hAnsi="Arial" w:cs="Arial"/>
        </w:rPr>
      </w:pPr>
      <w:r w:rsidRPr="002E0785">
        <w:rPr>
          <w:rFonts w:ascii="Arial" w:hAnsi="Arial" w:cs="Arial"/>
        </w:rPr>
        <w:t>A holistic strategy should be employed for the prevention, early detection, effective treatment and ongoing support of depression. Preventative strategies include prevention-focused mental health education, awareness campaigns across the community, workplace wellbeing programmes, and work to minimize the stigma around mental illness. These campaigns promote early intervention and educat</w:t>
      </w:r>
      <w:r w:rsidR="00BD6C55" w:rsidRPr="002E0785">
        <w:rPr>
          <w:rFonts w:ascii="Arial" w:hAnsi="Arial" w:cs="Arial"/>
        </w:rPr>
        <w:t xml:space="preserve">e communities about depression. </w:t>
      </w:r>
      <w:r w:rsidRPr="002E0785">
        <w:rPr>
          <w:rFonts w:ascii="Arial" w:hAnsi="Arial" w:cs="Arial"/>
        </w:rPr>
        <w:t>Early identification is important as diagnosis and intervention early decreases the level of symptoms and increases recovery as a result. Primary healthcare screening and identification within high-risk populations facilitates earlier detection of depression. Food, water and all other aspects of lifestyle also are part of a key element in the management of symptoms. Exercise, a healthy diet, a daily routine of getting plenty of sleep, coping with stress, limiting alcohol intake, and keeping a social life have all been known to boost mental health an</w:t>
      </w:r>
      <w:r w:rsidR="00BD6C55" w:rsidRPr="002E0785">
        <w:rPr>
          <w:rFonts w:ascii="Arial" w:hAnsi="Arial" w:cs="Arial"/>
        </w:rPr>
        <w:t>d lower the risk of depression</w:t>
      </w:r>
      <w:r w:rsidR="009A155B">
        <w:rPr>
          <w:rFonts w:ascii="Arial" w:hAnsi="Arial" w:cs="Arial"/>
        </w:rPr>
        <w:t xml:space="preserve"> </w:t>
      </w:r>
      <w:r w:rsidR="009A155B">
        <w:rPr>
          <w:rFonts w:ascii="Arial" w:hAnsi="Arial" w:cs="Arial"/>
        </w:rPr>
        <w:fldChar w:fldCharType="begin"/>
      </w:r>
      <w:r w:rsidR="009A155B">
        <w:rPr>
          <w:rFonts w:ascii="Arial" w:hAnsi="Arial" w:cs="Arial"/>
        </w:rPr>
        <w:instrText xml:space="preserve"> ADDIN ZOTERO_ITEM CSL_CITATION {"citationID":"9nGvcEKG","properties":{"unsorted":false,"formattedCitation":"(Naseem {\\i{}et al.}, 2022)","plainCitation":"(Naseem et al., 2022)","noteIndex":0},"citationItems":[{"id":24107,"uris":["http://zotero.org/users/local/GWzaosOp/items/K6KYB6VR"],"itemData":{"id":24107,"type":"paper-conference","container-title":"Proceedings of the ACM Web Conference 2022","DOI":"10.1145/3485447.3512128","event-title":"WWW '22: The ACM Web Conference 2022","ISBN":"978-1-4503-9096-5","language":"en","page":"2563-2572","publisher":"ACM","publisher-place":"Virtual Event, Lyon France","source":"DOI.org (Crossref)","title":"Early Identification of Depression Severity Levels on Reddit Using Ordinal Classification","URL":"https://dl.acm.org/doi/10.1145/3485447.3512128","author":[{"family":"Naseem","given":"Usman"},{"family":"Dunn","given":"Adam G."},{"family":"Kim","given":"Jinman"},{"family":"Khushi","given":"Matloob"}],"accessed":{"date-parts":[["2026",7,2]]},"issued":{"date-parts":[["2022",4,25]]}}}],"schema":"https://github.com/citation-style-language/schema/raw/master/csl-citation.json"} </w:instrText>
      </w:r>
      <w:r w:rsidR="009A155B">
        <w:rPr>
          <w:rFonts w:ascii="Arial" w:hAnsi="Arial" w:cs="Arial"/>
        </w:rPr>
        <w:fldChar w:fldCharType="separate"/>
      </w:r>
      <w:r w:rsidR="009A155B" w:rsidRPr="009A155B">
        <w:rPr>
          <w:rFonts w:ascii="Arial" w:hAnsi="Arial" w:cs="Arial"/>
          <w:szCs w:val="24"/>
        </w:rPr>
        <w:t xml:space="preserve">(Naseem </w:t>
      </w:r>
      <w:r w:rsidR="009A155B" w:rsidRPr="009A155B">
        <w:rPr>
          <w:rFonts w:ascii="Arial" w:hAnsi="Arial" w:cs="Arial"/>
          <w:i/>
          <w:iCs/>
          <w:szCs w:val="24"/>
        </w:rPr>
        <w:t>et al.</w:t>
      </w:r>
      <w:r w:rsidR="009A155B" w:rsidRPr="009A155B">
        <w:rPr>
          <w:rFonts w:ascii="Arial" w:hAnsi="Arial" w:cs="Arial"/>
          <w:szCs w:val="24"/>
        </w:rPr>
        <w:t>, 2022)</w:t>
      </w:r>
      <w:r w:rsidR="009A155B">
        <w:rPr>
          <w:rFonts w:ascii="Arial" w:hAnsi="Arial" w:cs="Arial"/>
        </w:rPr>
        <w:fldChar w:fldCharType="end"/>
      </w:r>
      <w:r w:rsidR="00BD6C55" w:rsidRPr="002E0785">
        <w:rPr>
          <w:rFonts w:ascii="Arial" w:hAnsi="Arial" w:cs="Arial"/>
        </w:rPr>
        <w:t>.</w:t>
      </w:r>
    </w:p>
    <w:p w14:paraId="3176C2C3" w14:textId="77777777" w:rsidR="00B85F95" w:rsidRPr="002E0785" w:rsidRDefault="00B85F95" w:rsidP="004B2C2B">
      <w:pPr>
        <w:spacing w:line="360" w:lineRule="auto"/>
        <w:jc w:val="both"/>
        <w:rPr>
          <w:rFonts w:ascii="Arial" w:hAnsi="Arial" w:cs="Arial"/>
        </w:rPr>
      </w:pPr>
      <w:r w:rsidRPr="002E0785">
        <w:rPr>
          <w:rFonts w:ascii="Arial" w:hAnsi="Arial" w:cs="Arial"/>
        </w:rPr>
        <w:t xml:space="preserve">For many people, psychological treatments are viewed as a first line of treatment for depression. CBT is used to identify and modify negative thinking patterns or </w:t>
      </w:r>
      <w:r w:rsidR="00BD6C55" w:rsidRPr="002E0785">
        <w:rPr>
          <w:rFonts w:ascii="Arial" w:hAnsi="Arial" w:cs="Arial"/>
        </w:rPr>
        <w:t>behaviours</w:t>
      </w:r>
      <w:r w:rsidRPr="002E0785">
        <w:rPr>
          <w:rFonts w:ascii="Arial" w:hAnsi="Arial" w:cs="Arial"/>
        </w:rPr>
        <w:t>, and counselling or interpersonal therapy offers emotional support and coping strategies. Antidepressant medications, such as Selective Serotonin Reuptake Inhibitors (SSRIs), that help to balance brain chemicals important for mood may be needed for people who experience moderate to severe depression. To ensure the success and monitor side effects, medication should be regularly reviewed.</w:t>
      </w:r>
      <w:r w:rsidR="00BD6C55" w:rsidRPr="002E0785">
        <w:rPr>
          <w:rFonts w:ascii="Arial" w:hAnsi="Arial" w:cs="Arial"/>
        </w:rPr>
        <w:t xml:space="preserve"> </w:t>
      </w:r>
      <w:r w:rsidRPr="002E0785">
        <w:rPr>
          <w:rFonts w:ascii="Arial" w:hAnsi="Arial" w:cs="Arial"/>
        </w:rPr>
        <w:t>A combination therapy can be used for many patients with greater benefits in long-term treatment. Those with very depressed mood or suicidal ideation may need some level of crisis intervention such as emergency psychiatric evaluation, crisis team or brief hospitalization. Once the individual recovers</w:t>
      </w:r>
      <w:r w:rsidR="00936440">
        <w:rPr>
          <w:rFonts w:ascii="Arial" w:hAnsi="Arial" w:cs="Arial"/>
        </w:rPr>
        <w:t xml:space="preserve"> successfully</w:t>
      </w:r>
      <w:r w:rsidRPr="002E0785">
        <w:rPr>
          <w:rFonts w:ascii="Arial" w:hAnsi="Arial" w:cs="Arial"/>
        </w:rPr>
        <w:t>, relapse prevention is key, requiring regular check-ins, ongoing treatment, patient education, and knowing the signs of relapse</w:t>
      </w:r>
      <w:r w:rsidR="009A155B">
        <w:rPr>
          <w:rFonts w:ascii="Arial" w:hAnsi="Arial" w:cs="Arial"/>
        </w:rPr>
        <w:t xml:space="preserve"> </w:t>
      </w:r>
      <w:r w:rsidR="009A155B">
        <w:rPr>
          <w:rFonts w:ascii="Arial" w:hAnsi="Arial" w:cs="Arial"/>
        </w:rPr>
        <w:fldChar w:fldCharType="begin"/>
      </w:r>
      <w:r w:rsidR="009A155B">
        <w:rPr>
          <w:rFonts w:ascii="Arial" w:hAnsi="Arial" w:cs="Arial"/>
        </w:rPr>
        <w:instrText xml:space="preserve"> ADDIN ZOTERO_ITEM CSL_CITATION {"citationID":"TotpBd3R","properties":{"unsorted":false,"formattedCitation":"(Davis and Goldfield, 2025)","plainCitation":"(Davis and Goldfield, 2025)","noteIndex":0},"citationItems":[{"id":24093,"uris":["http://zotero.org/users/local/GWzaosOp/items/3EZDM229"],"itemData":{"id":24093,"type":"article-journal","container-title":"Psychology of Popular Media","issue":"1","page":"1","publisher":"Educational Publishing Foundation","source":"Google Scholar","title":"Limiting social media use decreases depression, anxiety, and fear of missing out in youth with emotional distress: A randomized controlled trial.","title-short":"Limiting social media use decreases depression, anxiety, and fear of missing out in youth with emotional distress","volume":"14","author":[{"family":"Davis","given":"Christopher G."},{"family":"Goldfield","given":"Gary S."}],"issued":{"date-parts":[["2025"]]}}}],"schema":"https://github.com/citation-style-language/schema/raw/master/csl-citation.json"} </w:instrText>
      </w:r>
      <w:r w:rsidR="009A155B">
        <w:rPr>
          <w:rFonts w:ascii="Arial" w:hAnsi="Arial" w:cs="Arial"/>
        </w:rPr>
        <w:fldChar w:fldCharType="separate"/>
      </w:r>
      <w:r w:rsidR="009A155B" w:rsidRPr="009A155B">
        <w:rPr>
          <w:rFonts w:ascii="Arial" w:hAnsi="Arial" w:cs="Arial"/>
        </w:rPr>
        <w:t>(Davis and Goldfield, 2025)</w:t>
      </w:r>
      <w:r w:rsidR="009A155B">
        <w:rPr>
          <w:rFonts w:ascii="Arial" w:hAnsi="Arial" w:cs="Arial"/>
        </w:rPr>
        <w:fldChar w:fldCharType="end"/>
      </w:r>
      <w:r w:rsidRPr="002E0785">
        <w:rPr>
          <w:rFonts w:ascii="Arial" w:hAnsi="Arial" w:cs="Arial"/>
        </w:rPr>
        <w:t xml:space="preserve">. </w:t>
      </w:r>
    </w:p>
    <w:p w14:paraId="341A8556" w14:textId="77777777" w:rsidR="00B85F95" w:rsidRPr="002E0785" w:rsidRDefault="0026318C" w:rsidP="004B2C2B">
      <w:pPr>
        <w:pStyle w:val="Heading1"/>
        <w:spacing w:line="360" w:lineRule="auto"/>
        <w:jc w:val="both"/>
        <w:rPr>
          <w:rFonts w:ascii="Arial" w:hAnsi="Arial" w:cs="Arial"/>
          <w:sz w:val="22"/>
          <w:szCs w:val="22"/>
        </w:rPr>
      </w:pPr>
      <w:bookmarkStart w:id="3" w:name="_Toc236402808"/>
      <w:r>
        <w:rPr>
          <w:rFonts w:ascii="Arial" w:hAnsi="Arial" w:cs="Arial"/>
          <w:sz w:val="22"/>
          <w:szCs w:val="22"/>
        </w:rPr>
        <w:lastRenderedPageBreak/>
        <w:t>4</w:t>
      </w:r>
      <w:r w:rsidR="00BD6C55" w:rsidRPr="002E0785">
        <w:rPr>
          <w:rFonts w:ascii="Arial" w:hAnsi="Arial" w:cs="Arial"/>
          <w:sz w:val="22"/>
          <w:szCs w:val="22"/>
        </w:rPr>
        <w:t>. Consequences on Individuals and the Community</w:t>
      </w:r>
      <w:bookmarkEnd w:id="3"/>
    </w:p>
    <w:p w14:paraId="787A0D8E" w14:textId="77777777" w:rsidR="00B85F95" w:rsidRPr="002E0785" w:rsidRDefault="00B85F95" w:rsidP="004B2C2B">
      <w:pPr>
        <w:spacing w:line="360" w:lineRule="auto"/>
        <w:jc w:val="both"/>
        <w:rPr>
          <w:rFonts w:ascii="Arial" w:hAnsi="Arial" w:cs="Arial"/>
        </w:rPr>
      </w:pPr>
      <w:r w:rsidRPr="002E0785">
        <w:rPr>
          <w:rFonts w:ascii="Arial" w:hAnsi="Arial" w:cs="Arial"/>
        </w:rPr>
        <w:t>Depression can have a profound impact on people, families, communities and health systems. Its effects are physically manifested as fatigue, insomnia, loss of appetite, persistent pain and lower resistance. Depression has also been linked to greater incidence of chronic diseases like cardiovascular disease and diabetes, wh</w:t>
      </w:r>
      <w:r w:rsidR="00BD6C55" w:rsidRPr="002E0785">
        <w:rPr>
          <w:rFonts w:ascii="Arial" w:hAnsi="Arial" w:cs="Arial"/>
        </w:rPr>
        <w:t>ich results in poorer health</w:t>
      </w:r>
      <w:r w:rsidR="009A155B">
        <w:rPr>
          <w:rFonts w:ascii="Arial" w:hAnsi="Arial" w:cs="Arial"/>
        </w:rPr>
        <w:t xml:space="preserve"> </w:t>
      </w:r>
      <w:r w:rsidR="009A155B">
        <w:rPr>
          <w:rFonts w:ascii="Arial" w:hAnsi="Arial" w:cs="Arial"/>
        </w:rPr>
        <w:fldChar w:fldCharType="begin"/>
      </w:r>
      <w:r w:rsidR="009A155B">
        <w:rPr>
          <w:rFonts w:ascii="Arial" w:hAnsi="Arial" w:cs="Arial"/>
        </w:rPr>
        <w:instrText xml:space="preserve"> ADDIN ZOTERO_ITEM CSL_CITATION {"citationID":"hen5ACC9","properties":{"unsorted":false,"formattedCitation":"(Marx, Penninx, {\\i{}et al.}, 2023)","plainCitation":"(Marx, Penninx, et al., 2023)","noteIndex":0},"citationItems":[{"id":24089,"uris":["http://zotero.org/users/local/GWzaosOp/items/JLQJUJIN"],"itemData":{"id":24089,"type":"article-journal","container-title":"Nature Reviews Disease Primers","issue":"1","page":"44","publisher":"Nature Publishing Group UK London","source":"Google Scholar","title":"Major depressive disorder","volume":"9","author":[{"family":"Marx","given":"Wolfgang"},{"family":"Penninx","given":"Brenda WJH"},{"family":"Solmi","given":"Marco"},{"family":"Furukawa","given":"Toshi A."},{"family":"Firth","given":"Joseph"},{"family":"Carvalho","given":"Andre F."},{"family":"Berk","given":"Michael"}],"issued":{"date-parts":[["2023"]]}}}],"schema":"https://github.com/citation-style-language/schema/raw/master/csl-citation.json"} </w:instrText>
      </w:r>
      <w:r w:rsidR="009A155B">
        <w:rPr>
          <w:rFonts w:ascii="Arial" w:hAnsi="Arial" w:cs="Arial"/>
        </w:rPr>
        <w:fldChar w:fldCharType="separate"/>
      </w:r>
      <w:r w:rsidR="009A155B" w:rsidRPr="009A155B">
        <w:rPr>
          <w:rFonts w:ascii="Arial" w:hAnsi="Arial" w:cs="Arial"/>
          <w:szCs w:val="24"/>
        </w:rPr>
        <w:t xml:space="preserve">(Marx, Penninx, </w:t>
      </w:r>
      <w:r w:rsidR="009A155B" w:rsidRPr="009A155B">
        <w:rPr>
          <w:rFonts w:ascii="Arial" w:hAnsi="Arial" w:cs="Arial"/>
          <w:i/>
          <w:iCs/>
          <w:szCs w:val="24"/>
        </w:rPr>
        <w:t>et al.</w:t>
      </w:r>
      <w:r w:rsidR="009A155B" w:rsidRPr="009A155B">
        <w:rPr>
          <w:rFonts w:ascii="Arial" w:hAnsi="Arial" w:cs="Arial"/>
          <w:szCs w:val="24"/>
        </w:rPr>
        <w:t>, 2023)</w:t>
      </w:r>
      <w:r w:rsidR="009A155B">
        <w:rPr>
          <w:rFonts w:ascii="Arial" w:hAnsi="Arial" w:cs="Arial"/>
        </w:rPr>
        <w:fldChar w:fldCharType="end"/>
      </w:r>
      <w:r w:rsidR="00BD6C55" w:rsidRPr="002E0785">
        <w:rPr>
          <w:rFonts w:ascii="Arial" w:hAnsi="Arial" w:cs="Arial"/>
        </w:rPr>
        <w:t xml:space="preserve">. </w:t>
      </w:r>
      <w:r w:rsidRPr="002E0785">
        <w:rPr>
          <w:rFonts w:ascii="Arial" w:hAnsi="Arial" w:cs="Arial"/>
        </w:rPr>
        <w:t>On an emotional level, depression withers away the pleasure of life and increases its difficulty, inducing feelings of sadness and lack of hope, decreasing in self-esteem, and less motivation. An elevated risk of suicide, especially in more severely depressed or untreated patients is one of the most serious outcomes. Prompt identification and early intervention is consequently important in pr</w:t>
      </w:r>
      <w:r w:rsidR="00BD6C55" w:rsidRPr="002E0785">
        <w:rPr>
          <w:rFonts w:ascii="Arial" w:hAnsi="Arial" w:cs="Arial"/>
        </w:rPr>
        <w:t>eventing self-harm and suicide</w:t>
      </w:r>
      <w:r w:rsidR="009A155B">
        <w:rPr>
          <w:rFonts w:ascii="Arial" w:hAnsi="Arial" w:cs="Arial"/>
        </w:rPr>
        <w:t xml:space="preserve"> </w:t>
      </w:r>
      <w:r w:rsidR="009A155B">
        <w:rPr>
          <w:rFonts w:ascii="Arial" w:hAnsi="Arial" w:cs="Arial"/>
        </w:rPr>
        <w:fldChar w:fldCharType="begin"/>
      </w:r>
      <w:r w:rsidR="009A155B">
        <w:rPr>
          <w:rFonts w:ascii="Arial" w:hAnsi="Arial" w:cs="Arial"/>
        </w:rPr>
        <w:instrText xml:space="preserve"> ADDIN ZOTERO_ITEM CSL_CITATION {"citationID":"ojud3s8U","properties":{"unsorted":false,"formattedCitation":"(Johnson {\\i{}et al.}, 2022)","plainCitation":"(Johnson et al., 2022)","noteIndex":0},"citationItems":[{"id":24091,"uris":["http://zotero.org/users/local/GWzaosOp/items/CGWFMKIZ"],"itemData":{"id":24091,"type":"article-journal","abstract":"Abstract\n            \n              Drawing on the tenets of family stress theory, the aim of this study is to examine parents' perceived stress, symptoms of anxiety, depression, and associated risk</w:instrText>
      </w:r>
      <w:r w:rsidR="009A155B">
        <w:rPr>
          <w:rFonts w:ascii="Cambria Math" w:hAnsi="Cambria Math" w:cs="Cambria Math"/>
        </w:rPr>
        <w:instrText>‐</w:instrText>
      </w:r>
      <w:r w:rsidR="009A155B">
        <w:rPr>
          <w:rFonts w:ascii="Arial" w:hAnsi="Arial" w:cs="Arial"/>
        </w:rPr>
        <w:instrText xml:space="preserve"> and protective factors across demographic subgroups during in the first wave of the COVID</w:instrText>
      </w:r>
      <w:r w:rsidR="009A155B">
        <w:rPr>
          <w:rFonts w:ascii="Cambria Math" w:hAnsi="Cambria Math" w:cs="Cambria Math"/>
        </w:rPr>
        <w:instrText>‐</w:instrText>
      </w:r>
      <w:r w:rsidR="009A155B">
        <w:rPr>
          <w:rFonts w:ascii="Arial" w:hAnsi="Arial" w:cs="Arial"/>
        </w:rPr>
        <w:instrText>19 pandemic. Norwegian parents (\n              N\n               = 2868; 79.5% mothers) with &gt;1 child under 18 years of age completed an online survey two weeks after the implementation of government</w:instrText>
      </w:r>
      <w:r w:rsidR="009A155B">
        <w:rPr>
          <w:rFonts w:ascii="Cambria Math" w:hAnsi="Cambria Math" w:cs="Cambria Math"/>
        </w:rPr>
        <w:instrText>‐</w:instrText>
      </w:r>
      <w:r w:rsidR="009A155B">
        <w:rPr>
          <w:rFonts w:ascii="Arial" w:hAnsi="Arial" w:cs="Arial"/>
        </w:rPr>
        <w:instrText>initiated distancing measures. The survey includes measures of COVID</w:instrText>
      </w:r>
      <w:r w:rsidR="009A155B">
        <w:rPr>
          <w:rFonts w:ascii="Cambria Math" w:hAnsi="Cambria Math" w:cs="Cambria Math"/>
        </w:rPr>
        <w:instrText>‐</w:instrText>
      </w:r>
      <w:r w:rsidR="009A155B">
        <w:rPr>
          <w:rFonts w:ascii="Arial" w:hAnsi="Arial" w:cs="Arial"/>
        </w:rPr>
        <w:instrText>related risk factors (parental stress, burnout, depression, anxiety, anger of parents towards children, difficulty working from home, and positive beliefs about worry) and protective factors (self</w:instrText>
      </w:r>
      <w:r w:rsidR="009A155B">
        <w:rPr>
          <w:rFonts w:ascii="Cambria Math" w:hAnsi="Cambria Math" w:cs="Cambria Math"/>
        </w:rPr>
        <w:instrText>‐</w:instrText>
      </w:r>
      <w:r w:rsidR="009A155B">
        <w:rPr>
          <w:rFonts w:ascii="Arial" w:hAnsi="Arial" w:cs="Arial"/>
        </w:rPr>
        <w:instrText>efficacy and social support). Mothers, parents living with more than one child, and parents with a psychiatric diagnosis reported greater levels of parental stress, more burnout, and more anger towards their children, as well as less social support. Almost 25% of the parents reported anxiety and depression that are clinically significant. Parents who followed distancing measures reported significantly higher distress. Anger of parents towards children explains 41% of the variation in parental stress. These findings indicate that parents have experienced symptoms of deteriorated mental health due to the COVID</w:instrText>
      </w:r>
      <w:r w:rsidR="009A155B">
        <w:rPr>
          <w:rFonts w:ascii="Cambria Math" w:hAnsi="Cambria Math" w:cs="Cambria Math"/>
        </w:rPr>
        <w:instrText>‐</w:instrText>
      </w:r>
      <w:r w:rsidR="009A155B">
        <w:rPr>
          <w:rFonts w:ascii="Arial" w:hAnsi="Arial" w:cs="Arial"/>
        </w:rPr>
        <w:instrText xml:space="preserve"> 19 pandemic, including parental stress, anxiety, and depression. The study presents practical implications for meso</w:instrText>
      </w:r>
      <w:r w:rsidR="009A155B">
        <w:rPr>
          <w:rFonts w:ascii="Cambria Math" w:hAnsi="Cambria Math" w:cs="Cambria Math"/>
        </w:rPr>
        <w:instrText>‐</w:instrText>
      </w:r>
      <w:r w:rsidR="009A155B">
        <w:rPr>
          <w:rFonts w:ascii="Arial" w:hAnsi="Arial" w:cs="Arial"/>
        </w:rPr>
        <w:instrText xml:space="preserve"> and macro</w:instrText>
      </w:r>
      <w:r w:rsidR="009A155B">
        <w:rPr>
          <w:rFonts w:ascii="Cambria Math" w:hAnsi="Cambria Math" w:cs="Cambria Math"/>
        </w:rPr>
        <w:instrText>‐</w:instrText>
      </w:r>
      <w:r w:rsidR="009A155B">
        <w:rPr>
          <w:rFonts w:ascii="Arial" w:hAnsi="Arial" w:cs="Arial"/>
        </w:rPr>
        <w:instrText>level policymaking and offers support to further the potential aims of public health and clinical interventions. Future studies to monitor long</w:instrText>
      </w:r>
      <w:r w:rsidR="009A155B">
        <w:rPr>
          <w:rFonts w:ascii="Cambria Math" w:hAnsi="Cambria Math" w:cs="Cambria Math"/>
        </w:rPr>
        <w:instrText>‐</w:instrText>
      </w:r>
      <w:r w:rsidR="009A155B">
        <w:rPr>
          <w:rFonts w:ascii="Arial" w:hAnsi="Arial" w:cs="Arial"/>
        </w:rPr>
        <w:instrText>term aversive mental health outcomes among parents are warranted.","container-title":"Stress and Health","DOI":"10.1002/smi.3120","ISSN":"1532-3005, 1532-2998","issue":"4","journalAbbreviation":"Stress and Health","language":"en","page":"637-652","source":"DOI.org (Crossref)","title":"Parenting in a Pandemic: Parental stress, anxiety and depression among parents during the government</w:instrText>
      </w:r>
      <w:r w:rsidR="009A155B">
        <w:rPr>
          <w:rFonts w:ascii="Cambria Math" w:hAnsi="Cambria Math" w:cs="Cambria Math"/>
        </w:rPr>
        <w:instrText>‐</w:instrText>
      </w:r>
      <w:r w:rsidR="009A155B">
        <w:rPr>
          <w:rFonts w:ascii="Arial" w:hAnsi="Arial" w:cs="Arial"/>
        </w:rPr>
        <w:instrText>initiated physical distancing measures following the first wave of COVID</w:instrText>
      </w:r>
      <w:r w:rsidR="009A155B">
        <w:rPr>
          <w:rFonts w:ascii="Cambria Math" w:hAnsi="Cambria Math" w:cs="Cambria Math"/>
        </w:rPr>
        <w:instrText>‐</w:instrText>
      </w:r>
      <w:r w:rsidR="009A155B">
        <w:rPr>
          <w:rFonts w:ascii="Arial" w:hAnsi="Arial" w:cs="Arial"/>
        </w:rPr>
        <w:instrText xml:space="preserve">19","title-short":"Parenting in a Pandemic","volume":"38","author":[{"family":"Johnson","given":"Miriam S."},{"family":"Skjerdingstad","given":"Nora"},{"family":"Ebrahimi","given":"Omid V."},{"family":"Hoffart","given":"Asle"},{"family":"Johnson","given":"Sverre Urnes"}],"issued":{"date-parts":[["2022",10]]}}}],"schema":"https://github.com/citation-style-language/schema/raw/master/csl-citation.json"} </w:instrText>
      </w:r>
      <w:r w:rsidR="009A155B">
        <w:rPr>
          <w:rFonts w:ascii="Arial" w:hAnsi="Arial" w:cs="Arial"/>
        </w:rPr>
        <w:fldChar w:fldCharType="separate"/>
      </w:r>
      <w:r w:rsidR="009A155B" w:rsidRPr="009A155B">
        <w:rPr>
          <w:rFonts w:ascii="Arial" w:hAnsi="Arial" w:cs="Arial"/>
          <w:szCs w:val="24"/>
        </w:rPr>
        <w:t xml:space="preserve">(Johnson </w:t>
      </w:r>
      <w:r w:rsidR="009A155B" w:rsidRPr="009A155B">
        <w:rPr>
          <w:rFonts w:ascii="Arial" w:hAnsi="Arial" w:cs="Arial"/>
          <w:i/>
          <w:iCs/>
          <w:szCs w:val="24"/>
        </w:rPr>
        <w:t>et al.</w:t>
      </w:r>
      <w:r w:rsidR="009A155B" w:rsidRPr="009A155B">
        <w:rPr>
          <w:rFonts w:ascii="Arial" w:hAnsi="Arial" w:cs="Arial"/>
          <w:szCs w:val="24"/>
        </w:rPr>
        <w:t>, 2022)</w:t>
      </w:r>
      <w:r w:rsidR="009A155B">
        <w:rPr>
          <w:rFonts w:ascii="Arial" w:hAnsi="Arial" w:cs="Arial"/>
        </w:rPr>
        <w:fldChar w:fldCharType="end"/>
      </w:r>
      <w:r w:rsidR="00BD6C55" w:rsidRPr="002E0785">
        <w:rPr>
          <w:rFonts w:ascii="Arial" w:hAnsi="Arial" w:cs="Arial"/>
        </w:rPr>
        <w:t>.</w:t>
      </w:r>
    </w:p>
    <w:p w14:paraId="7D66EE34" w14:textId="77777777" w:rsidR="00240629" w:rsidRPr="002E0785" w:rsidRDefault="00B85F95" w:rsidP="004B2C2B">
      <w:pPr>
        <w:spacing w:line="360" w:lineRule="auto"/>
        <w:jc w:val="both"/>
        <w:rPr>
          <w:rFonts w:ascii="Arial" w:hAnsi="Arial" w:cs="Arial"/>
        </w:rPr>
      </w:pPr>
      <w:r w:rsidRPr="002E0785">
        <w:rPr>
          <w:rFonts w:ascii="Arial" w:hAnsi="Arial" w:cs="Arial"/>
        </w:rPr>
        <w:t>Depression also has an impact on relationships and social or occupational functioning. People tend to isolate from loved ones and family members, which causes conflict, stress and can contribute to caregiver burden. Depression has also a negative impact on education, along with learning loss, low productivity, absenteeism, poor job performance and</w:t>
      </w:r>
      <w:r w:rsidR="00BD6C55" w:rsidRPr="002E0785">
        <w:rPr>
          <w:rFonts w:ascii="Arial" w:hAnsi="Arial" w:cs="Arial"/>
        </w:rPr>
        <w:t xml:space="preserve"> unemployment in the workplace. </w:t>
      </w:r>
      <w:r w:rsidRPr="002E0785">
        <w:rPr>
          <w:rFonts w:ascii="Arial" w:hAnsi="Arial" w:cs="Arial"/>
        </w:rPr>
        <w:t>The community is also heavily affected, with significant economic and social consequences. The added costs would be to GP consultations, specialist treatment, hospital admission and long-term mental health care for healthcare systems. Lower productivity and work disability in the workplace also contribute to financial strain of society. In addition, many people suffer from social isolation due to the depression, which inhibits them from participating in community affairs or social relations and contacts. There is ongoing stigma surrounding mental illness that deters people from seeking professional assistance, thus causing late diagnosis and treatment. Thus the depression is not only a public health problem, but also a major social and economic problem that demands the synchronized action of public health</w:t>
      </w:r>
      <w:r w:rsidR="009A155B">
        <w:rPr>
          <w:rFonts w:ascii="Arial" w:hAnsi="Arial" w:cs="Arial"/>
        </w:rPr>
        <w:t xml:space="preserve"> </w:t>
      </w:r>
      <w:r w:rsidR="009A155B">
        <w:rPr>
          <w:rFonts w:ascii="Arial" w:hAnsi="Arial" w:cs="Arial"/>
        </w:rPr>
        <w:fldChar w:fldCharType="begin"/>
      </w:r>
      <w:r w:rsidR="009A155B">
        <w:rPr>
          <w:rFonts w:ascii="Arial" w:hAnsi="Arial" w:cs="Arial"/>
        </w:rPr>
        <w:instrText xml:space="preserve"> ADDIN ZOTERO_ITEM CSL_CITATION {"citationID":"3Qri3aYS","properties":{"unsorted":false,"formattedCitation":"(Saharoy {\\i{}et al.}, 2023)","plainCitation":"(Saharoy et al., 2023)","noteIndex":0},"citationItems":[{"id":24102,"uris":["http://zotero.org/users/local/GWzaosOp/items/TWLFAM2D"],"itemData":{"id":24102,"type":"article-journal","container-title":"Cureus","issue":"7","publisher":"Cureus","source":"Google Scholar","title":"Postpartum depression and maternal care: exploring the complex effects on mothers and infants","title-short":"Postpartum depression and maternal care","URL":"https://www.cureus.com/articles/165878","volume":"15","author":[{"family":"Saharoy","given":"Rishika"},{"family":"Potdukhe","given":"Ashwini"},{"family":"Wanjari","given":"Mayur"},{"family":"Taksande","given":"Avinash B."}],"accessed":{"date-parts":[["2026",7,2]]},"issued":{"date-parts":[["2023"]]}}}],"schema":"https://github.com/citation-style-language/schema/raw/master/csl-citation.json"} </w:instrText>
      </w:r>
      <w:r w:rsidR="009A155B">
        <w:rPr>
          <w:rFonts w:ascii="Arial" w:hAnsi="Arial" w:cs="Arial"/>
        </w:rPr>
        <w:fldChar w:fldCharType="separate"/>
      </w:r>
      <w:r w:rsidR="009A155B" w:rsidRPr="009A155B">
        <w:rPr>
          <w:rFonts w:ascii="Arial" w:hAnsi="Arial" w:cs="Arial"/>
          <w:szCs w:val="24"/>
        </w:rPr>
        <w:t xml:space="preserve">(Saharoy </w:t>
      </w:r>
      <w:r w:rsidR="009A155B" w:rsidRPr="009A155B">
        <w:rPr>
          <w:rFonts w:ascii="Arial" w:hAnsi="Arial" w:cs="Arial"/>
          <w:i/>
          <w:iCs/>
          <w:szCs w:val="24"/>
        </w:rPr>
        <w:t>et al.</w:t>
      </w:r>
      <w:r w:rsidR="009A155B" w:rsidRPr="009A155B">
        <w:rPr>
          <w:rFonts w:ascii="Arial" w:hAnsi="Arial" w:cs="Arial"/>
          <w:szCs w:val="24"/>
        </w:rPr>
        <w:t>, 2023)</w:t>
      </w:r>
      <w:r w:rsidR="009A155B">
        <w:rPr>
          <w:rFonts w:ascii="Arial" w:hAnsi="Arial" w:cs="Arial"/>
        </w:rPr>
        <w:fldChar w:fldCharType="end"/>
      </w:r>
      <w:r w:rsidRPr="002E0785">
        <w:rPr>
          <w:rFonts w:ascii="Arial" w:hAnsi="Arial" w:cs="Arial"/>
        </w:rPr>
        <w:t>.</w:t>
      </w:r>
    </w:p>
    <w:p w14:paraId="70CD3733" w14:textId="77777777" w:rsidR="00BD6C55" w:rsidRPr="002E0785" w:rsidRDefault="0026318C" w:rsidP="004B2C2B">
      <w:pPr>
        <w:pStyle w:val="Heading1"/>
        <w:spacing w:line="360" w:lineRule="auto"/>
        <w:jc w:val="both"/>
        <w:rPr>
          <w:rFonts w:ascii="Arial" w:hAnsi="Arial" w:cs="Arial"/>
          <w:sz w:val="22"/>
          <w:szCs w:val="22"/>
        </w:rPr>
      </w:pPr>
      <w:bookmarkStart w:id="4" w:name="_Toc236402809"/>
      <w:r>
        <w:rPr>
          <w:rFonts w:ascii="Arial" w:hAnsi="Arial" w:cs="Arial"/>
          <w:sz w:val="22"/>
          <w:szCs w:val="22"/>
        </w:rPr>
        <w:t>5</w:t>
      </w:r>
      <w:r w:rsidR="002E0785" w:rsidRPr="002E0785">
        <w:rPr>
          <w:rFonts w:ascii="Arial" w:hAnsi="Arial" w:cs="Arial"/>
          <w:sz w:val="22"/>
          <w:szCs w:val="22"/>
        </w:rPr>
        <w:t xml:space="preserve">. </w:t>
      </w:r>
      <w:r w:rsidR="00BD6C55" w:rsidRPr="002E0785">
        <w:rPr>
          <w:rFonts w:ascii="Arial" w:hAnsi="Arial" w:cs="Arial"/>
          <w:sz w:val="22"/>
          <w:szCs w:val="22"/>
        </w:rPr>
        <w:t>Health and Social Care Support Services</w:t>
      </w:r>
      <w:bookmarkEnd w:id="4"/>
    </w:p>
    <w:p w14:paraId="0BCB988A" w14:textId="77777777" w:rsidR="00BD6C55" w:rsidRPr="002E0785" w:rsidRDefault="00BD6C55" w:rsidP="004B2C2B">
      <w:pPr>
        <w:spacing w:line="360" w:lineRule="auto"/>
        <w:jc w:val="both"/>
        <w:rPr>
          <w:rFonts w:ascii="Arial" w:hAnsi="Arial" w:cs="Arial"/>
        </w:rPr>
      </w:pPr>
      <w:r w:rsidRPr="002E0785">
        <w:rPr>
          <w:rFonts w:ascii="Arial" w:hAnsi="Arial" w:cs="Arial"/>
        </w:rPr>
        <w:t>People with depression need integrated health and social health services that focus on clinical and broader social and environmental needs. General Practitioners (GPs) often provide initial assessment, initial treatment, medication and, if needed, refer patients for specialist mental health services. Regular aftercare appointments are also use</w:t>
      </w:r>
      <w:r w:rsidR="002E0785" w:rsidRPr="002E0785">
        <w:rPr>
          <w:rFonts w:ascii="Arial" w:hAnsi="Arial" w:cs="Arial"/>
        </w:rPr>
        <w:t xml:space="preserve">d to track a person's recovery. </w:t>
      </w:r>
      <w:r w:rsidRPr="002E0785">
        <w:rPr>
          <w:rFonts w:ascii="Arial" w:hAnsi="Arial" w:cs="Arial"/>
        </w:rPr>
        <w:t>A Community Mental Health Team (CMHT) is a team of mental health professionals, which includes psychiatrists, clinical psychologists, mental health nurses, occupational therapists and social workers. Clinical psychologists deliver evidence-based therapies, like the Cognitive Behavioural Therapy, to clients suffering from severe depression, and psychiatrists diagnose complex cases, dispense specialist medication, and manage the more serious depression. Mental health nurses manage the medication, provide psychoeducation, provide emotional support, and condu</w:t>
      </w:r>
      <w:r w:rsidR="002E0785" w:rsidRPr="002E0785">
        <w:rPr>
          <w:rFonts w:ascii="Arial" w:hAnsi="Arial" w:cs="Arial"/>
        </w:rPr>
        <w:t>ct continuous risk assessments</w:t>
      </w:r>
      <w:r w:rsidR="009A155B">
        <w:rPr>
          <w:rFonts w:ascii="Arial" w:hAnsi="Arial" w:cs="Arial"/>
        </w:rPr>
        <w:t xml:space="preserve"> </w:t>
      </w:r>
      <w:r w:rsidR="009A155B">
        <w:rPr>
          <w:rFonts w:ascii="Arial" w:hAnsi="Arial" w:cs="Arial"/>
        </w:rPr>
        <w:fldChar w:fldCharType="begin"/>
      </w:r>
      <w:r w:rsidR="009A155B">
        <w:rPr>
          <w:rFonts w:ascii="Arial" w:hAnsi="Arial" w:cs="Arial"/>
        </w:rPr>
        <w:instrText xml:space="preserve"> ADDIN ZOTERO_ITEM CSL_CITATION {"citationID":"34mpulFz","properties":{"unsorted":false,"formattedCitation":"(\\uc0\\u199{}i\\uc0\\u775{}\\uc0\\u231{}ek {\\i{}et al.}, 2024)","plainCitation":"(Çi̇çek et al., 2024)","noteIndex":0},"citationItems":[{"id":24095,"uris":["http://zotero.org/users/local/GWzaosOp/items/2VELVD9F"],"itemData":{"id":24095,"type":"article-journal","container-title":"Psihologija","issue":"2","page":"177","source":"Google Scholar","title":"Problematic Social Media Use, Satisfaction with Life, and Levels of Depressive Symptoms in University Students during the COVID-19 Pandemic: Mediation Role of Social Support.","title-short":"Problematic Social Media Use, Satisfaction with Life, and Levels of Depressive Symptoms in University Students during the COVID-19 Pandemic","volume":"57","author":[{"family":"Çi̇çek","given":"İlhan"},{"family":"Şanlı","given":"Mehmet Emin"},{"family":"Arslan","given":"Gökmen"},{"family":"Yıldırım","given":"Murat"}],"issued":{"date-parts":[["2024"]]}}}],"schema":"https://github.com/citation-style-language/schema/raw/master/csl-citation.json"} </w:instrText>
      </w:r>
      <w:r w:rsidR="009A155B">
        <w:rPr>
          <w:rFonts w:ascii="Arial" w:hAnsi="Arial" w:cs="Arial"/>
        </w:rPr>
        <w:fldChar w:fldCharType="separate"/>
      </w:r>
      <w:r w:rsidR="009A155B" w:rsidRPr="009A155B">
        <w:rPr>
          <w:rFonts w:ascii="Arial" w:hAnsi="Arial" w:cs="Arial"/>
          <w:szCs w:val="24"/>
        </w:rPr>
        <w:t xml:space="preserve">(Çi̇çek </w:t>
      </w:r>
      <w:r w:rsidR="009A155B" w:rsidRPr="009A155B">
        <w:rPr>
          <w:rFonts w:ascii="Arial" w:hAnsi="Arial" w:cs="Arial"/>
          <w:i/>
          <w:iCs/>
          <w:szCs w:val="24"/>
        </w:rPr>
        <w:t>et al.</w:t>
      </w:r>
      <w:r w:rsidR="009A155B" w:rsidRPr="009A155B">
        <w:rPr>
          <w:rFonts w:ascii="Arial" w:hAnsi="Arial" w:cs="Arial"/>
          <w:szCs w:val="24"/>
        </w:rPr>
        <w:t>, 2024)</w:t>
      </w:r>
      <w:r w:rsidR="009A155B">
        <w:rPr>
          <w:rFonts w:ascii="Arial" w:hAnsi="Arial" w:cs="Arial"/>
        </w:rPr>
        <w:fldChar w:fldCharType="end"/>
      </w:r>
      <w:r w:rsidR="002E0785" w:rsidRPr="002E0785">
        <w:rPr>
          <w:rFonts w:ascii="Arial" w:hAnsi="Arial" w:cs="Arial"/>
        </w:rPr>
        <w:t>.</w:t>
      </w:r>
    </w:p>
    <w:p w14:paraId="1CA7A719" w14:textId="77777777" w:rsidR="00BD6C55" w:rsidRPr="002E0785" w:rsidRDefault="00BD6C55" w:rsidP="004B2C2B">
      <w:pPr>
        <w:spacing w:line="360" w:lineRule="auto"/>
        <w:jc w:val="both"/>
        <w:rPr>
          <w:rFonts w:ascii="Arial" w:hAnsi="Arial" w:cs="Arial"/>
        </w:rPr>
      </w:pPr>
      <w:r w:rsidRPr="002E0785">
        <w:rPr>
          <w:rFonts w:ascii="Arial" w:hAnsi="Arial" w:cs="Arial"/>
        </w:rPr>
        <w:lastRenderedPageBreak/>
        <w:t>Social workers help others find homes, money, jobs, and community services to promote social wellness. The occupational therapist assists patients to become more independent, focus on daily living skills and in their return to school or work. Emergency mental health teams dispense speedy comfort to those in extreme distress, and, as far as possible, they det</w:t>
      </w:r>
      <w:r w:rsidR="002E0785" w:rsidRPr="002E0785">
        <w:rPr>
          <w:rFonts w:ascii="Arial" w:hAnsi="Arial" w:cs="Arial"/>
        </w:rPr>
        <w:t xml:space="preserve">ain and hospitalize the person. </w:t>
      </w:r>
      <w:r w:rsidRPr="002E0785">
        <w:rPr>
          <w:rFonts w:ascii="Arial" w:hAnsi="Arial" w:cs="Arial"/>
        </w:rPr>
        <w:t>Peer support groups are a great way to communicate and feel not alone, and gain confidence while on the road to recovery</w:t>
      </w:r>
      <w:r w:rsidR="009A155B">
        <w:rPr>
          <w:rFonts w:ascii="Arial" w:hAnsi="Arial" w:cs="Arial"/>
        </w:rPr>
        <w:t xml:space="preserve"> </w:t>
      </w:r>
      <w:r w:rsidR="009A155B">
        <w:rPr>
          <w:rFonts w:ascii="Arial" w:hAnsi="Arial" w:cs="Arial"/>
        </w:rPr>
        <w:fldChar w:fldCharType="begin"/>
      </w:r>
      <w:r w:rsidR="009A155B">
        <w:rPr>
          <w:rFonts w:ascii="Arial" w:hAnsi="Arial" w:cs="Arial"/>
        </w:rPr>
        <w:instrText xml:space="preserve"> ADDIN ZOTERO_ITEM CSL_CITATION {"citationID":"4YTIRspo","properties":{"unsorted":false,"formattedCitation":"(Woody {\\i{}et al.}, 2022)","plainCitation":"(Woody et al., 2022)","noteIndex":0},"citationItems":[{"id":24106,"uris":["http://zotero.org/users/local/GWzaosOp/items/2RW3398Q"],"itemData":{"id":24106,"type":"article-journal","abstract":"There are known disparities in the burden of illness and access/quality of care for African, Latino/a, Asian, and Native American (ALANA) patients diagnosed with depressive disorders, which may occur because of health inequities. Racial stress and trauma (RST), or the significant fear and distress that can be imparted from exposure to racism, is one such inequity linked to the development of depression. The current review summarizes past research examining the association between racism, RST, and depression, as well as avenues in which RST becomes biologically embedded in ALANA individuals. We describe multimodal research that supports vigilance as a potential mediator of the association between RST and depression and consider the nuanced role that vigilance plays during experiences with racism. Finally, we describe methodological advances in the assessment of vigilance evoked by RST and the clinical implications that may be generated by future improvements. In each of these areas, we present examples of how ongoing and future research can be leveraged to provide support for psychosocial programs that facilitate autonomous community healing and resilience, increase calls for public policy changes, and support clinical interventions that lessen the burden of racism on ALANA communities.","container-title":"Chronic Stress","DOI":"10.1177/24705470221118574","ISSN":"2470-5470, 2470-5470","journalAbbreviation":"Chronic Stress","language":"en","page":"24705470221118574","source":"DOI.org (Crossref)","title":"Racial Stress and Trauma and the Development of Adolescent Depression: A Review of the Role of Vigilance Evoked by Racism-Related Threat","title-short":"Racial Stress and Trauma and the Development of Adolescent Depression","volume":"6","author":[{"family":"Woody","given":"Mary L."},{"family":"Bell","given":"Elizabeth C."},{"family":"Cruz","given":"Nicolas A."},{"family":"Wears","given":"Anna"},{"family":"Anderson","given":"Riana E."},{"family":"Price","given":"Rebecca B."}],"issued":{"date-parts":[["2022",1]]}}}],"schema":"https://github.com/citation-style-language/schema/raw/master/csl-citation.json"} </w:instrText>
      </w:r>
      <w:r w:rsidR="009A155B">
        <w:rPr>
          <w:rFonts w:ascii="Arial" w:hAnsi="Arial" w:cs="Arial"/>
        </w:rPr>
        <w:fldChar w:fldCharType="separate"/>
      </w:r>
      <w:r w:rsidR="009A155B" w:rsidRPr="009A155B">
        <w:rPr>
          <w:rFonts w:ascii="Arial" w:hAnsi="Arial" w:cs="Arial"/>
          <w:szCs w:val="24"/>
        </w:rPr>
        <w:t xml:space="preserve">(Woody </w:t>
      </w:r>
      <w:r w:rsidR="009A155B" w:rsidRPr="009A155B">
        <w:rPr>
          <w:rFonts w:ascii="Arial" w:hAnsi="Arial" w:cs="Arial"/>
          <w:i/>
          <w:iCs/>
          <w:szCs w:val="24"/>
        </w:rPr>
        <w:t>et al.</w:t>
      </w:r>
      <w:r w:rsidR="009A155B" w:rsidRPr="009A155B">
        <w:rPr>
          <w:rFonts w:ascii="Arial" w:hAnsi="Arial" w:cs="Arial"/>
          <w:szCs w:val="24"/>
        </w:rPr>
        <w:t>, 2022)</w:t>
      </w:r>
      <w:r w:rsidR="009A155B">
        <w:rPr>
          <w:rFonts w:ascii="Arial" w:hAnsi="Arial" w:cs="Arial"/>
        </w:rPr>
        <w:fldChar w:fldCharType="end"/>
      </w:r>
      <w:r w:rsidRPr="002E0785">
        <w:rPr>
          <w:rFonts w:ascii="Arial" w:hAnsi="Arial" w:cs="Arial"/>
        </w:rPr>
        <w:t>. Family members also are important in their emotional support and their encouragement to take tr</w:t>
      </w:r>
      <w:r w:rsidR="002E0785" w:rsidRPr="002E0785">
        <w:rPr>
          <w:rFonts w:ascii="Arial" w:hAnsi="Arial" w:cs="Arial"/>
        </w:rPr>
        <w:t xml:space="preserve">eatment. </w:t>
      </w:r>
      <w:r w:rsidRPr="002E0785">
        <w:rPr>
          <w:rFonts w:ascii="Arial" w:hAnsi="Arial" w:cs="Arial"/>
        </w:rPr>
        <w:t>Digital mental health packages, such as online counselling, modern medicine sessions and mental health apps have been increasingly making mental health care more accessible, especially to people who are socially and geographically disadvantaged. Lastly, structured programmes are based on relapse prevention, social inclusion, vocational rehabilitation and sustained well-being. These holistic services work together to encourage person-centred care and enhance the quality of life for those with depression</w:t>
      </w:r>
      <w:r w:rsidR="009A155B">
        <w:rPr>
          <w:rFonts w:ascii="Arial" w:hAnsi="Arial" w:cs="Arial"/>
        </w:rPr>
        <w:t xml:space="preserve"> </w:t>
      </w:r>
      <w:r w:rsidR="009A155B">
        <w:rPr>
          <w:rFonts w:ascii="Arial" w:hAnsi="Arial" w:cs="Arial"/>
        </w:rPr>
        <w:fldChar w:fldCharType="begin"/>
      </w:r>
      <w:r w:rsidR="009A155B">
        <w:rPr>
          <w:rFonts w:ascii="Arial" w:hAnsi="Arial" w:cs="Arial"/>
        </w:rPr>
        <w:instrText xml:space="preserve"> ADDIN ZOTERO_ITEM CSL_CITATION {"citationID":"hwnKNqyj","properties":{"unsorted":false,"formattedCitation":"(Force {\\i{}et al.}, 2023)","plainCitation":"(Force et al., 2023)","noteIndex":0},"citationItems":[{"id":24100,"uris":["http://zotero.org/users/local/GWzaosOp/items/DCP99R4X"],"itemData":{"id":24100,"type":"article-journal","container-title":"Jama","issue":"23","page":"2057–2067","source":"Google Scholar","title":"Screening for depression and suicide risk in adults: US Preventive Services Task Force recommendation statement","title-short":"Screening for depression and suicide risk in adults","volume":"329","author":[{"family":"Force","given":"US Preventive Services Task"},{"family":"Barry","given":"Michael J."},{"family":"Nicholson","given":"Wanda K."},{"family":"Silverstein","given":"Michael"},{"family":"Chelmow","given":"David"},{"family":"Coker","given":"Tumaini Rucker"},{"family":"Davidson","given":"Karina W."},{"family":"Davis","given":"Esa M."},{"family":"Donahue","given":"Katrina E."},{"family":"Jaén","given":"Carlos Roberto"}],"issued":{"date-parts":[["2023"]]}}}],"schema":"https://github.com/citation-style-language/schema/raw/master/csl-citation.json"} </w:instrText>
      </w:r>
      <w:r w:rsidR="009A155B">
        <w:rPr>
          <w:rFonts w:ascii="Arial" w:hAnsi="Arial" w:cs="Arial"/>
        </w:rPr>
        <w:fldChar w:fldCharType="separate"/>
      </w:r>
      <w:r w:rsidR="009A155B" w:rsidRPr="009A155B">
        <w:rPr>
          <w:rFonts w:ascii="Arial" w:hAnsi="Arial" w:cs="Arial"/>
          <w:szCs w:val="24"/>
        </w:rPr>
        <w:t xml:space="preserve">(Force </w:t>
      </w:r>
      <w:r w:rsidR="009A155B" w:rsidRPr="009A155B">
        <w:rPr>
          <w:rFonts w:ascii="Arial" w:hAnsi="Arial" w:cs="Arial"/>
          <w:i/>
          <w:iCs/>
          <w:szCs w:val="24"/>
        </w:rPr>
        <w:t>et al.</w:t>
      </w:r>
      <w:r w:rsidR="009A155B" w:rsidRPr="009A155B">
        <w:rPr>
          <w:rFonts w:ascii="Arial" w:hAnsi="Arial" w:cs="Arial"/>
          <w:szCs w:val="24"/>
        </w:rPr>
        <w:t>, 2023)</w:t>
      </w:r>
      <w:r w:rsidR="009A155B">
        <w:rPr>
          <w:rFonts w:ascii="Arial" w:hAnsi="Arial" w:cs="Arial"/>
        </w:rPr>
        <w:fldChar w:fldCharType="end"/>
      </w:r>
      <w:r w:rsidRPr="002E0785">
        <w:rPr>
          <w:rFonts w:ascii="Arial" w:hAnsi="Arial" w:cs="Arial"/>
        </w:rPr>
        <w:t>.</w:t>
      </w:r>
    </w:p>
    <w:p w14:paraId="66C23010" w14:textId="77777777" w:rsidR="002E0785" w:rsidRPr="002E0785" w:rsidRDefault="0026318C" w:rsidP="004B2C2B">
      <w:pPr>
        <w:pStyle w:val="Heading1"/>
        <w:spacing w:line="360" w:lineRule="auto"/>
        <w:jc w:val="both"/>
        <w:rPr>
          <w:rFonts w:ascii="Arial" w:hAnsi="Arial" w:cs="Arial"/>
          <w:sz w:val="22"/>
          <w:szCs w:val="22"/>
        </w:rPr>
      </w:pPr>
      <w:bookmarkStart w:id="5" w:name="_Toc236402810"/>
      <w:r>
        <w:rPr>
          <w:rFonts w:ascii="Arial" w:hAnsi="Arial" w:cs="Arial"/>
          <w:sz w:val="22"/>
          <w:szCs w:val="22"/>
        </w:rPr>
        <w:t>6</w:t>
      </w:r>
      <w:r w:rsidR="002E0785" w:rsidRPr="002E0785">
        <w:rPr>
          <w:rFonts w:ascii="Arial" w:hAnsi="Arial" w:cs="Arial"/>
          <w:sz w:val="22"/>
          <w:szCs w:val="22"/>
        </w:rPr>
        <w:t>. Conclusion</w:t>
      </w:r>
      <w:bookmarkEnd w:id="5"/>
    </w:p>
    <w:p w14:paraId="42BAC8AD" w14:textId="77777777" w:rsidR="002E0785" w:rsidRDefault="002E0785" w:rsidP="004B2C2B">
      <w:pPr>
        <w:spacing w:line="360" w:lineRule="auto"/>
        <w:jc w:val="both"/>
        <w:rPr>
          <w:rFonts w:ascii="Arial" w:hAnsi="Arial" w:cs="Arial"/>
        </w:rPr>
      </w:pPr>
      <w:r w:rsidRPr="002E0785">
        <w:rPr>
          <w:rFonts w:ascii="Arial" w:hAnsi="Arial" w:cs="Arial"/>
        </w:rPr>
        <w:t xml:space="preserve">Depression is a large public health problem which should be adequately measured, continuously monitored and intervening promptly and timely </w:t>
      </w:r>
      <w:proofErr w:type="gramStart"/>
      <w:r w:rsidRPr="002E0785">
        <w:rPr>
          <w:rFonts w:ascii="Arial" w:hAnsi="Arial" w:cs="Arial"/>
        </w:rPr>
        <w:t>in order to</w:t>
      </w:r>
      <w:proofErr w:type="gramEnd"/>
      <w:r w:rsidRPr="002E0785">
        <w:rPr>
          <w:rFonts w:ascii="Arial" w:hAnsi="Arial" w:cs="Arial"/>
        </w:rPr>
        <w:t xml:space="preserve"> reduce its individual and societal burden. Early identification through standardised assessment tools and surveillance systems provide the healthcare professional the opportunity to provide timely treatment and monitor infection rates. Prevention initiatives to either reduce or improve the prevalence and severity of depression and enhance long term results involve mental health promotion, screening, and lifestyle interventions. Effective management also requires multi-disciplinary working, including general practitioners, psychiatrists, psychologists, mental health nurses, social workers and others who work in a collaborative way to deliver person-centred multi-disciplinary services. It is also crucial that community services, charities, peer support groups and families play a role in the promotion of recovery. The burden of depression can be substantially reduced by increasing prevention protocols, access to integrated care, and community assistance and support</w:t>
      </w:r>
      <w:r w:rsidR="009A155B">
        <w:rPr>
          <w:rFonts w:ascii="Arial" w:hAnsi="Arial" w:cs="Arial"/>
        </w:rPr>
        <w:t xml:space="preserve"> </w:t>
      </w:r>
      <w:r w:rsidR="009A155B">
        <w:rPr>
          <w:rFonts w:ascii="Arial" w:hAnsi="Arial" w:cs="Arial"/>
        </w:rPr>
        <w:fldChar w:fldCharType="begin"/>
      </w:r>
      <w:r w:rsidR="009A155B">
        <w:rPr>
          <w:rFonts w:ascii="Arial" w:hAnsi="Arial" w:cs="Arial"/>
        </w:rPr>
        <w:instrText xml:space="preserve"> ADDIN ZOTERO_ITEM CSL_CITATION {"citationID":"6TOogyFS","properties":{"unsorted":false,"formattedCitation":"(Acoba, 2024)","plainCitation":"(Acoba, 2024)","noteIndex":0},"citationItems":[{"id":24108,"uris":["http://zotero.org/users/local/GWzaosOp/items/X3338API"],"itemData":{"id":24108,"type":"article-journal","container-title":"Frontiers in psychology","page":"1330720","publisher":"Frontiers","source":"Google Scholar","title":"Social support and mental health: the mediating role of perceived stress","title-short":"Social support and mental health","volume":"15","author":[{"family":"Acoba","given":"Evelyn F."}],"issued":{"date-parts":[["2024"]]}}}],"schema":"https://github.com/citation-style-language/schema/raw/master/csl-citation.json"} </w:instrText>
      </w:r>
      <w:r w:rsidR="009A155B">
        <w:rPr>
          <w:rFonts w:ascii="Arial" w:hAnsi="Arial" w:cs="Arial"/>
        </w:rPr>
        <w:fldChar w:fldCharType="separate"/>
      </w:r>
      <w:r w:rsidR="009A155B" w:rsidRPr="009A155B">
        <w:rPr>
          <w:rFonts w:ascii="Arial" w:hAnsi="Arial" w:cs="Arial"/>
        </w:rPr>
        <w:t>(Acoba, 2024)</w:t>
      </w:r>
      <w:r w:rsidR="009A155B">
        <w:rPr>
          <w:rFonts w:ascii="Arial" w:hAnsi="Arial" w:cs="Arial"/>
        </w:rPr>
        <w:fldChar w:fldCharType="end"/>
      </w:r>
      <w:r w:rsidRPr="002E0785">
        <w:rPr>
          <w:rFonts w:ascii="Arial" w:hAnsi="Arial" w:cs="Arial"/>
        </w:rPr>
        <w:t>.</w:t>
      </w:r>
    </w:p>
    <w:p w14:paraId="12B18026" w14:textId="77777777" w:rsidR="009A155B" w:rsidRDefault="009A155B" w:rsidP="004B2C2B">
      <w:pPr>
        <w:spacing w:line="360" w:lineRule="auto"/>
        <w:jc w:val="both"/>
        <w:rPr>
          <w:rFonts w:ascii="Arial" w:hAnsi="Arial" w:cs="Arial"/>
        </w:rPr>
      </w:pPr>
    </w:p>
    <w:p w14:paraId="3E8DE97A" w14:textId="77777777" w:rsidR="009A155B" w:rsidRDefault="009A155B" w:rsidP="004B2C2B">
      <w:pPr>
        <w:spacing w:line="360" w:lineRule="auto"/>
        <w:jc w:val="both"/>
        <w:rPr>
          <w:rFonts w:ascii="Arial" w:hAnsi="Arial" w:cs="Arial"/>
        </w:rPr>
      </w:pPr>
    </w:p>
    <w:p w14:paraId="6542C595" w14:textId="77777777" w:rsidR="009A155B" w:rsidRDefault="009A155B" w:rsidP="004B2C2B">
      <w:pPr>
        <w:spacing w:line="360" w:lineRule="auto"/>
        <w:jc w:val="both"/>
        <w:rPr>
          <w:rFonts w:ascii="Arial" w:hAnsi="Arial" w:cs="Arial"/>
        </w:rPr>
      </w:pPr>
    </w:p>
    <w:p w14:paraId="4DA2E448" w14:textId="77777777" w:rsidR="009A155B" w:rsidRDefault="009A155B" w:rsidP="004B2C2B">
      <w:pPr>
        <w:spacing w:line="360" w:lineRule="auto"/>
        <w:jc w:val="both"/>
        <w:rPr>
          <w:rFonts w:ascii="Arial" w:hAnsi="Arial" w:cs="Arial"/>
        </w:rPr>
      </w:pPr>
    </w:p>
    <w:p w14:paraId="7D1C815C" w14:textId="77777777" w:rsidR="009A155B" w:rsidRDefault="009A155B" w:rsidP="004B2C2B">
      <w:pPr>
        <w:spacing w:line="360" w:lineRule="auto"/>
        <w:jc w:val="both"/>
        <w:rPr>
          <w:rFonts w:ascii="Arial" w:hAnsi="Arial" w:cs="Arial"/>
        </w:rPr>
      </w:pPr>
    </w:p>
    <w:p w14:paraId="499B9324" w14:textId="77777777" w:rsidR="009A155B" w:rsidRDefault="009A155B" w:rsidP="004B2C2B">
      <w:pPr>
        <w:spacing w:line="360" w:lineRule="auto"/>
        <w:jc w:val="both"/>
        <w:rPr>
          <w:rFonts w:ascii="Arial" w:hAnsi="Arial" w:cs="Arial"/>
        </w:rPr>
      </w:pPr>
    </w:p>
    <w:p w14:paraId="7068BB7E" w14:textId="77777777" w:rsidR="009A155B" w:rsidRDefault="009A155B" w:rsidP="004B2C2B">
      <w:pPr>
        <w:spacing w:line="360" w:lineRule="auto"/>
        <w:jc w:val="both"/>
        <w:rPr>
          <w:rFonts w:ascii="Arial" w:hAnsi="Arial" w:cs="Arial"/>
        </w:rPr>
      </w:pPr>
    </w:p>
    <w:p w14:paraId="7CEDD4CB" w14:textId="77777777" w:rsidR="009A155B" w:rsidRDefault="009A155B" w:rsidP="004B2C2B">
      <w:pPr>
        <w:spacing w:line="360" w:lineRule="auto"/>
        <w:jc w:val="both"/>
        <w:rPr>
          <w:rFonts w:ascii="Arial" w:hAnsi="Arial" w:cs="Arial"/>
        </w:rPr>
      </w:pPr>
    </w:p>
    <w:p w14:paraId="4B09720C" w14:textId="77777777" w:rsidR="009A155B" w:rsidRPr="009A155B" w:rsidRDefault="009A155B" w:rsidP="009A155B">
      <w:pPr>
        <w:pStyle w:val="Heading1"/>
        <w:spacing w:line="360" w:lineRule="auto"/>
        <w:jc w:val="both"/>
        <w:rPr>
          <w:rFonts w:ascii="Arial" w:hAnsi="Arial" w:cs="Arial"/>
          <w:sz w:val="16"/>
          <w:szCs w:val="22"/>
        </w:rPr>
      </w:pPr>
      <w:bookmarkStart w:id="6" w:name="_Toc236402811"/>
      <w:r w:rsidRPr="009A155B">
        <w:rPr>
          <w:rFonts w:ascii="Arial" w:hAnsi="Arial" w:cs="Arial"/>
          <w:sz w:val="22"/>
        </w:rPr>
        <w:t>References</w:t>
      </w:r>
      <w:bookmarkEnd w:id="6"/>
      <w:r w:rsidRPr="009A155B">
        <w:rPr>
          <w:rFonts w:ascii="Arial" w:hAnsi="Arial" w:cs="Arial"/>
          <w:sz w:val="22"/>
        </w:rPr>
        <w:t xml:space="preserve"> </w:t>
      </w:r>
    </w:p>
    <w:p w14:paraId="44690B67" w14:textId="77777777" w:rsidR="00A72F5F" w:rsidRPr="00A72F5F" w:rsidRDefault="009A155B" w:rsidP="00A72F5F">
      <w:pPr>
        <w:pStyle w:val="Bibliography"/>
        <w:spacing w:line="360" w:lineRule="auto"/>
        <w:jc w:val="both"/>
        <w:rPr>
          <w:rFonts w:ascii="Arial" w:hAnsi="Arial" w:cs="Arial"/>
        </w:rPr>
      </w:pPr>
      <w:r w:rsidRPr="009A155B">
        <w:rPr>
          <w:rFonts w:ascii="Arial" w:hAnsi="Arial" w:cs="Arial"/>
        </w:rPr>
        <w:fldChar w:fldCharType="begin"/>
      </w:r>
      <w:r w:rsidR="00A72F5F">
        <w:rPr>
          <w:rFonts w:ascii="Arial" w:hAnsi="Arial" w:cs="Arial"/>
        </w:rPr>
        <w:instrText xml:space="preserve"> ADDIN ZOTERO_BIBL {"uncited":[],"omitted":[],"custom":[]} CSL_BIBLIOGRAPHY </w:instrText>
      </w:r>
      <w:r w:rsidRPr="009A155B">
        <w:rPr>
          <w:rFonts w:ascii="Arial" w:hAnsi="Arial" w:cs="Arial"/>
        </w:rPr>
        <w:fldChar w:fldCharType="separate"/>
      </w:r>
      <w:r w:rsidR="00A72F5F" w:rsidRPr="00A72F5F">
        <w:rPr>
          <w:rFonts w:ascii="Arial" w:hAnsi="Arial" w:cs="Arial"/>
        </w:rPr>
        <w:t xml:space="preserve">Acoba, E.F. (2024) ‘Social support and mental health: the mediating role of perceived stress’, </w:t>
      </w:r>
      <w:r w:rsidR="00A72F5F" w:rsidRPr="00A72F5F">
        <w:rPr>
          <w:rFonts w:ascii="Arial" w:hAnsi="Arial" w:cs="Arial"/>
          <w:i/>
          <w:iCs/>
        </w:rPr>
        <w:t>Frontiers in psychology</w:t>
      </w:r>
      <w:r w:rsidR="00A72F5F" w:rsidRPr="00A72F5F">
        <w:rPr>
          <w:rFonts w:ascii="Arial" w:hAnsi="Arial" w:cs="Arial"/>
        </w:rPr>
        <w:t>, 15, p. 1330720.</w:t>
      </w:r>
    </w:p>
    <w:p w14:paraId="0CE74E7B" w14:textId="77777777" w:rsidR="00A72F5F" w:rsidRPr="00A72F5F" w:rsidRDefault="00A72F5F" w:rsidP="00A72F5F">
      <w:pPr>
        <w:pStyle w:val="Bibliography"/>
        <w:spacing w:line="360" w:lineRule="auto"/>
        <w:jc w:val="both"/>
        <w:rPr>
          <w:rFonts w:ascii="Arial" w:hAnsi="Arial" w:cs="Arial"/>
        </w:rPr>
      </w:pPr>
      <w:r w:rsidRPr="00A72F5F">
        <w:rPr>
          <w:rFonts w:ascii="Arial" w:hAnsi="Arial" w:cs="Arial"/>
        </w:rPr>
        <w:t xml:space="preserve">Çi̇çek, İ. </w:t>
      </w:r>
      <w:r w:rsidRPr="00A72F5F">
        <w:rPr>
          <w:rFonts w:ascii="Arial" w:hAnsi="Arial" w:cs="Arial"/>
          <w:i/>
          <w:iCs/>
        </w:rPr>
        <w:t>et al.</w:t>
      </w:r>
      <w:r w:rsidRPr="00A72F5F">
        <w:rPr>
          <w:rFonts w:ascii="Arial" w:hAnsi="Arial" w:cs="Arial"/>
        </w:rPr>
        <w:t xml:space="preserve"> (2024) ‘Problematic Social Media Use, Satisfaction with Life, and Levels of Depressive Symptoms in University Students during the COVID-19 Pandemic: Mediation Role of Social Support.’, </w:t>
      </w:r>
      <w:r w:rsidRPr="00A72F5F">
        <w:rPr>
          <w:rFonts w:ascii="Arial" w:hAnsi="Arial" w:cs="Arial"/>
          <w:i/>
          <w:iCs/>
        </w:rPr>
        <w:t>Psihologija</w:t>
      </w:r>
      <w:r w:rsidRPr="00A72F5F">
        <w:rPr>
          <w:rFonts w:ascii="Arial" w:hAnsi="Arial" w:cs="Arial"/>
        </w:rPr>
        <w:t>, 57(2), p. 177.</w:t>
      </w:r>
    </w:p>
    <w:p w14:paraId="20BA72EB" w14:textId="77777777" w:rsidR="00A72F5F" w:rsidRPr="00A72F5F" w:rsidRDefault="00A72F5F" w:rsidP="00A72F5F">
      <w:pPr>
        <w:pStyle w:val="Bibliography"/>
        <w:spacing w:line="360" w:lineRule="auto"/>
        <w:jc w:val="both"/>
        <w:rPr>
          <w:rFonts w:ascii="Arial" w:hAnsi="Arial" w:cs="Arial"/>
        </w:rPr>
      </w:pPr>
      <w:r w:rsidRPr="00A72F5F">
        <w:rPr>
          <w:rFonts w:ascii="Arial" w:hAnsi="Arial" w:cs="Arial"/>
        </w:rPr>
        <w:t xml:space="preserve">Cruz-Gonzalez, P. </w:t>
      </w:r>
      <w:r w:rsidRPr="00A72F5F">
        <w:rPr>
          <w:rFonts w:ascii="Arial" w:hAnsi="Arial" w:cs="Arial"/>
          <w:i/>
          <w:iCs/>
        </w:rPr>
        <w:t>et al.</w:t>
      </w:r>
      <w:r w:rsidRPr="00A72F5F">
        <w:rPr>
          <w:rFonts w:ascii="Arial" w:hAnsi="Arial" w:cs="Arial"/>
        </w:rPr>
        <w:t xml:space="preserve"> (2025) ‘Artificial intelligence in mental health care: a systematic review of diagnosis, monitoring, and intervention applications’, </w:t>
      </w:r>
      <w:r w:rsidRPr="00A72F5F">
        <w:rPr>
          <w:rFonts w:ascii="Arial" w:hAnsi="Arial" w:cs="Arial"/>
          <w:i/>
          <w:iCs/>
        </w:rPr>
        <w:t>Psychological medicine</w:t>
      </w:r>
      <w:r w:rsidRPr="00A72F5F">
        <w:rPr>
          <w:rFonts w:ascii="Arial" w:hAnsi="Arial" w:cs="Arial"/>
        </w:rPr>
        <w:t>, 55, p. e18.</w:t>
      </w:r>
    </w:p>
    <w:p w14:paraId="2BD7579F" w14:textId="77777777" w:rsidR="00A72F5F" w:rsidRPr="00A72F5F" w:rsidRDefault="00A72F5F" w:rsidP="00A72F5F">
      <w:pPr>
        <w:pStyle w:val="Bibliography"/>
        <w:spacing w:line="360" w:lineRule="auto"/>
        <w:jc w:val="both"/>
        <w:rPr>
          <w:rFonts w:ascii="Arial" w:hAnsi="Arial" w:cs="Arial"/>
        </w:rPr>
      </w:pPr>
      <w:r w:rsidRPr="00A72F5F">
        <w:rPr>
          <w:rFonts w:ascii="Arial" w:hAnsi="Arial" w:cs="Arial"/>
        </w:rPr>
        <w:t xml:space="preserve">Davis, C.G. and Goldfield, G.S. (2025) ‘Limiting social media use decreases depression, anxiety, and fear of missing out in youth with emotional distress: A randomized controlled trial.’, </w:t>
      </w:r>
      <w:r w:rsidRPr="00A72F5F">
        <w:rPr>
          <w:rFonts w:ascii="Arial" w:hAnsi="Arial" w:cs="Arial"/>
          <w:i/>
          <w:iCs/>
        </w:rPr>
        <w:t>Psychology of Popular Media</w:t>
      </w:r>
      <w:r w:rsidRPr="00A72F5F">
        <w:rPr>
          <w:rFonts w:ascii="Arial" w:hAnsi="Arial" w:cs="Arial"/>
        </w:rPr>
        <w:t>, 14(1), p. 1.</w:t>
      </w:r>
    </w:p>
    <w:p w14:paraId="7F4935B7" w14:textId="77777777" w:rsidR="00A72F5F" w:rsidRPr="00A72F5F" w:rsidRDefault="00A72F5F" w:rsidP="00A72F5F">
      <w:pPr>
        <w:pStyle w:val="Bibliography"/>
        <w:spacing w:line="360" w:lineRule="auto"/>
        <w:jc w:val="both"/>
        <w:rPr>
          <w:rFonts w:ascii="Arial" w:hAnsi="Arial" w:cs="Arial"/>
        </w:rPr>
      </w:pPr>
      <w:r w:rsidRPr="00A72F5F">
        <w:rPr>
          <w:rFonts w:ascii="Arial" w:hAnsi="Arial" w:cs="Arial"/>
        </w:rPr>
        <w:t xml:space="preserve">Force, U.P.S.T. </w:t>
      </w:r>
      <w:r w:rsidRPr="00A72F5F">
        <w:rPr>
          <w:rFonts w:ascii="Arial" w:hAnsi="Arial" w:cs="Arial"/>
          <w:i/>
          <w:iCs/>
        </w:rPr>
        <w:t>et al.</w:t>
      </w:r>
      <w:r w:rsidRPr="00A72F5F">
        <w:rPr>
          <w:rFonts w:ascii="Arial" w:hAnsi="Arial" w:cs="Arial"/>
        </w:rPr>
        <w:t xml:space="preserve"> (2023) ‘Screening for depression and suicide risk in adults: US Preventive Services Task Force recommendation statement’, </w:t>
      </w:r>
      <w:r w:rsidRPr="00A72F5F">
        <w:rPr>
          <w:rFonts w:ascii="Arial" w:hAnsi="Arial" w:cs="Arial"/>
          <w:i/>
          <w:iCs/>
        </w:rPr>
        <w:t>Jama</w:t>
      </w:r>
      <w:r w:rsidRPr="00A72F5F">
        <w:rPr>
          <w:rFonts w:ascii="Arial" w:hAnsi="Arial" w:cs="Arial"/>
        </w:rPr>
        <w:t>, 329(23), pp. 2057–2067.</w:t>
      </w:r>
    </w:p>
    <w:p w14:paraId="369EAE35" w14:textId="77777777" w:rsidR="00A72F5F" w:rsidRPr="00A72F5F" w:rsidRDefault="00A72F5F" w:rsidP="00A72F5F">
      <w:pPr>
        <w:pStyle w:val="Bibliography"/>
        <w:spacing w:line="360" w:lineRule="auto"/>
        <w:jc w:val="both"/>
        <w:rPr>
          <w:rFonts w:ascii="Arial" w:hAnsi="Arial" w:cs="Arial"/>
        </w:rPr>
      </w:pPr>
      <w:r w:rsidRPr="00A72F5F">
        <w:rPr>
          <w:rFonts w:ascii="Arial" w:hAnsi="Arial" w:cs="Arial"/>
        </w:rPr>
        <w:t xml:space="preserve">Johnson, M.S. </w:t>
      </w:r>
      <w:r w:rsidRPr="00A72F5F">
        <w:rPr>
          <w:rFonts w:ascii="Arial" w:hAnsi="Arial" w:cs="Arial"/>
          <w:i/>
          <w:iCs/>
        </w:rPr>
        <w:t>et al.</w:t>
      </w:r>
      <w:r w:rsidRPr="00A72F5F">
        <w:rPr>
          <w:rFonts w:ascii="Arial" w:hAnsi="Arial" w:cs="Arial"/>
        </w:rPr>
        <w:t xml:space="preserve"> (2022) ‘Parenting in a Pandemic: Parental stress, anxiety and depression among parents during the government</w:t>
      </w:r>
      <w:r w:rsidRPr="00A72F5F">
        <w:rPr>
          <w:rFonts w:ascii="Cambria Math" w:hAnsi="Cambria Math" w:cs="Cambria Math"/>
        </w:rPr>
        <w:t>‐</w:t>
      </w:r>
      <w:r w:rsidRPr="00A72F5F">
        <w:rPr>
          <w:rFonts w:ascii="Arial" w:hAnsi="Arial" w:cs="Arial"/>
        </w:rPr>
        <w:t>initiated physical distancing measures following the first wave of COVID</w:t>
      </w:r>
      <w:r w:rsidRPr="00A72F5F">
        <w:rPr>
          <w:rFonts w:ascii="Cambria Math" w:hAnsi="Cambria Math" w:cs="Cambria Math"/>
        </w:rPr>
        <w:t>‐</w:t>
      </w:r>
      <w:r w:rsidRPr="00A72F5F">
        <w:rPr>
          <w:rFonts w:ascii="Arial" w:hAnsi="Arial" w:cs="Arial"/>
        </w:rPr>
        <w:t xml:space="preserve">19’, </w:t>
      </w:r>
      <w:r w:rsidRPr="00A72F5F">
        <w:rPr>
          <w:rFonts w:ascii="Arial" w:hAnsi="Arial" w:cs="Arial"/>
          <w:i/>
          <w:iCs/>
        </w:rPr>
        <w:t>Stress and Health</w:t>
      </w:r>
      <w:r w:rsidRPr="00A72F5F">
        <w:rPr>
          <w:rFonts w:ascii="Arial" w:hAnsi="Arial" w:cs="Arial"/>
        </w:rPr>
        <w:t>, 38(4), pp. 637–652. Available at: https://doi.org/10.1002/smi.3120.</w:t>
      </w:r>
    </w:p>
    <w:p w14:paraId="008E037F" w14:textId="77777777" w:rsidR="00A72F5F" w:rsidRPr="00A72F5F" w:rsidRDefault="00A72F5F" w:rsidP="00A72F5F">
      <w:pPr>
        <w:pStyle w:val="Bibliography"/>
        <w:spacing w:line="360" w:lineRule="auto"/>
        <w:jc w:val="both"/>
        <w:rPr>
          <w:rFonts w:ascii="Arial" w:hAnsi="Arial" w:cs="Arial"/>
        </w:rPr>
      </w:pPr>
      <w:r w:rsidRPr="00A72F5F">
        <w:rPr>
          <w:rFonts w:ascii="Arial" w:hAnsi="Arial" w:cs="Arial"/>
        </w:rPr>
        <w:t xml:space="preserve">Marx, W., Manger, S.H., </w:t>
      </w:r>
      <w:r w:rsidRPr="00A72F5F">
        <w:rPr>
          <w:rFonts w:ascii="Arial" w:hAnsi="Arial" w:cs="Arial"/>
          <w:i/>
          <w:iCs/>
        </w:rPr>
        <w:t>et al.</w:t>
      </w:r>
      <w:r w:rsidRPr="00A72F5F">
        <w:rPr>
          <w:rFonts w:ascii="Arial" w:hAnsi="Arial" w:cs="Arial"/>
        </w:rPr>
        <w:t xml:space="preserve"> (2023) ‘Clinical guidelines for the use of lifestyle-based mental health care in major depressive disorder: World Federation of Societies for Biological Psychiatry (WFSBP) and Australasian Society of Lifestyle Medicine (ASLM) taskforce’, </w:t>
      </w:r>
      <w:r w:rsidRPr="00A72F5F">
        <w:rPr>
          <w:rFonts w:ascii="Arial" w:hAnsi="Arial" w:cs="Arial"/>
          <w:i/>
          <w:iCs/>
        </w:rPr>
        <w:t>The World Journal of Biological Psychiatry</w:t>
      </w:r>
      <w:r w:rsidRPr="00A72F5F">
        <w:rPr>
          <w:rFonts w:ascii="Arial" w:hAnsi="Arial" w:cs="Arial"/>
        </w:rPr>
        <w:t>, 24(5), pp. 333–386. Available at: https://doi.org/10.1080/15622975.2022.2112074.</w:t>
      </w:r>
    </w:p>
    <w:p w14:paraId="6328C340" w14:textId="77777777" w:rsidR="00A72F5F" w:rsidRPr="00A72F5F" w:rsidRDefault="00A72F5F" w:rsidP="00A72F5F">
      <w:pPr>
        <w:pStyle w:val="Bibliography"/>
        <w:spacing w:line="360" w:lineRule="auto"/>
        <w:jc w:val="both"/>
        <w:rPr>
          <w:rFonts w:ascii="Arial" w:hAnsi="Arial" w:cs="Arial"/>
        </w:rPr>
      </w:pPr>
      <w:r w:rsidRPr="00A72F5F">
        <w:rPr>
          <w:rFonts w:ascii="Arial" w:hAnsi="Arial" w:cs="Arial"/>
        </w:rPr>
        <w:t xml:space="preserve">Marx, W., Penninx, B.W., </w:t>
      </w:r>
      <w:r w:rsidRPr="00A72F5F">
        <w:rPr>
          <w:rFonts w:ascii="Arial" w:hAnsi="Arial" w:cs="Arial"/>
          <w:i/>
          <w:iCs/>
        </w:rPr>
        <w:t>et al.</w:t>
      </w:r>
      <w:r w:rsidRPr="00A72F5F">
        <w:rPr>
          <w:rFonts w:ascii="Arial" w:hAnsi="Arial" w:cs="Arial"/>
        </w:rPr>
        <w:t xml:space="preserve"> (2023) ‘Major depressive disorder’, </w:t>
      </w:r>
      <w:r w:rsidRPr="00A72F5F">
        <w:rPr>
          <w:rFonts w:ascii="Arial" w:hAnsi="Arial" w:cs="Arial"/>
          <w:i/>
          <w:iCs/>
        </w:rPr>
        <w:t>Nature Reviews Disease Primers</w:t>
      </w:r>
      <w:r w:rsidRPr="00A72F5F">
        <w:rPr>
          <w:rFonts w:ascii="Arial" w:hAnsi="Arial" w:cs="Arial"/>
        </w:rPr>
        <w:t>, 9(1), p. 44.</w:t>
      </w:r>
    </w:p>
    <w:p w14:paraId="2DD75D39" w14:textId="77777777" w:rsidR="00A72F5F" w:rsidRPr="00A72F5F" w:rsidRDefault="00A72F5F" w:rsidP="00A72F5F">
      <w:pPr>
        <w:pStyle w:val="Bibliography"/>
        <w:spacing w:line="360" w:lineRule="auto"/>
        <w:jc w:val="both"/>
        <w:rPr>
          <w:rFonts w:ascii="Arial" w:hAnsi="Arial" w:cs="Arial"/>
        </w:rPr>
      </w:pPr>
      <w:r w:rsidRPr="00A72F5F">
        <w:rPr>
          <w:rFonts w:ascii="Arial" w:hAnsi="Arial" w:cs="Arial"/>
        </w:rPr>
        <w:t xml:space="preserve">Naseem, U. </w:t>
      </w:r>
      <w:r w:rsidRPr="00A72F5F">
        <w:rPr>
          <w:rFonts w:ascii="Arial" w:hAnsi="Arial" w:cs="Arial"/>
          <w:i/>
          <w:iCs/>
        </w:rPr>
        <w:t>et al.</w:t>
      </w:r>
      <w:r w:rsidRPr="00A72F5F">
        <w:rPr>
          <w:rFonts w:ascii="Arial" w:hAnsi="Arial" w:cs="Arial"/>
        </w:rPr>
        <w:t xml:space="preserve"> (2022) ‘Early Identification of Depression Severity Levels on Reddit Using Ordinal Classification’, </w:t>
      </w:r>
      <w:r w:rsidRPr="00A72F5F">
        <w:rPr>
          <w:rFonts w:ascii="Arial" w:hAnsi="Arial" w:cs="Arial"/>
          <w:i/>
          <w:iCs/>
        </w:rPr>
        <w:t>Proceedings of the ACM Web Conference 2022</w:t>
      </w:r>
      <w:r w:rsidRPr="00A72F5F">
        <w:rPr>
          <w:rFonts w:ascii="Arial" w:hAnsi="Arial" w:cs="Arial"/>
        </w:rPr>
        <w:t xml:space="preserve">. </w:t>
      </w:r>
      <w:r w:rsidRPr="00A72F5F">
        <w:rPr>
          <w:rFonts w:ascii="Arial" w:hAnsi="Arial" w:cs="Arial"/>
          <w:i/>
          <w:iCs/>
        </w:rPr>
        <w:t xml:space="preserve">WWW ’22: The ACM </w:t>
      </w:r>
      <w:r w:rsidRPr="00A72F5F">
        <w:rPr>
          <w:rFonts w:ascii="Arial" w:hAnsi="Arial" w:cs="Arial"/>
          <w:i/>
          <w:iCs/>
        </w:rPr>
        <w:lastRenderedPageBreak/>
        <w:t>Web Conference 2022</w:t>
      </w:r>
      <w:r w:rsidRPr="00A72F5F">
        <w:rPr>
          <w:rFonts w:ascii="Arial" w:hAnsi="Arial" w:cs="Arial"/>
        </w:rPr>
        <w:t>, Virtual Event, Lyon France: ACM, pp. 2563–2572. Available at: https://doi.org/10.1145/3485447.3512128.</w:t>
      </w:r>
    </w:p>
    <w:p w14:paraId="3A201306" w14:textId="77777777" w:rsidR="00A72F5F" w:rsidRPr="00A72F5F" w:rsidRDefault="00A72F5F" w:rsidP="00A72F5F">
      <w:pPr>
        <w:pStyle w:val="Bibliography"/>
        <w:spacing w:line="360" w:lineRule="auto"/>
        <w:jc w:val="both"/>
        <w:rPr>
          <w:rFonts w:ascii="Arial" w:hAnsi="Arial" w:cs="Arial"/>
        </w:rPr>
      </w:pPr>
      <w:r w:rsidRPr="00A72F5F">
        <w:rPr>
          <w:rFonts w:ascii="Arial" w:hAnsi="Arial" w:cs="Arial"/>
        </w:rPr>
        <w:t xml:space="preserve">Saharoy, R. </w:t>
      </w:r>
      <w:r w:rsidRPr="00A72F5F">
        <w:rPr>
          <w:rFonts w:ascii="Arial" w:hAnsi="Arial" w:cs="Arial"/>
          <w:i/>
          <w:iCs/>
        </w:rPr>
        <w:t>et al.</w:t>
      </w:r>
      <w:r w:rsidRPr="00A72F5F">
        <w:rPr>
          <w:rFonts w:ascii="Arial" w:hAnsi="Arial" w:cs="Arial"/>
        </w:rPr>
        <w:t xml:space="preserve"> (2023) ‘Postpartum depression and maternal care: exploring the complex effects on mothers and infants’, </w:t>
      </w:r>
      <w:r w:rsidRPr="00A72F5F">
        <w:rPr>
          <w:rFonts w:ascii="Arial" w:hAnsi="Arial" w:cs="Arial"/>
          <w:i/>
          <w:iCs/>
        </w:rPr>
        <w:t>Cureus</w:t>
      </w:r>
      <w:r w:rsidRPr="00A72F5F">
        <w:rPr>
          <w:rFonts w:ascii="Arial" w:hAnsi="Arial" w:cs="Arial"/>
        </w:rPr>
        <w:t>, 15(7). Available at: https://www.cureus.com/articles/165878 (Accessed: 2 July 2026).</w:t>
      </w:r>
    </w:p>
    <w:p w14:paraId="7B86934F" w14:textId="77777777" w:rsidR="00A72F5F" w:rsidRPr="00A72F5F" w:rsidRDefault="00A72F5F" w:rsidP="00A72F5F">
      <w:pPr>
        <w:pStyle w:val="Bibliography"/>
        <w:spacing w:line="360" w:lineRule="auto"/>
        <w:jc w:val="both"/>
        <w:rPr>
          <w:rFonts w:ascii="Arial" w:hAnsi="Arial" w:cs="Arial"/>
        </w:rPr>
      </w:pPr>
      <w:r w:rsidRPr="00A72F5F">
        <w:rPr>
          <w:rFonts w:ascii="Arial" w:hAnsi="Arial" w:cs="Arial"/>
        </w:rPr>
        <w:t xml:space="preserve">Thapar, A. </w:t>
      </w:r>
      <w:r w:rsidRPr="00A72F5F">
        <w:rPr>
          <w:rFonts w:ascii="Arial" w:hAnsi="Arial" w:cs="Arial"/>
          <w:i/>
          <w:iCs/>
        </w:rPr>
        <w:t>et al.</w:t>
      </w:r>
      <w:r w:rsidRPr="00A72F5F">
        <w:rPr>
          <w:rFonts w:ascii="Arial" w:hAnsi="Arial" w:cs="Arial"/>
        </w:rPr>
        <w:t xml:space="preserve"> (2022) ‘Depression in young people’, </w:t>
      </w:r>
      <w:r w:rsidRPr="00A72F5F">
        <w:rPr>
          <w:rFonts w:ascii="Arial" w:hAnsi="Arial" w:cs="Arial"/>
          <w:i/>
          <w:iCs/>
        </w:rPr>
        <w:t>The Lancet</w:t>
      </w:r>
      <w:r w:rsidRPr="00A72F5F">
        <w:rPr>
          <w:rFonts w:ascii="Arial" w:hAnsi="Arial" w:cs="Arial"/>
        </w:rPr>
        <w:t>, 400(10352), pp. 617–631.</w:t>
      </w:r>
    </w:p>
    <w:p w14:paraId="74CE3E80" w14:textId="77777777" w:rsidR="00A72F5F" w:rsidRPr="00A72F5F" w:rsidRDefault="00A72F5F" w:rsidP="00A72F5F">
      <w:pPr>
        <w:pStyle w:val="Bibliography"/>
        <w:spacing w:line="360" w:lineRule="auto"/>
        <w:jc w:val="both"/>
      </w:pPr>
      <w:r w:rsidRPr="00A72F5F">
        <w:rPr>
          <w:rFonts w:ascii="Arial" w:hAnsi="Arial" w:cs="Arial"/>
        </w:rPr>
        <w:t xml:space="preserve">Woody, M.L. </w:t>
      </w:r>
      <w:r w:rsidRPr="00A72F5F">
        <w:rPr>
          <w:rFonts w:ascii="Arial" w:hAnsi="Arial" w:cs="Arial"/>
          <w:i/>
          <w:iCs/>
        </w:rPr>
        <w:t>et al.</w:t>
      </w:r>
      <w:r w:rsidRPr="00A72F5F">
        <w:rPr>
          <w:rFonts w:ascii="Arial" w:hAnsi="Arial" w:cs="Arial"/>
        </w:rPr>
        <w:t xml:space="preserve"> (2022) ‘Racial Stress and Trauma and the Development of Adolescent Depression: A Review of the Role of Vigilance Evoked by Racism-Related Threat’, </w:t>
      </w:r>
      <w:r w:rsidRPr="00A72F5F">
        <w:rPr>
          <w:rFonts w:ascii="Arial" w:hAnsi="Arial" w:cs="Arial"/>
          <w:i/>
          <w:iCs/>
        </w:rPr>
        <w:t>Chronic Stress</w:t>
      </w:r>
      <w:r w:rsidRPr="00A72F5F">
        <w:rPr>
          <w:rFonts w:ascii="Arial" w:hAnsi="Arial" w:cs="Arial"/>
        </w:rPr>
        <w:t>, 6, p. 24705470221118574. Available at: https://doi.org/10.1177/24705470221118574.</w:t>
      </w:r>
    </w:p>
    <w:p w14:paraId="274097A2" w14:textId="77777777" w:rsidR="007F4C7C" w:rsidRDefault="009A155B" w:rsidP="009A155B">
      <w:pPr>
        <w:spacing w:line="360" w:lineRule="auto"/>
        <w:jc w:val="both"/>
        <w:rPr>
          <w:rFonts w:ascii="Times New Roman" w:hAnsi="Times New Roman" w:cs="Times New Roman"/>
          <w:sz w:val="24"/>
        </w:rPr>
      </w:pPr>
      <w:r w:rsidRPr="009A155B">
        <w:rPr>
          <w:rFonts w:ascii="Arial" w:hAnsi="Arial" w:cs="Arial"/>
        </w:rPr>
        <w:fldChar w:fldCharType="end"/>
      </w:r>
    </w:p>
    <w:p w14:paraId="7405E150" w14:textId="77777777" w:rsidR="007F4C7C" w:rsidRDefault="007F4C7C" w:rsidP="007F4C7C">
      <w:pPr>
        <w:spacing w:line="360" w:lineRule="auto"/>
        <w:jc w:val="both"/>
        <w:rPr>
          <w:rFonts w:ascii="Times New Roman" w:hAnsi="Times New Roman" w:cs="Times New Roman"/>
          <w:sz w:val="24"/>
        </w:rPr>
      </w:pPr>
    </w:p>
    <w:p w14:paraId="20A1B47F" w14:textId="77777777" w:rsidR="007F4C7C" w:rsidRDefault="007F4C7C" w:rsidP="007F4C7C">
      <w:pPr>
        <w:spacing w:line="360" w:lineRule="auto"/>
        <w:jc w:val="both"/>
        <w:rPr>
          <w:rFonts w:ascii="Times New Roman" w:hAnsi="Times New Roman" w:cs="Times New Roman"/>
          <w:sz w:val="24"/>
        </w:rPr>
      </w:pPr>
    </w:p>
    <w:p w14:paraId="76963E7B" w14:textId="77777777" w:rsidR="007F4C7C" w:rsidRDefault="007F4C7C" w:rsidP="007F4C7C">
      <w:pPr>
        <w:spacing w:line="360" w:lineRule="auto"/>
        <w:jc w:val="both"/>
        <w:rPr>
          <w:rFonts w:ascii="Times New Roman" w:hAnsi="Times New Roman" w:cs="Times New Roman"/>
          <w:sz w:val="24"/>
        </w:rPr>
      </w:pPr>
    </w:p>
    <w:p w14:paraId="7CE7E66C" w14:textId="77777777" w:rsidR="007F4C7C" w:rsidRDefault="007F4C7C" w:rsidP="007F4C7C">
      <w:pPr>
        <w:spacing w:line="360" w:lineRule="auto"/>
        <w:jc w:val="both"/>
        <w:rPr>
          <w:rFonts w:ascii="Times New Roman" w:hAnsi="Times New Roman" w:cs="Times New Roman"/>
          <w:sz w:val="24"/>
        </w:rPr>
      </w:pPr>
    </w:p>
    <w:p w14:paraId="677FB33F" w14:textId="77777777" w:rsidR="007F4C7C" w:rsidRDefault="007F4C7C" w:rsidP="007F4C7C">
      <w:pPr>
        <w:spacing w:line="360" w:lineRule="auto"/>
        <w:jc w:val="both"/>
        <w:rPr>
          <w:rFonts w:ascii="Times New Roman" w:hAnsi="Times New Roman" w:cs="Times New Roman"/>
          <w:sz w:val="24"/>
        </w:rPr>
      </w:pPr>
    </w:p>
    <w:p w14:paraId="290C5506" w14:textId="77777777" w:rsidR="007F4C7C" w:rsidRDefault="007F4C7C" w:rsidP="007F4C7C">
      <w:pPr>
        <w:spacing w:line="360" w:lineRule="auto"/>
        <w:jc w:val="both"/>
        <w:rPr>
          <w:rFonts w:ascii="Times New Roman" w:hAnsi="Times New Roman" w:cs="Times New Roman"/>
          <w:sz w:val="24"/>
        </w:rPr>
      </w:pPr>
    </w:p>
    <w:p w14:paraId="5926988D" w14:textId="77777777" w:rsidR="007F4C7C" w:rsidRDefault="007F4C7C" w:rsidP="007F4C7C">
      <w:pPr>
        <w:spacing w:line="360" w:lineRule="auto"/>
        <w:jc w:val="both"/>
        <w:rPr>
          <w:rFonts w:ascii="Times New Roman" w:hAnsi="Times New Roman" w:cs="Times New Roman"/>
          <w:sz w:val="24"/>
        </w:rPr>
      </w:pPr>
    </w:p>
    <w:p w14:paraId="38B73D1A" w14:textId="77777777" w:rsidR="007F4C7C" w:rsidRDefault="007F4C7C" w:rsidP="007F4C7C">
      <w:pPr>
        <w:spacing w:line="360" w:lineRule="auto"/>
        <w:jc w:val="both"/>
        <w:rPr>
          <w:rFonts w:ascii="Times New Roman" w:hAnsi="Times New Roman" w:cs="Times New Roman"/>
          <w:sz w:val="24"/>
        </w:rPr>
      </w:pPr>
    </w:p>
    <w:p w14:paraId="68AFED27" w14:textId="77777777" w:rsidR="007F4C7C" w:rsidRDefault="007F4C7C" w:rsidP="007F4C7C">
      <w:pPr>
        <w:spacing w:line="360" w:lineRule="auto"/>
        <w:jc w:val="both"/>
        <w:rPr>
          <w:rFonts w:ascii="Times New Roman" w:hAnsi="Times New Roman" w:cs="Times New Roman"/>
          <w:sz w:val="24"/>
        </w:rPr>
      </w:pPr>
    </w:p>
    <w:p w14:paraId="4029E1C9" w14:textId="77777777" w:rsidR="007F4C7C" w:rsidRDefault="007F4C7C" w:rsidP="007F4C7C">
      <w:pPr>
        <w:spacing w:line="360" w:lineRule="auto"/>
        <w:jc w:val="both"/>
        <w:rPr>
          <w:rFonts w:ascii="Times New Roman" w:hAnsi="Times New Roman" w:cs="Times New Roman"/>
          <w:sz w:val="24"/>
        </w:rPr>
      </w:pPr>
    </w:p>
    <w:p w14:paraId="21C7B616" w14:textId="77777777" w:rsidR="007F4C7C" w:rsidRDefault="007F4C7C" w:rsidP="007F4C7C">
      <w:pPr>
        <w:spacing w:line="360" w:lineRule="auto"/>
        <w:jc w:val="both"/>
        <w:rPr>
          <w:rFonts w:ascii="Times New Roman" w:hAnsi="Times New Roman" w:cs="Times New Roman"/>
          <w:sz w:val="24"/>
        </w:rPr>
      </w:pPr>
    </w:p>
    <w:p w14:paraId="05A12A36" w14:textId="77777777" w:rsidR="007F4C7C" w:rsidRDefault="007F4C7C" w:rsidP="007F4C7C">
      <w:pPr>
        <w:spacing w:line="360" w:lineRule="auto"/>
        <w:jc w:val="both"/>
        <w:rPr>
          <w:rFonts w:ascii="Times New Roman" w:hAnsi="Times New Roman" w:cs="Times New Roman"/>
          <w:sz w:val="24"/>
        </w:rPr>
      </w:pPr>
    </w:p>
    <w:p w14:paraId="12DD0049" w14:textId="77777777" w:rsidR="007F4C7C" w:rsidRDefault="007F4C7C" w:rsidP="007F4C7C">
      <w:pPr>
        <w:spacing w:line="360" w:lineRule="auto"/>
        <w:jc w:val="both"/>
        <w:rPr>
          <w:rFonts w:ascii="Times New Roman" w:hAnsi="Times New Roman" w:cs="Times New Roman"/>
          <w:sz w:val="24"/>
        </w:rPr>
      </w:pPr>
    </w:p>
    <w:p w14:paraId="43609981" w14:textId="77777777" w:rsidR="007F4C7C" w:rsidRDefault="007F4C7C" w:rsidP="007F4C7C">
      <w:pPr>
        <w:spacing w:line="360" w:lineRule="auto"/>
        <w:jc w:val="both"/>
        <w:rPr>
          <w:rFonts w:ascii="Times New Roman" w:hAnsi="Times New Roman" w:cs="Times New Roman"/>
          <w:sz w:val="24"/>
        </w:rPr>
      </w:pPr>
    </w:p>
    <w:p w14:paraId="6BEDD169" w14:textId="77777777" w:rsidR="007F4C7C" w:rsidRDefault="007F4C7C" w:rsidP="007F4C7C">
      <w:pPr>
        <w:spacing w:line="360" w:lineRule="auto"/>
        <w:jc w:val="both"/>
        <w:rPr>
          <w:rFonts w:ascii="Times New Roman" w:hAnsi="Times New Roman" w:cs="Times New Roman"/>
          <w:sz w:val="24"/>
        </w:rPr>
      </w:pPr>
    </w:p>
    <w:p w14:paraId="1D87AA66" w14:textId="77777777" w:rsidR="007F4C7C" w:rsidRDefault="007F4C7C" w:rsidP="007F4C7C">
      <w:pPr>
        <w:spacing w:line="360" w:lineRule="auto"/>
        <w:jc w:val="both"/>
        <w:rPr>
          <w:rFonts w:ascii="Times New Roman" w:hAnsi="Times New Roman" w:cs="Times New Roman"/>
          <w:sz w:val="24"/>
        </w:rPr>
      </w:pPr>
    </w:p>
    <w:p w14:paraId="78A0CB44" w14:textId="77777777" w:rsidR="007F4C7C" w:rsidRDefault="007F4C7C" w:rsidP="007F4C7C">
      <w:pPr>
        <w:spacing w:line="360" w:lineRule="auto"/>
        <w:jc w:val="both"/>
        <w:rPr>
          <w:rFonts w:ascii="Times New Roman" w:hAnsi="Times New Roman" w:cs="Times New Roman"/>
          <w:sz w:val="24"/>
        </w:rPr>
      </w:pPr>
    </w:p>
    <w:p w14:paraId="4BA2E318" w14:textId="77777777" w:rsidR="007F4C7C" w:rsidRDefault="007F4C7C" w:rsidP="007F4C7C">
      <w:pPr>
        <w:spacing w:line="360" w:lineRule="auto"/>
        <w:jc w:val="both"/>
        <w:rPr>
          <w:rFonts w:ascii="Times New Roman" w:hAnsi="Times New Roman" w:cs="Times New Roman"/>
          <w:sz w:val="24"/>
        </w:rPr>
      </w:pPr>
    </w:p>
    <w:p w14:paraId="42EEDF11" w14:textId="77777777" w:rsidR="007F4C7C" w:rsidRDefault="007F4C7C" w:rsidP="007F4C7C">
      <w:pPr>
        <w:spacing w:line="360" w:lineRule="auto"/>
        <w:jc w:val="both"/>
        <w:rPr>
          <w:rFonts w:ascii="Times New Roman" w:hAnsi="Times New Roman" w:cs="Times New Roman"/>
          <w:sz w:val="24"/>
        </w:rPr>
      </w:pPr>
    </w:p>
    <w:p w14:paraId="60F076BA" w14:textId="77777777" w:rsidR="007F4C7C" w:rsidRDefault="007F4C7C" w:rsidP="007F4C7C">
      <w:pPr>
        <w:spacing w:line="360" w:lineRule="auto"/>
        <w:jc w:val="both"/>
        <w:rPr>
          <w:rFonts w:ascii="Times New Roman" w:hAnsi="Times New Roman" w:cs="Times New Roman"/>
          <w:sz w:val="24"/>
        </w:rPr>
      </w:pPr>
    </w:p>
    <w:p w14:paraId="04079876" w14:textId="77777777" w:rsidR="007F4C7C" w:rsidRDefault="007F4C7C" w:rsidP="007F4C7C">
      <w:pPr>
        <w:spacing w:line="360" w:lineRule="auto"/>
        <w:jc w:val="both"/>
      </w:pPr>
    </w:p>
    <w:sectPr w:rsidR="007F4C7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EB679C" w14:textId="77777777" w:rsidR="009D6EDE" w:rsidRDefault="009D6EDE" w:rsidP="007F4C7C">
      <w:pPr>
        <w:spacing w:after="0" w:line="240" w:lineRule="auto"/>
      </w:pPr>
      <w:r>
        <w:separator/>
      </w:r>
    </w:p>
  </w:endnote>
  <w:endnote w:type="continuationSeparator" w:id="0">
    <w:p w14:paraId="51A0A163" w14:textId="77777777" w:rsidR="009D6EDE" w:rsidRDefault="009D6EDE" w:rsidP="007F4C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5082491"/>
      <w:docPartObj>
        <w:docPartGallery w:val="Page Numbers (Bottom of Page)"/>
        <w:docPartUnique/>
      </w:docPartObj>
    </w:sdtPr>
    <w:sdtEndPr>
      <w:rPr>
        <w:rFonts w:ascii="Arial" w:hAnsi="Arial" w:cs="Arial"/>
        <w:noProof/>
        <w:sz w:val="24"/>
      </w:rPr>
    </w:sdtEndPr>
    <w:sdtContent>
      <w:p w14:paraId="5C79E2F8" w14:textId="77777777" w:rsidR="007F4C7C" w:rsidRPr="007F4C7C" w:rsidRDefault="007F4C7C">
        <w:pPr>
          <w:pStyle w:val="Footer"/>
          <w:jc w:val="center"/>
          <w:rPr>
            <w:rFonts w:ascii="Arial" w:hAnsi="Arial" w:cs="Arial"/>
            <w:sz w:val="24"/>
          </w:rPr>
        </w:pPr>
        <w:r w:rsidRPr="007F4C7C">
          <w:rPr>
            <w:rFonts w:ascii="Arial" w:hAnsi="Arial" w:cs="Arial"/>
            <w:sz w:val="24"/>
          </w:rPr>
          <w:fldChar w:fldCharType="begin"/>
        </w:r>
        <w:r w:rsidRPr="007F4C7C">
          <w:rPr>
            <w:rFonts w:ascii="Arial" w:hAnsi="Arial" w:cs="Arial"/>
            <w:sz w:val="24"/>
          </w:rPr>
          <w:instrText xml:space="preserve"> PAGE   \* MERGEFORMAT </w:instrText>
        </w:r>
        <w:r w:rsidRPr="007F4C7C">
          <w:rPr>
            <w:rFonts w:ascii="Arial" w:hAnsi="Arial" w:cs="Arial"/>
            <w:sz w:val="24"/>
          </w:rPr>
          <w:fldChar w:fldCharType="separate"/>
        </w:r>
        <w:r w:rsidR="00591F35">
          <w:rPr>
            <w:rFonts w:ascii="Arial" w:hAnsi="Arial" w:cs="Arial"/>
            <w:noProof/>
            <w:sz w:val="24"/>
          </w:rPr>
          <w:t>1</w:t>
        </w:r>
        <w:r w:rsidRPr="007F4C7C">
          <w:rPr>
            <w:rFonts w:ascii="Arial" w:hAnsi="Arial" w:cs="Arial"/>
            <w:noProof/>
            <w:sz w:val="24"/>
          </w:rPr>
          <w:fldChar w:fldCharType="end"/>
        </w:r>
      </w:p>
    </w:sdtContent>
  </w:sdt>
  <w:p w14:paraId="4B0518B0" w14:textId="77777777" w:rsidR="007F4C7C" w:rsidRDefault="007F4C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3B188F" w14:textId="77777777" w:rsidR="009D6EDE" w:rsidRDefault="009D6EDE" w:rsidP="007F4C7C">
      <w:pPr>
        <w:spacing w:after="0" w:line="240" w:lineRule="auto"/>
      </w:pPr>
      <w:r>
        <w:separator/>
      </w:r>
    </w:p>
  </w:footnote>
  <w:footnote w:type="continuationSeparator" w:id="0">
    <w:p w14:paraId="01A770AD" w14:textId="77777777" w:rsidR="009D6EDE" w:rsidRDefault="009D6EDE" w:rsidP="007F4C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9141D4"/>
    <w:multiLevelType w:val="hybridMultilevel"/>
    <w:tmpl w:val="3E1E8E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78326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4C7C"/>
    <w:rsid w:val="00026995"/>
    <w:rsid w:val="00046D71"/>
    <w:rsid w:val="00122307"/>
    <w:rsid w:val="00132149"/>
    <w:rsid w:val="001F3B86"/>
    <w:rsid w:val="00210588"/>
    <w:rsid w:val="00240629"/>
    <w:rsid w:val="0026318C"/>
    <w:rsid w:val="002E0785"/>
    <w:rsid w:val="00322A64"/>
    <w:rsid w:val="003258F4"/>
    <w:rsid w:val="0042300F"/>
    <w:rsid w:val="004B2C2B"/>
    <w:rsid w:val="00586748"/>
    <w:rsid w:val="00591F35"/>
    <w:rsid w:val="00781AF1"/>
    <w:rsid w:val="007F4C7C"/>
    <w:rsid w:val="008D7A39"/>
    <w:rsid w:val="00936440"/>
    <w:rsid w:val="009A0EB4"/>
    <w:rsid w:val="009A155B"/>
    <w:rsid w:val="009D6EDE"/>
    <w:rsid w:val="00A72F5F"/>
    <w:rsid w:val="00B36F61"/>
    <w:rsid w:val="00B85F95"/>
    <w:rsid w:val="00BB4ED0"/>
    <w:rsid w:val="00BD6C55"/>
    <w:rsid w:val="00CB7574"/>
    <w:rsid w:val="00D472DD"/>
    <w:rsid w:val="00F152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2399C7"/>
  <w15:chartTrackingRefBased/>
  <w15:docId w15:val="{EB24CCE9-EFF1-4305-AA56-01EA153DDA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4C7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4C7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F4C7C"/>
    <w:pPr>
      <w:outlineLvl w:val="9"/>
    </w:pPr>
    <w:rPr>
      <w:lang w:val="en-US"/>
    </w:rPr>
  </w:style>
  <w:style w:type="paragraph" w:styleId="Header">
    <w:name w:val="header"/>
    <w:basedOn w:val="Normal"/>
    <w:link w:val="HeaderChar"/>
    <w:uiPriority w:val="99"/>
    <w:unhideWhenUsed/>
    <w:rsid w:val="007F4C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4C7C"/>
  </w:style>
  <w:style w:type="paragraph" w:styleId="Footer">
    <w:name w:val="footer"/>
    <w:basedOn w:val="Normal"/>
    <w:link w:val="FooterChar"/>
    <w:uiPriority w:val="99"/>
    <w:unhideWhenUsed/>
    <w:rsid w:val="007F4C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4C7C"/>
  </w:style>
  <w:style w:type="paragraph" w:styleId="Bibliography">
    <w:name w:val="Bibliography"/>
    <w:basedOn w:val="Normal"/>
    <w:next w:val="Normal"/>
    <w:uiPriority w:val="37"/>
    <w:unhideWhenUsed/>
    <w:rsid w:val="009A155B"/>
    <w:pPr>
      <w:spacing w:after="240" w:line="240" w:lineRule="auto"/>
    </w:pPr>
  </w:style>
  <w:style w:type="paragraph" w:styleId="TOC1">
    <w:name w:val="toc 1"/>
    <w:basedOn w:val="Normal"/>
    <w:next w:val="Normal"/>
    <w:autoRedefine/>
    <w:uiPriority w:val="39"/>
    <w:unhideWhenUsed/>
    <w:rsid w:val="00781AF1"/>
    <w:pPr>
      <w:spacing w:after="100"/>
    </w:pPr>
  </w:style>
  <w:style w:type="character" w:styleId="Hyperlink">
    <w:name w:val="Hyperlink"/>
    <w:basedOn w:val="DefaultParagraphFont"/>
    <w:uiPriority w:val="99"/>
    <w:unhideWhenUsed/>
    <w:rsid w:val="00781AF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435A3D1-864E-4520-A70C-075170ADFC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1</Pages>
  <Words>4624</Words>
  <Characters>26363</Characters>
  <Application>Microsoft Office Word</Application>
  <DocSecurity>0</DocSecurity>
  <Lines>219</Lines>
  <Paragraphs>61</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1. Introduction</vt:lpstr>
      <vt:lpstr>2. Measuring and Monitoring Depression</vt:lpstr>
      <vt:lpstr>3. Control of Depression</vt:lpstr>
      <vt:lpstr>4. Consequences on Individuals and the Community</vt:lpstr>
      <vt:lpstr>5. Health and Social Care Support Services</vt:lpstr>
      <vt:lpstr>6. Conclusion</vt:lpstr>
    </vt:vector>
  </TitlesOfParts>
  <Company/>
  <LinksUpToDate>false</LinksUpToDate>
  <CharactersWithSpaces>30926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Hamna Nasir (2523960)</cp:lastModifiedBy>
  <cp:revision>21</cp:revision>
  <dcterms:created xsi:type="dcterms:W3CDTF">2026-07-02T16:19:00Z</dcterms:created>
  <dcterms:modified xsi:type="dcterms:W3CDTF">2026-08-14T08:22:00Z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zotero-version="9.0.6"&gt;&lt;session id="fpweRHhw"/&gt;&lt;style id="http://www.zotero.org/styles/harvard-cite-them-right" locale="en-GB" hasBibliography="1" bibliographyStyleHasBeenSet="1"/&gt;&lt;prefs&gt;&lt;pref name="fieldType" value="Field"/&gt;&lt;/prefs</vt:lpwstr>
  </property>
  <property fmtid="{D5CDD505-2E9C-101B-9397-08002B2CF9AE}" pid="3" name="ZOTERO_PREF_2">
    <vt:lpwstr>&gt;&lt;/data&gt;</vt:lpwstr>
  </property>
</Properties>
</file>