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8CB613" w14:textId="014B9B7A" w:rsidR="00B66E21" w:rsidRDefault="00B66E21">
      <w:pPr>
        <w:pStyle w:val="Heading2"/>
        <w:spacing w:after="263"/>
        <w:ind w:left="-5"/>
      </w:pPr>
    </w:p>
    <w:p w14:paraId="5A31D6E2" w14:textId="77777777" w:rsidR="00B66E21" w:rsidRDefault="00001092">
      <w:pPr>
        <w:spacing w:after="269" w:line="259" w:lineRule="auto"/>
        <w:ind w:left="0" w:firstLine="0"/>
        <w:jc w:val="left"/>
      </w:pPr>
      <w:r>
        <w:rPr>
          <w:b/>
        </w:rPr>
        <w:t xml:space="preserve"> </w:t>
      </w:r>
    </w:p>
    <w:p w14:paraId="450D9017" w14:textId="77777777" w:rsidR="00B66E21" w:rsidRDefault="00001092">
      <w:pPr>
        <w:spacing w:after="263" w:line="259" w:lineRule="auto"/>
        <w:ind w:left="0" w:firstLine="0"/>
        <w:jc w:val="left"/>
      </w:pPr>
      <w:r>
        <w:rPr>
          <w:b/>
        </w:rPr>
        <w:t xml:space="preserve"> </w:t>
      </w:r>
    </w:p>
    <w:p w14:paraId="345DA317" w14:textId="77777777" w:rsidR="00B66E21" w:rsidRDefault="00001092">
      <w:pPr>
        <w:spacing w:after="268" w:line="259" w:lineRule="auto"/>
        <w:ind w:left="0" w:firstLine="0"/>
        <w:jc w:val="left"/>
      </w:pPr>
      <w:r>
        <w:rPr>
          <w:b/>
        </w:rPr>
        <w:t xml:space="preserve"> </w:t>
      </w:r>
    </w:p>
    <w:p w14:paraId="07466FF1" w14:textId="77777777" w:rsidR="00B66E21" w:rsidRDefault="00001092">
      <w:pPr>
        <w:spacing w:after="264" w:line="259" w:lineRule="auto"/>
        <w:ind w:left="0" w:firstLine="0"/>
        <w:jc w:val="left"/>
      </w:pPr>
      <w:r>
        <w:rPr>
          <w:b/>
        </w:rPr>
        <w:t xml:space="preserve"> </w:t>
      </w:r>
    </w:p>
    <w:p w14:paraId="34412813" w14:textId="77777777" w:rsidR="00B66E21" w:rsidRDefault="00001092">
      <w:pPr>
        <w:spacing w:after="161" w:line="392" w:lineRule="auto"/>
        <w:jc w:val="center"/>
      </w:pPr>
      <w:r>
        <w:rPr>
          <w:b/>
        </w:rPr>
        <w:t xml:space="preserve">Domiciliary Care Services in the UK: Development, Functioning and Impact on Service Users </w:t>
      </w:r>
    </w:p>
    <w:p w14:paraId="42AB2B3B" w14:textId="2E3AE195" w:rsidR="00B66E21" w:rsidRDefault="00B30C4B">
      <w:pPr>
        <w:spacing w:after="301" w:line="259" w:lineRule="auto"/>
        <w:ind w:right="16"/>
        <w:jc w:val="center"/>
      </w:pPr>
      <w:r>
        <w:rPr>
          <w:b/>
        </w:rPr>
        <w:t>Zorha Begum Hussain</w:t>
      </w:r>
      <w:r w:rsidR="00001092">
        <w:rPr>
          <w:b/>
        </w:rPr>
        <w:t xml:space="preserve"> </w:t>
      </w:r>
    </w:p>
    <w:p w14:paraId="4EE8ACAC" w14:textId="6B0CBC52" w:rsidR="001907DF" w:rsidRDefault="001907DF" w:rsidP="00217763">
      <w:pPr>
        <w:spacing w:after="301" w:line="259" w:lineRule="auto"/>
        <w:ind w:right="6"/>
        <w:jc w:val="center"/>
        <w:rPr>
          <w:b/>
        </w:rPr>
      </w:pPr>
      <w:r>
        <w:rPr>
          <w:b/>
        </w:rPr>
        <w:t>Student number:</w:t>
      </w:r>
      <w:r w:rsidR="00D81AF6">
        <w:rPr>
          <w:b/>
        </w:rPr>
        <w:t xml:space="preserve"> </w:t>
      </w:r>
      <w:r>
        <w:rPr>
          <w:b/>
        </w:rPr>
        <w:t>2245</w:t>
      </w:r>
      <w:r w:rsidR="00D81AF6">
        <w:rPr>
          <w:b/>
        </w:rPr>
        <w:t>489</w:t>
      </w:r>
    </w:p>
    <w:p w14:paraId="6A889417" w14:textId="2CCB2997" w:rsidR="00D81AF6" w:rsidRDefault="00490E86" w:rsidP="00217763">
      <w:pPr>
        <w:spacing w:after="301" w:line="259" w:lineRule="auto"/>
        <w:ind w:right="6"/>
        <w:jc w:val="center"/>
        <w:rPr>
          <w:b/>
        </w:rPr>
      </w:pPr>
      <w:r>
        <w:rPr>
          <w:b/>
        </w:rPr>
        <w:t xml:space="preserve">Health and social care </w:t>
      </w:r>
      <w:r w:rsidR="005413FC">
        <w:rPr>
          <w:b/>
        </w:rPr>
        <w:t>LCH4003</w:t>
      </w:r>
    </w:p>
    <w:p w14:paraId="77CFE549" w14:textId="7FBFAAA4" w:rsidR="005413FC" w:rsidRDefault="005413FC" w:rsidP="00217763">
      <w:pPr>
        <w:spacing w:after="301" w:line="259" w:lineRule="auto"/>
        <w:ind w:right="6"/>
        <w:jc w:val="center"/>
        <w:rPr>
          <w:b/>
        </w:rPr>
      </w:pPr>
      <w:r>
        <w:rPr>
          <w:b/>
        </w:rPr>
        <w:t xml:space="preserve">Tutor Helen </w:t>
      </w:r>
      <w:r w:rsidR="00DD42FC">
        <w:rPr>
          <w:b/>
        </w:rPr>
        <w:t>Parsons</w:t>
      </w:r>
    </w:p>
    <w:p w14:paraId="1B440E54" w14:textId="13C38597" w:rsidR="00217763" w:rsidRDefault="00001092" w:rsidP="00217763">
      <w:pPr>
        <w:spacing w:after="301" w:line="259" w:lineRule="auto"/>
        <w:ind w:right="6"/>
        <w:jc w:val="center"/>
      </w:pPr>
      <w:r>
        <w:rPr>
          <w:b/>
        </w:rPr>
        <w:t xml:space="preserve"> </w:t>
      </w:r>
      <w:r w:rsidR="006232F3">
        <w:t>28</w:t>
      </w:r>
      <w:r w:rsidR="00217763">
        <w:t>/06/2026</w:t>
      </w:r>
    </w:p>
    <w:p w14:paraId="0D7BC385" w14:textId="77777777" w:rsidR="00217763" w:rsidRPr="00217763" w:rsidRDefault="00217763" w:rsidP="00217763">
      <w:pPr>
        <w:spacing w:after="301" w:line="259" w:lineRule="auto"/>
        <w:ind w:right="6"/>
        <w:jc w:val="center"/>
      </w:pPr>
    </w:p>
    <w:p w14:paraId="777652AF" w14:textId="0D0F33D4" w:rsidR="00B66E21" w:rsidRDefault="00001092">
      <w:pPr>
        <w:pStyle w:val="Heading2"/>
        <w:tabs>
          <w:tab w:val="center" w:pos="4682"/>
          <w:tab w:val="center" w:pos="7875"/>
        </w:tabs>
        <w:ind w:left="0" w:firstLine="0"/>
      </w:pPr>
      <w:r>
        <w:rPr>
          <w:b w:val="0"/>
        </w:rPr>
        <w:tab/>
      </w:r>
      <w:r>
        <w:t xml:space="preserve"> </w:t>
      </w:r>
      <w:r>
        <w:br w:type="page"/>
      </w:r>
    </w:p>
    <w:sdt>
      <w:sdtPr>
        <w:id w:val="287550922"/>
        <w:docPartObj>
          <w:docPartGallery w:val="Table of Contents"/>
        </w:docPartObj>
      </w:sdtPr>
      <w:sdtEndPr/>
      <w:sdtContent>
        <w:p w14:paraId="114EF757" w14:textId="77777777" w:rsidR="00B66E21" w:rsidRDefault="00001092">
          <w:pPr>
            <w:spacing w:after="118" w:line="259" w:lineRule="auto"/>
            <w:ind w:right="10"/>
            <w:jc w:val="center"/>
          </w:pPr>
          <w:r>
            <w:rPr>
              <w:b/>
            </w:rPr>
            <w:t xml:space="preserve">Table of Contents </w:t>
          </w:r>
        </w:p>
        <w:p w14:paraId="1D739083" w14:textId="77777777" w:rsidR="00B66E21" w:rsidRDefault="00001092">
          <w:pPr>
            <w:pStyle w:val="TOC1"/>
            <w:tabs>
              <w:tab w:val="right" w:leader="dot" w:pos="9370"/>
            </w:tabs>
          </w:pPr>
          <w:r>
            <w:fldChar w:fldCharType="begin"/>
          </w:r>
          <w:r>
            <w:instrText xml:space="preserve"> TOC \o "1-1" \h \z \u </w:instrText>
          </w:r>
          <w:r>
            <w:fldChar w:fldCharType="separate"/>
          </w:r>
          <w:hyperlink w:anchor="_Toc3877">
            <w:r>
              <w:t>1. INTRODUCTION</w:t>
            </w:r>
            <w:r>
              <w:tab/>
            </w:r>
            <w:r>
              <w:fldChar w:fldCharType="begin"/>
            </w:r>
            <w:r>
              <w:instrText>PAGEREF _Toc3877 \h</w:instrText>
            </w:r>
            <w:r>
              <w:fldChar w:fldCharType="separate"/>
            </w:r>
            <w:r>
              <w:t xml:space="preserve">3 </w:t>
            </w:r>
            <w:r>
              <w:fldChar w:fldCharType="end"/>
            </w:r>
          </w:hyperlink>
        </w:p>
        <w:p w14:paraId="757BA523" w14:textId="77777777" w:rsidR="00B66E21" w:rsidRDefault="00001092">
          <w:pPr>
            <w:pStyle w:val="TOC1"/>
            <w:tabs>
              <w:tab w:val="right" w:leader="dot" w:pos="9370"/>
            </w:tabs>
          </w:pPr>
          <w:hyperlink w:anchor="_Toc3878">
            <w:r>
              <w:t>2. ORIGINS &amp; HISTORICAL DEVELOPMENT</w:t>
            </w:r>
            <w:r>
              <w:tab/>
            </w:r>
            <w:r>
              <w:fldChar w:fldCharType="begin"/>
            </w:r>
            <w:r>
              <w:instrText>PAGEREF _Toc3878 \h</w:instrText>
            </w:r>
            <w:r>
              <w:fldChar w:fldCharType="separate"/>
            </w:r>
            <w:r>
              <w:t xml:space="preserve">3 </w:t>
            </w:r>
            <w:r>
              <w:fldChar w:fldCharType="end"/>
            </w:r>
          </w:hyperlink>
        </w:p>
        <w:p w14:paraId="237B2EB8" w14:textId="77777777" w:rsidR="00B66E21" w:rsidRDefault="00001092">
          <w:pPr>
            <w:pStyle w:val="TOC1"/>
            <w:tabs>
              <w:tab w:val="right" w:leader="dot" w:pos="9370"/>
            </w:tabs>
          </w:pPr>
          <w:hyperlink w:anchor="_Toc3879">
            <w:r>
              <w:t>3. HOW DOMICILIARY CARE WORKS TODAY</w:t>
            </w:r>
            <w:r>
              <w:tab/>
            </w:r>
            <w:r>
              <w:fldChar w:fldCharType="begin"/>
            </w:r>
            <w:r>
              <w:instrText>PAGEREF _Toc3879 \h</w:instrText>
            </w:r>
            <w:r>
              <w:fldChar w:fldCharType="separate"/>
            </w:r>
            <w:r>
              <w:t xml:space="preserve">3 </w:t>
            </w:r>
            <w:r>
              <w:fldChar w:fldCharType="end"/>
            </w:r>
          </w:hyperlink>
        </w:p>
        <w:p w14:paraId="47BC1E30" w14:textId="77777777" w:rsidR="00B66E21" w:rsidRDefault="00001092">
          <w:pPr>
            <w:pStyle w:val="TOC1"/>
            <w:tabs>
              <w:tab w:val="right" w:leader="dot" w:pos="9370"/>
            </w:tabs>
          </w:pPr>
          <w:hyperlink w:anchor="_Toc3880">
            <w:r>
              <w:t>4. CRITICAL EVALUATION</w:t>
            </w:r>
            <w:r>
              <w:tab/>
            </w:r>
            <w:r>
              <w:fldChar w:fldCharType="begin"/>
            </w:r>
            <w:r>
              <w:instrText>PAGEREF _Toc3880 \h</w:instrText>
            </w:r>
            <w:r>
              <w:fldChar w:fldCharType="separate"/>
            </w:r>
            <w:r>
              <w:t xml:space="preserve">4 </w:t>
            </w:r>
            <w:r>
              <w:fldChar w:fldCharType="end"/>
            </w:r>
          </w:hyperlink>
        </w:p>
        <w:p w14:paraId="16DEED02" w14:textId="77777777" w:rsidR="00B66E21" w:rsidRDefault="00001092">
          <w:pPr>
            <w:pStyle w:val="TOC1"/>
            <w:tabs>
              <w:tab w:val="right" w:leader="dot" w:pos="9370"/>
            </w:tabs>
          </w:pPr>
          <w:hyperlink w:anchor="_Toc3881">
            <w:r>
              <w:t>5. IMPORTANCE TO SERVICE USERS</w:t>
            </w:r>
            <w:r>
              <w:tab/>
            </w:r>
            <w:r>
              <w:fldChar w:fldCharType="begin"/>
            </w:r>
            <w:r>
              <w:instrText>PAGEREF _Toc3881 \h</w:instrText>
            </w:r>
            <w:r>
              <w:fldChar w:fldCharType="separate"/>
            </w:r>
            <w:r>
              <w:t xml:space="preserve">4 </w:t>
            </w:r>
            <w:r>
              <w:fldChar w:fldCharType="end"/>
            </w:r>
          </w:hyperlink>
        </w:p>
        <w:p w14:paraId="013729D7" w14:textId="77777777" w:rsidR="00B66E21" w:rsidRDefault="00001092">
          <w:pPr>
            <w:pStyle w:val="TOC1"/>
            <w:tabs>
              <w:tab w:val="right" w:leader="dot" w:pos="9370"/>
            </w:tabs>
          </w:pPr>
          <w:hyperlink w:anchor="_Toc3882">
            <w:r>
              <w:t>CONCLUSION</w:t>
            </w:r>
            <w:r>
              <w:tab/>
            </w:r>
            <w:r>
              <w:fldChar w:fldCharType="begin"/>
            </w:r>
            <w:r>
              <w:instrText>PAGEREF _Toc3882 \h</w:instrText>
            </w:r>
            <w:r>
              <w:fldChar w:fldCharType="separate"/>
            </w:r>
            <w:r>
              <w:t xml:space="preserve">4 </w:t>
            </w:r>
            <w:r>
              <w:fldChar w:fldCharType="end"/>
            </w:r>
          </w:hyperlink>
        </w:p>
        <w:p w14:paraId="3C4CD4DA" w14:textId="77777777" w:rsidR="00B66E21" w:rsidRDefault="00001092">
          <w:pPr>
            <w:pStyle w:val="TOC1"/>
            <w:tabs>
              <w:tab w:val="right" w:leader="dot" w:pos="9370"/>
            </w:tabs>
          </w:pPr>
          <w:hyperlink w:anchor="_Toc3883">
            <w:r>
              <w:t>References</w:t>
            </w:r>
            <w:r>
              <w:tab/>
            </w:r>
            <w:r>
              <w:fldChar w:fldCharType="begin"/>
            </w:r>
            <w:r>
              <w:instrText>PAGEREF _Toc3883 \h</w:instrText>
            </w:r>
            <w:r>
              <w:fldChar w:fldCharType="separate"/>
            </w:r>
            <w:r>
              <w:t xml:space="preserve">5 </w:t>
            </w:r>
            <w:r>
              <w:fldChar w:fldCharType="end"/>
            </w:r>
          </w:hyperlink>
        </w:p>
        <w:p w14:paraId="6A8E8E6E" w14:textId="77777777" w:rsidR="00B66E21" w:rsidRDefault="00001092">
          <w:r>
            <w:fldChar w:fldCharType="end"/>
          </w:r>
        </w:p>
      </w:sdtContent>
    </w:sdt>
    <w:p w14:paraId="79FAF217" w14:textId="77777777" w:rsidR="00B66E21" w:rsidRDefault="00001092">
      <w:pPr>
        <w:spacing w:after="58" w:line="454" w:lineRule="auto"/>
        <w:ind w:left="-5" w:right="-4"/>
      </w:pPr>
      <w:r>
        <w:t xml:space="preserve"> </w:t>
      </w:r>
    </w:p>
    <w:p w14:paraId="2B265E48" w14:textId="77777777" w:rsidR="00B66E21" w:rsidRDefault="00001092">
      <w:pPr>
        <w:spacing w:after="0" w:line="259" w:lineRule="auto"/>
        <w:ind w:left="0" w:firstLine="0"/>
        <w:jc w:val="left"/>
      </w:pPr>
      <w:r>
        <w:t xml:space="preserve"> </w:t>
      </w:r>
      <w:r>
        <w:tab/>
      </w:r>
      <w:r>
        <w:rPr>
          <w:b/>
        </w:rPr>
        <w:t xml:space="preserve"> </w:t>
      </w:r>
      <w:r>
        <w:br w:type="page"/>
      </w:r>
    </w:p>
    <w:p w14:paraId="79FBC8A5" w14:textId="77777777" w:rsidR="00B66E21" w:rsidRDefault="00001092">
      <w:pPr>
        <w:pStyle w:val="Heading1"/>
        <w:ind w:left="234" w:hanging="249"/>
      </w:pPr>
      <w:bookmarkStart w:id="0" w:name="_Toc3877"/>
      <w:r>
        <w:lastRenderedPageBreak/>
        <w:t xml:space="preserve">INTRODUCTION  </w:t>
      </w:r>
      <w:bookmarkEnd w:id="0"/>
    </w:p>
    <w:p w14:paraId="4B4D4FA3" w14:textId="77777777" w:rsidR="00B66E21" w:rsidRDefault="00001092">
      <w:pPr>
        <w:spacing w:after="377"/>
        <w:ind w:left="-15" w:right="-4" w:firstLine="721"/>
      </w:pPr>
      <w:r>
        <w:t>Domiciliary Care is home care that is provided in someone's house and helps them to carry out their daily living and to be independent. It is critical to the UK social care system as it supports vulnerable members of society, including the elderly, disabled people and people with long-term health conditions. This care philosophy empowers people to be independent, minimizes hospital visits and enhances general wellbeing. It is well informed by the Care Act 2014 which places a strong emphasis on wellbeing and</w:t>
      </w:r>
      <w:r>
        <w:t xml:space="preserve"> person </w:t>
      </w:r>
      <w:proofErr w:type="spellStart"/>
      <w:r>
        <w:t>centred</w:t>
      </w:r>
      <w:proofErr w:type="spellEnd"/>
      <w:r>
        <w:t xml:space="preserve"> care, and is informed by the </w:t>
      </w:r>
      <w:proofErr w:type="spellStart"/>
      <w:r>
        <w:t>strengthsbased</w:t>
      </w:r>
      <w:proofErr w:type="spellEnd"/>
      <w:r>
        <w:t xml:space="preserve"> approach outlined by SCIE (2024). </w:t>
      </w:r>
    </w:p>
    <w:p w14:paraId="6FF4F70E" w14:textId="77777777" w:rsidR="00B66E21" w:rsidRDefault="00001092">
      <w:pPr>
        <w:pStyle w:val="Heading1"/>
        <w:ind w:left="234" w:hanging="249"/>
      </w:pPr>
      <w:bookmarkStart w:id="1" w:name="_Toc3878"/>
      <w:r>
        <w:t xml:space="preserve">ORIGINS &amp; HISTORICAL DEVELOPMENT  </w:t>
      </w:r>
      <w:bookmarkEnd w:id="1"/>
    </w:p>
    <w:p w14:paraId="23B6C1EF" w14:textId="77777777" w:rsidR="00B66E21" w:rsidRDefault="00001092">
      <w:pPr>
        <w:spacing w:after="382"/>
        <w:ind w:left="-15" w:right="-4" w:firstLine="721"/>
      </w:pPr>
      <w:r>
        <w:t>Previously the UK care system was very institutional, with people cared for in hospital or in residential care homes, not in their local communities. Social care reform and restructuring of the NHS from the 1970s onwards promoted support in the home, building on the principles of a community-</w:t>
      </w:r>
      <w:r>
        <w:t xml:space="preserve">based approach. This was designed to encourage independence and minimize long term </w:t>
      </w:r>
      <w:proofErr w:type="spellStart"/>
      <w:r>
        <w:t>institutionalisation</w:t>
      </w:r>
      <w:proofErr w:type="spellEnd"/>
      <w:r>
        <w:t xml:space="preserve">. The Care Act 2014 reinforced the importance of domiciliary care by focusing on principles that centre on "wellbeing", "prevention of illness" and the encouragement of independence. This is in line with a move from institutional approaches to care towards a more </w:t>
      </w:r>
      <w:proofErr w:type="spellStart"/>
      <w:r>
        <w:t>person-centred</w:t>
      </w:r>
      <w:proofErr w:type="spellEnd"/>
      <w:r>
        <w:t xml:space="preserve">, community-based approach, which is guided by SCIE (2024). </w:t>
      </w:r>
    </w:p>
    <w:p w14:paraId="353AAC3E" w14:textId="77777777" w:rsidR="00B66E21" w:rsidRDefault="00001092">
      <w:pPr>
        <w:pStyle w:val="Heading1"/>
        <w:ind w:left="234" w:hanging="249"/>
      </w:pPr>
      <w:bookmarkStart w:id="2" w:name="_Toc3879"/>
      <w:r>
        <w:t xml:space="preserve">HOW DOMICILIARY CARE WORKS TODAY  </w:t>
      </w:r>
      <w:bookmarkEnd w:id="2"/>
    </w:p>
    <w:p w14:paraId="26EE85C4" w14:textId="77777777" w:rsidR="00B66E21" w:rsidRDefault="00001092">
      <w:pPr>
        <w:ind w:left="-15" w:right="-4" w:firstLine="721"/>
      </w:pPr>
      <w:r>
        <w:t xml:space="preserve">In the UK, there are two forms of domiciliary care: that provided by the local authority and that offered by a private care agency (Samuel, 2025). Care workers make regular visits to people receiving care to provide necessary care and assistance in relation to their daily living skills. This includes help with personal care, medication, cooking, mobility and companionship, helping to combat social isolation. An </w:t>
      </w:r>
      <w:proofErr w:type="spellStart"/>
      <w:r>
        <w:t>individualised</w:t>
      </w:r>
      <w:proofErr w:type="spellEnd"/>
      <w:r>
        <w:t xml:space="preserve"> care plan is provided for each person, taking their needs and situation into account, to ensure care and support is tailored to them. Domiciliary care is based on the principle of helping people to be independent, safe and maintain their dignity, whilst also helping them to stay in their own home or in familiar environment. This is based on the strengths</w:t>
      </w:r>
      <w:r>
        <w:t>-</w:t>
      </w:r>
      <w:r>
        <w:lastRenderedPageBreak/>
        <w:t xml:space="preserve">based model outlined in the SCIE (2024) and principles of </w:t>
      </w:r>
      <w:proofErr w:type="spellStart"/>
      <w:r>
        <w:t>person-centred</w:t>
      </w:r>
      <w:proofErr w:type="spellEnd"/>
      <w:r>
        <w:t xml:space="preserve"> care set out in Adult Social Care Quality Matters (2023). </w:t>
      </w:r>
    </w:p>
    <w:p w14:paraId="278E6F5F" w14:textId="77777777" w:rsidR="00B66E21" w:rsidRDefault="00001092">
      <w:pPr>
        <w:pStyle w:val="Heading1"/>
        <w:ind w:left="234" w:hanging="249"/>
      </w:pPr>
      <w:bookmarkStart w:id="3" w:name="_Toc3880"/>
      <w:r>
        <w:t xml:space="preserve">CRITICAL EVALUATION  </w:t>
      </w:r>
      <w:bookmarkEnd w:id="3"/>
    </w:p>
    <w:p w14:paraId="1E5347B6" w14:textId="77777777" w:rsidR="00B66E21" w:rsidRDefault="00001092">
      <w:pPr>
        <w:spacing w:after="382"/>
        <w:ind w:left="-15" w:right="-4" w:firstLine="721"/>
      </w:pPr>
      <w:r>
        <w:t xml:space="preserve">Domiciliary care has a number of strengths in the UK social care system (Hughes and Burch, 2019).  It can help people stay safe and independent in their own homes, provides care that is tailored to their </w:t>
      </w:r>
      <w:r>
        <w:t>needs and supports their quality of life, and helps to prevent hospital admissions by offering preventative support. There are also major service challenges, such as low staff numbers, low wages and turnover leading to poorer service quality and greater working pressure for staff. There are also restrictions on the capacity of services due to funding constraints in local authorities. The Community Care (2025) article continues the discussion of the issues in the sector with regard to staffing and leadership</w:t>
      </w:r>
      <w:r>
        <w:t xml:space="preserve"> (</w:t>
      </w:r>
      <w:proofErr w:type="spellStart"/>
      <w:r>
        <w:t>Masis</w:t>
      </w:r>
      <w:proofErr w:type="spellEnd"/>
      <w:r>
        <w:t xml:space="preserve"> </w:t>
      </w:r>
      <w:r>
        <w:rPr>
          <w:i/>
        </w:rPr>
        <w:t>et al.</w:t>
      </w:r>
      <w:r>
        <w:t xml:space="preserve">, 2021). Domiciliary care is effective, but relies on sufficient staffing, funding and resources. The promotion of wellbeing is a key aspect of the Care Act 2014, but this is hindered by pressures in the system. </w:t>
      </w:r>
    </w:p>
    <w:p w14:paraId="7BF2CD6E" w14:textId="77777777" w:rsidR="00B66E21" w:rsidRDefault="00001092">
      <w:pPr>
        <w:pStyle w:val="Heading1"/>
        <w:ind w:left="234" w:hanging="249"/>
      </w:pPr>
      <w:bookmarkStart w:id="4" w:name="_Toc3881"/>
      <w:r>
        <w:t xml:space="preserve">IMPORTANCE TO SERVICE USERS  </w:t>
      </w:r>
      <w:bookmarkEnd w:id="4"/>
    </w:p>
    <w:p w14:paraId="2CBFFDA2" w14:textId="77777777" w:rsidR="00B66E21" w:rsidRDefault="00001092">
      <w:pPr>
        <w:spacing w:after="381"/>
        <w:ind w:left="-15" w:right="-4" w:firstLine="721"/>
      </w:pPr>
      <w:r>
        <w:t xml:space="preserve">For service users, it is very significant to have domiciliary care so that they can stay at their home while getting the care they need. It helps avoid the loss of dignity, independence and emotional well-being, and contributes to mental well-being </w:t>
      </w:r>
      <w:r>
        <w:t>(</w:t>
      </w:r>
      <w:proofErr w:type="spellStart"/>
      <w:r>
        <w:t>Cegarra</w:t>
      </w:r>
      <w:proofErr w:type="spellEnd"/>
      <w:r>
        <w:t xml:space="preserve"> </w:t>
      </w:r>
      <w:r>
        <w:rPr>
          <w:i/>
        </w:rPr>
        <w:t>et al.</w:t>
      </w:r>
      <w:r>
        <w:t xml:space="preserve">, 2023). The service provides a safe environment for vulnerable individuals and diminished </w:t>
      </w:r>
      <w:proofErr w:type="spellStart"/>
      <w:r>
        <w:t>institutionalisation</w:t>
      </w:r>
      <w:proofErr w:type="spellEnd"/>
      <w:r>
        <w:t xml:space="preserve"> use, with the service being provided in familiar environments. This is in line with the principles of </w:t>
      </w:r>
      <w:proofErr w:type="spellStart"/>
      <w:r>
        <w:t>personcentred</w:t>
      </w:r>
      <w:proofErr w:type="spellEnd"/>
      <w:r>
        <w:t xml:space="preserve"> approach (SCIE 2024). </w:t>
      </w:r>
    </w:p>
    <w:p w14:paraId="5C71EF50" w14:textId="77777777" w:rsidR="00B66E21" w:rsidRDefault="00001092">
      <w:pPr>
        <w:pStyle w:val="Heading1"/>
        <w:numPr>
          <w:ilvl w:val="0"/>
          <w:numId w:val="0"/>
        </w:numPr>
        <w:ind w:left="-5"/>
      </w:pPr>
      <w:bookmarkStart w:id="5" w:name="_Toc3882"/>
      <w:r>
        <w:t xml:space="preserve">CONCLUSION  </w:t>
      </w:r>
      <w:bookmarkEnd w:id="5"/>
    </w:p>
    <w:p w14:paraId="19F6CA7F" w14:textId="77777777" w:rsidR="00B66E21" w:rsidRDefault="00001092">
      <w:pPr>
        <w:spacing w:after="151"/>
        <w:ind w:left="-15" w:right="-4" w:firstLine="721"/>
      </w:pPr>
      <w:r>
        <w:t xml:space="preserve">To conclude, we can say that domiciliary care plays a pivotal role in enabling people to live independently at home and to get the support they need. It presents a lot of advantages but also has the problems of funding, staffing and service quality. This has been influenced by the Care Act 2014 which focuses on the requirement to improve funding, workforce and integrated services to address increasing demand. </w:t>
      </w:r>
    </w:p>
    <w:p w14:paraId="2BC33C56" w14:textId="77777777" w:rsidR="00B66E21" w:rsidRDefault="00001092">
      <w:pPr>
        <w:spacing w:after="259" w:line="259" w:lineRule="auto"/>
        <w:ind w:left="0" w:firstLine="0"/>
        <w:jc w:val="left"/>
      </w:pPr>
      <w:r>
        <w:lastRenderedPageBreak/>
        <w:t xml:space="preserve"> </w:t>
      </w:r>
    </w:p>
    <w:p w14:paraId="7BEE6CAE" w14:textId="77777777" w:rsidR="00B66E21" w:rsidRDefault="00001092">
      <w:pPr>
        <w:spacing w:after="0" w:line="259" w:lineRule="auto"/>
        <w:ind w:left="0" w:firstLine="0"/>
        <w:jc w:val="left"/>
      </w:pPr>
      <w:r>
        <w:t xml:space="preserve"> </w:t>
      </w:r>
      <w:r>
        <w:tab/>
      </w:r>
      <w:r>
        <w:rPr>
          <w:b/>
        </w:rPr>
        <w:t xml:space="preserve"> </w:t>
      </w:r>
    </w:p>
    <w:p w14:paraId="04CC4D52" w14:textId="77777777" w:rsidR="00B66E21" w:rsidRDefault="00001092">
      <w:pPr>
        <w:pStyle w:val="Heading1"/>
        <w:numPr>
          <w:ilvl w:val="0"/>
          <w:numId w:val="0"/>
        </w:numPr>
        <w:ind w:left="-5"/>
      </w:pPr>
      <w:bookmarkStart w:id="6" w:name="_Toc3883"/>
      <w:r>
        <w:t xml:space="preserve">References </w:t>
      </w:r>
      <w:bookmarkEnd w:id="6"/>
    </w:p>
    <w:p w14:paraId="2CBEEAE1" w14:textId="77777777" w:rsidR="00B66E21" w:rsidRDefault="00001092">
      <w:pPr>
        <w:spacing w:after="6"/>
        <w:ind w:left="706" w:right="-4" w:hanging="721"/>
      </w:pPr>
      <w:proofErr w:type="spellStart"/>
      <w:r>
        <w:t>Cegarra</w:t>
      </w:r>
      <w:proofErr w:type="spellEnd"/>
      <w:r>
        <w:t xml:space="preserve">, B. </w:t>
      </w:r>
      <w:r>
        <w:rPr>
          <w:i/>
        </w:rPr>
        <w:t>et al.</w:t>
      </w:r>
      <w:r>
        <w:t xml:space="preserve"> (2023) 'Independent living, emotional well-</w:t>
      </w:r>
      <w:r>
        <w:t xml:space="preserve">being, and quality of life in people with disabilities: the mediator role of self-determination and satisfaction with participation,' </w:t>
      </w:r>
      <w:r>
        <w:rPr>
          <w:i/>
        </w:rPr>
        <w:t>Frontiers in Psychology</w:t>
      </w:r>
      <w:r>
        <w:t xml:space="preserve">, 14, p. 1279014. </w:t>
      </w:r>
      <w:hyperlink r:id="rId7">
        <w:r>
          <w:rPr>
            <w:color w:val="0563C1"/>
            <w:u w:val="single" w:color="0563C1"/>
          </w:rPr>
          <w:t>https://doi.org/10.3389/fpsyg.2023.1279014</w:t>
        </w:r>
      </w:hyperlink>
      <w:hyperlink r:id="rId8">
        <w:r>
          <w:t>.</w:t>
        </w:r>
      </w:hyperlink>
      <w:r>
        <w:t xml:space="preserve"> </w:t>
      </w:r>
    </w:p>
    <w:p w14:paraId="33457409" w14:textId="77777777" w:rsidR="00B66E21" w:rsidRDefault="00001092">
      <w:pPr>
        <w:spacing w:after="5"/>
        <w:ind w:left="706" w:right="-4" w:hanging="721"/>
      </w:pPr>
      <w:r>
        <w:t xml:space="preserve">Hughes, S. and Burch, S. (2019) '‘I’m not just a number on a sheet, I’m a person’: Domiciliary care, self and getting older,' </w:t>
      </w:r>
      <w:r>
        <w:rPr>
          <w:i/>
        </w:rPr>
        <w:t>Health &amp; Social Care in the Community</w:t>
      </w:r>
      <w:r>
        <w:t xml:space="preserve">, 28(3), pp. 903–912. </w:t>
      </w:r>
      <w:hyperlink r:id="rId9">
        <w:r>
          <w:rPr>
            <w:color w:val="0563C1"/>
            <w:u w:val="single" w:color="0563C1"/>
          </w:rPr>
          <w:t>https://doi.org/10.1111/hsc.12921</w:t>
        </w:r>
      </w:hyperlink>
      <w:hyperlink r:id="rId10">
        <w:r>
          <w:t>.</w:t>
        </w:r>
      </w:hyperlink>
      <w:r>
        <w:t xml:space="preserve"> </w:t>
      </w:r>
    </w:p>
    <w:p w14:paraId="0A813CE3" w14:textId="77777777" w:rsidR="00B66E21" w:rsidRDefault="00001092">
      <w:pPr>
        <w:spacing w:after="8"/>
        <w:ind w:left="706" w:right="-4" w:hanging="721"/>
      </w:pPr>
      <w:proofErr w:type="spellStart"/>
      <w:r>
        <w:t>Masis</w:t>
      </w:r>
      <w:proofErr w:type="spellEnd"/>
      <w:r>
        <w:t xml:space="preserve">, L. </w:t>
      </w:r>
      <w:r>
        <w:rPr>
          <w:i/>
        </w:rPr>
        <w:t>et al.</w:t>
      </w:r>
      <w:r>
        <w:t xml:space="preserve"> (2021) 'Community health workers at the dawn of a new era: 4. </w:t>
      </w:r>
      <w:proofErr w:type="spellStart"/>
      <w:r>
        <w:t>Programme</w:t>
      </w:r>
      <w:proofErr w:type="spellEnd"/>
      <w:r>
        <w:t xml:space="preserve"> financing,' </w:t>
      </w:r>
      <w:r>
        <w:rPr>
          <w:i/>
        </w:rPr>
        <w:t>Health Research Policy and Systems</w:t>
      </w:r>
      <w:r>
        <w:t xml:space="preserve">, 19(S3), p. 107. </w:t>
      </w:r>
      <w:hyperlink r:id="rId11">
        <w:r>
          <w:rPr>
            <w:color w:val="0563C1"/>
            <w:u w:val="single" w:color="0563C1"/>
          </w:rPr>
          <w:t>https://doi.org/10.1186/s12961</w:t>
        </w:r>
      </w:hyperlink>
      <w:hyperlink r:id="rId12">
        <w:r>
          <w:rPr>
            <w:color w:val="0563C1"/>
            <w:u w:val="single" w:color="0563C1"/>
          </w:rPr>
          <w:t>-</w:t>
        </w:r>
      </w:hyperlink>
      <w:hyperlink r:id="rId13">
        <w:r>
          <w:rPr>
            <w:color w:val="0563C1"/>
            <w:u w:val="single" w:color="0563C1"/>
          </w:rPr>
          <w:t>021</w:t>
        </w:r>
      </w:hyperlink>
      <w:hyperlink r:id="rId14">
        <w:r>
          <w:rPr>
            <w:color w:val="0563C1"/>
            <w:u w:val="single" w:color="0563C1"/>
          </w:rPr>
          <w:t>-</w:t>
        </w:r>
      </w:hyperlink>
      <w:hyperlink r:id="rId15">
        <w:r>
          <w:rPr>
            <w:color w:val="0563C1"/>
            <w:u w:val="single" w:color="0563C1"/>
          </w:rPr>
          <w:t>00751</w:t>
        </w:r>
      </w:hyperlink>
      <w:hyperlink r:id="rId16">
        <w:r>
          <w:rPr>
            <w:color w:val="0563C1"/>
            <w:u w:val="single" w:color="0563C1"/>
          </w:rPr>
          <w:t>-</w:t>
        </w:r>
      </w:hyperlink>
      <w:hyperlink r:id="rId17">
        <w:r>
          <w:rPr>
            <w:color w:val="0563C1"/>
            <w:u w:val="single" w:color="0563C1"/>
          </w:rPr>
          <w:t>9</w:t>
        </w:r>
      </w:hyperlink>
      <w:hyperlink r:id="rId18">
        <w:r>
          <w:t>.</w:t>
        </w:r>
      </w:hyperlink>
      <w:r>
        <w:t xml:space="preserve"> </w:t>
      </w:r>
    </w:p>
    <w:p w14:paraId="1B098C1C" w14:textId="77777777" w:rsidR="00B66E21" w:rsidRDefault="00001092">
      <w:pPr>
        <w:spacing w:after="4" w:line="386" w:lineRule="auto"/>
        <w:ind w:left="716" w:hanging="731"/>
      </w:pPr>
      <w:r>
        <w:t xml:space="preserve">Samuel, M. (2025) 'Racial diversity remains low among children’s directors, reveals ADCS data,' </w:t>
      </w:r>
      <w:r>
        <w:rPr>
          <w:i/>
        </w:rPr>
        <w:t>Community Care</w:t>
      </w:r>
      <w:r>
        <w:t xml:space="preserve">, 27 October. </w:t>
      </w:r>
      <w:hyperlink r:id="rId19">
        <w:r>
          <w:rPr>
            <w:color w:val="0563C1"/>
            <w:u w:val="single" w:color="0563C1"/>
          </w:rPr>
          <w:t>https://www.communitycare.co.uk/content/news/racial</w:t>
        </w:r>
      </w:hyperlink>
      <w:hyperlink r:id="rId20"/>
      <w:hyperlink r:id="rId21">
        <w:r>
          <w:rPr>
            <w:color w:val="0563C1"/>
            <w:u w:val="single" w:color="0563C1"/>
          </w:rPr>
          <w:t>diversity</w:t>
        </w:r>
      </w:hyperlink>
      <w:hyperlink r:id="rId22">
        <w:r>
          <w:rPr>
            <w:color w:val="0563C1"/>
            <w:u w:val="single" w:color="0563C1"/>
          </w:rPr>
          <w:t>-</w:t>
        </w:r>
      </w:hyperlink>
      <w:hyperlink r:id="rId23">
        <w:r>
          <w:rPr>
            <w:color w:val="0563C1"/>
            <w:u w:val="single" w:color="0563C1"/>
          </w:rPr>
          <w:t>remains</w:t>
        </w:r>
      </w:hyperlink>
      <w:hyperlink r:id="rId24">
        <w:r>
          <w:rPr>
            <w:color w:val="0563C1"/>
            <w:u w:val="single" w:color="0563C1"/>
          </w:rPr>
          <w:t>-</w:t>
        </w:r>
      </w:hyperlink>
      <w:hyperlink r:id="rId25">
        <w:r>
          <w:rPr>
            <w:color w:val="0563C1"/>
            <w:u w:val="single" w:color="0563C1"/>
          </w:rPr>
          <w:t>low</w:t>
        </w:r>
      </w:hyperlink>
      <w:hyperlink r:id="rId26">
        <w:r>
          <w:rPr>
            <w:color w:val="0563C1"/>
            <w:u w:val="single" w:color="0563C1"/>
          </w:rPr>
          <w:t>-</w:t>
        </w:r>
      </w:hyperlink>
      <w:hyperlink r:id="rId27">
        <w:r>
          <w:rPr>
            <w:color w:val="0563C1"/>
            <w:u w:val="single" w:color="0563C1"/>
          </w:rPr>
          <w:t>among</w:t>
        </w:r>
      </w:hyperlink>
      <w:hyperlink r:id="rId28">
        <w:r>
          <w:rPr>
            <w:color w:val="0563C1"/>
            <w:u w:val="single" w:color="0563C1"/>
          </w:rPr>
          <w:t>-</w:t>
        </w:r>
      </w:hyperlink>
      <w:hyperlink r:id="rId29">
        <w:r>
          <w:rPr>
            <w:color w:val="0563C1"/>
            <w:u w:val="single" w:color="0563C1"/>
          </w:rPr>
          <w:t>childrens</w:t>
        </w:r>
      </w:hyperlink>
      <w:hyperlink r:id="rId30">
        <w:r>
          <w:rPr>
            <w:color w:val="0563C1"/>
            <w:u w:val="single" w:color="0563C1"/>
          </w:rPr>
          <w:t>-</w:t>
        </w:r>
      </w:hyperlink>
      <w:hyperlink r:id="rId31">
        <w:r>
          <w:rPr>
            <w:color w:val="0563C1"/>
            <w:u w:val="single" w:color="0563C1"/>
          </w:rPr>
          <w:t>directors</w:t>
        </w:r>
      </w:hyperlink>
      <w:hyperlink r:id="rId32">
        <w:r>
          <w:rPr>
            <w:color w:val="0563C1"/>
            <w:u w:val="single" w:color="0563C1"/>
          </w:rPr>
          <w:t>-</w:t>
        </w:r>
      </w:hyperlink>
      <w:hyperlink r:id="rId33">
        <w:r>
          <w:rPr>
            <w:color w:val="0563C1"/>
            <w:u w:val="single" w:color="0563C1"/>
          </w:rPr>
          <w:t>reveals</w:t>
        </w:r>
      </w:hyperlink>
      <w:hyperlink r:id="rId34">
        <w:r>
          <w:rPr>
            <w:color w:val="0563C1"/>
            <w:u w:val="single" w:color="0563C1"/>
          </w:rPr>
          <w:t>-</w:t>
        </w:r>
      </w:hyperlink>
      <w:hyperlink r:id="rId35">
        <w:r>
          <w:rPr>
            <w:color w:val="0563C1"/>
            <w:u w:val="single" w:color="0563C1"/>
          </w:rPr>
          <w:t>adcs</w:t>
        </w:r>
      </w:hyperlink>
      <w:hyperlink r:id="rId36">
        <w:r>
          <w:rPr>
            <w:color w:val="0563C1"/>
            <w:u w:val="single" w:color="0563C1"/>
          </w:rPr>
          <w:t>-</w:t>
        </w:r>
      </w:hyperlink>
      <w:hyperlink r:id="rId37">
        <w:r>
          <w:rPr>
            <w:color w:val="0563C1"/>
            <w:u w:val="single" w:color="0563C1"/>
          </w:rPr>
          <w:t>data</w:t>
        </w:r>
      </w:hyperlink>
      <w:hyperlink r:id="rId38">
        <w:r>
          <w:t>.</w:t>
        </w:r>
      </w:hyperlink>
      <w:r>
        <w:t xml:space="preserve"> </w:t>
      </w:r>
    </w:p>
    <w:p w14:paraId="5850D820" w14:textId="77777777" w:rsidR="00B66E21" w:rsidRDefault="00001092">
      <w:pPr>
        <w:spacing w:after="4" w:line="386" w:lineRule="auto"/>
        <w:ind w:left="716" w:hanging="731"/>
      </w:pPr>
      <w:r>
        <w:t xml:space="preserve">Social Care Institute for Excellence (SCIE) (2024) </w:t>
      </w:r>
      <w:r>
        <w:rPr>
          <w:i/>
        </w:rPr>
        <w:t>Care Act guidance on strengths-based approaches - SCIE</w:t>
      </w:r>
      <w:r>
        <w:t xml:space="preserve">. </w:t>
      </w:r>
      <w:hyperlink r:id="rId39">
        <w:r>
          <w:rPr>
            <w:color w:val="0563C1"/>
            <w:u w:val="single" w:color="0563C1"/>
          </w:rPr>
          <w:t>https://www.scie.org.uk/strengths</w:t>
        </w:r>
      </w:hyperlink>
      <w:hyperlink r:id="rId40">
        <w:r>
          <w:rPr>
            <w:color w:val="0563C1"/>
            <w:u w:val="single" w:color="0563C1"/>
          </w:rPr>
          <w:t>-</w:t>
        </w:r>
      </w:hyperlink>
      <w:hyperlink r:id="rId41">
        <w:r>
          <w:rPr>
            <w:color w:val="0563C1"/>
            <w:u w:val="single" w:color="0563C1"/>
          </w:rPr>
          <w:t>based</w:t>
        </w:r>
      </w:hyperlink>
      <w:hyperlink r:id="rId42">
        <w:r>
          <w:rPr>
            <w:color w:val="0563C1"/>
            <w:u w:val="single" w:color="0563C1"/>
          </w:rPr>
          <w:t>-</w:t>
        </w:r>
      </w:hyperlink>
      <w:hyperlink r:id="rId43">
        <w:r>
          <w:rPr>
            <w:color w:val="0563C1"/>
            <w:u w:val="single" w:color="0563C1"/>
          </w:rPr>
          <w:t>approaches/guidance/</w:t>
        </w:r>
      </w:hyperlink>
      <w:hyperlink r:id="rId44">
        <w:r>
          <w:t>.</w:t>
        </w:r>
      </w:hyperlink>
      <w:r>
        <w:t xml:space="preserve"> </w:t>
      </w:r>
    </w:p>
    <w:p w14:paraId="3080282E" w14:textId="77777777" w:rsidR="00B66E21" w:rsidRDefault="00001092">
      <w:pPr>
        <w:tabs>
          <w:tab w:val="center" w:pos="1592"/>
          <w:tab w:val="center" w:pos="3196"/>
          <w:tab w:val="center" w:pos="4436"/>
          <w:tab w:val="center" w:pos="5499"/>
          <w:tab w:val="center" w:pos="6616"/>
          <w:tab w:val="center" w:pos="7998"/>
          <w:tab w:val="right" w:pos="9370"/>
        </w:tabs>
        <w:spacing w:after="156" w:line="259" w:lineRule="auto"/>
        <w:ind w:left="-15" w:right="-4" w:firstLine="0"/>
        <w:jc w:val="left"/>
      </w:pPr>
      <w:r>
        <w:t xml:space="preserve">UK </w:t>
      </w:r>
      <w:r>
        <w:tab/>
        <w:t xml:space="preserve">Government </w:t>
      </w:r>
      <w:r>
        <w:tab/>
        <w:t xml:space="preserve">(2014) </w:t>
      </w:r>
      <w:r>
        <w:tab/>
      </w:r>
      <w:r>
        <w:rPr>
          <w:i/>
        </w:rPr>
        <w:t xml:space="preserve">Care </w:t>
      </w:r>
      <w:r>
        <w:rPr>
          <w:i/>
        </w:rPr>
        <w:tab/>
        <w:t xml:space="preserve">Act </w:t>
      </w:r>
      <w:r>
        <w:rPr>
          <w:i/>
        </w:rPr>
        <w:tab/>
        <w:t>2014</w:t>
      </w:r>
      <w:r>
        <w:t xml:space="preserve">. </w:t>
      </w:r>
      <w:r>
        <w:tab/>
        <w:t xml:space="preserve">Available </w:t>
      </w:r>
      <w:r>
        <w:tab/>
        <w:t xml:space="preserve">at: </w:t>
      </w:r>
    </w:p>
    <w:p w14:paraId="3F923D69" w14:textId="77777777" w:rsidR="00B66E21" w:rsidRDefault="00001092">
      <w:pPr>
        <w:spacing w:after="105" w:line="259" w:lineRule="auto"/>
        <w:ind w:left="721" w:firstLine="0"/>
      </w:pPr>
      <w:hyperlink r:id="rId45">
        <w:r>
          <w:rPr>
            <w:color w:val="0563C1"/>
            <w:u w:val="single" w:color="0563C1"/>
          </w:rPr>
          <w:t>https://www.legislation.gov.uk/ukpga/2014/23/contents</w:t>
        </w:r>
      </w:hyperlink>
      <w:hyperlink r:id="rId46">
        <w:r>
          <w:t xml:space="preserve"> </w:t>
        </w:r>
      </w:hyperlink>
    </w:p>
    <w:p w14:paraId="684AB0AC" w14:textId="77777777" w:rsidR="00B66E21" w:rsidRDefault="00001092">
      <w:pPr>
        <w:spacing w:after="0" w:line="259" w:lineRule="auto"/>
        <w:ind w:left="0" w:firstLine="0"/>
        <w:jc w:val="left"/>
      </w:pPr>
      <w:r>
        <w:t xml:space="preserve"> </w:t>
      </w:r>
    </w:p>
    <w:p w14:paraId="146893EC" w14:textId="77777777" w:rsidR="00B66E21" w:rsidRDefault="00B66E21">
      <w:pPr>
        <w:sectPr w:rsidR="00B66E21">
          <w:footerReference w:type="even" r:id="rId47"/>
          <w:footerReference w:type="default" r:id="rId48"/>
          <w:footerReference w:type="first" r:id="rId49"/>
          <w:pgSz w:w="12240" w:h="15840"/>
          <w:pgMar w:top="1442" w:right="1430" w:bottom="2935" w:left="1440" w:header="720" w:footer="714" w:gutter="0"/>
          <w:cols w:space="720"/>
        </w:sectPr>
      </w:pPr>
    </w:p>
    <w:p w14:paraId="0AFF8B9F" w14:textId="77777777" w:rsidR="00B66E21" w:rsidRDefault="00001092">
      <w:pPr>
        <w:spacing w:after="0" w:line="259" w:lineRule="auto"/>
        <w:ind w:left="0" w:firstLine="0"/>
        <w:jc w:val="left"/>
      </w:pPr>
      <w:r>
        <w:rPr>
          <w:rFonts w:ascii="Calibri" w:eastAsia="Calibri" w:hAnsi="Calibri" w:cs="Calibri"/>
          <w:sz w:val="24"/>
        </w:rPr>
        <w:lastRenderedPageBreak/>
        <w:t xml:space="preserve"> </w:t>
      </w:r>
    </w:p>
    <w:p w14:paraId="089BFFCC" w14:textId="77777777" w:rsidR="00B66E21" w:rsidRDefault="00001092">
      <w:pPr>
        <w:spacing w:after="0" w:line="740" w:lineRule="auto"/>
        <w:ind w:left="0" w:firstLine="564"/>
      </w:pPr>
      <w:r>
        <w:rPr>
          <w:noProof/>
        </w:rPr>
        <w:lastRenderedPageBreak/>
        <w:drawing>
          <wp:inline distT="0" distB="0" distL="0" distR="0" wp14:anchorId="4ABD115A" wp14:editId="524F97C4">
            <wp:extent cx="13914120" cy="9829419"/>
            <wp:effectExtent l="0" t="0" r="0" b="0"/>
            <wp:docPr id="767" name="Picture 767"/>
            <wp:cNvGraphicFramePr/>
            <a:graphic xmlns:a="http://schemas.openxmlformats.org/drawingml/2006/main">
              <a:graphicData uri="http://schemas.openxmlformats.org/drawingml/2006/picture">
                <pic:pic xmlns:pic="http://schemas.openxmlformats.org/drawingml/2006/picture">
                  <pic:nvPicPr>
                    <pic:cNvPr id="767" name="Picture 767"/>
                    <pic:cNvPicPr/>
                  </pic:nvPicPr>
                  <pic:blipFill>
                    <a:blip r:embed="rId50"/>
                    <a:stretch>
                      <a:fillRect/>
                    </a:stretch>
                  </pic:blipFill>
                  <pic:spPr>
                    <a:xfrm>
                      <a:off x="0" y="0"/>
                      <a:ext cx="13914120" cy="9829419"/>
                    </a:xfrm>
                    <a:prstGeom prst="rect">
                      <a:avLst/>
                    </a:prstGeom>
                  </pic:spPr>
                </pic:pic>
              </a:graphicData>
            </a:graphic>
          </wp:inline>
        </w:drawing>
      </w:r>
      <w:r>
        <w:rPr>
          <w:rFonts w:ascii="Calibri" w:eastAsia="Calibri" w:hAnsi="Calibri" w:cs="Calibri"/>
          <w:sz w:val="24"/>
        </w:rPr>
        <w:t xml:space="preserve">  </w:t>
      </w:r>
    </w:p>
    <w:p w14:paraId="63B0EEF4" w14:textId="77777777" w:rsidR="00B66E21" w:rsidRDefault="00001092">
      <w:pPr>
        <w:spacing w:after="0" w:line="259" w:lineRule="auto"/>
        <w:ind w:left="0" w:firstLine="0"/>
        <w:jc w:val="left"/>
      </w:pPr>
      <w:r>
        <w:rPr>
          <w:rFonts w:ascii="Calibri" w:eastAsia="Calibri" w:hAnsi="Calibri" w:cs="Calibri"/>
          <w:sz w:val="24"/>
        </w:rPr>
        <w:lastRenderedPageBreak/>
        <w:t xml:space="preserve"> </w:t>
      </w:r>
    </w:p>
    <w:p w14:paraId="15CBE92D" w14:textId="77777777" w:rsidR="00B66E21" w:rsidRDefault="00001092">
      <w:pPr>
        <w:spacing w:after="0" w:line="740" w:lineRule="auto"/>
        <w:ind w:left="0" w:firstLine="564"/>
      </w:pPr>
      <w:r>
        <w:rPr>
          <w:noProof/>
        </w:rPr>
        <w:drawing>
          <wp:inline distT="0" distB="0" distL="0" distR="0" wp14:anchorId="527E0D86" wp14:editId="48D9A6EB">
            <wp:extent cx="13914120" cy="9829419"/>
            <wp:effectExtent l="0" t="0" r="0" b="0"/>
            <wp:docPr id="774" name="Picture 774"/>
            <wp:cNvGraphicFramePr/>
            <a:graphic xmlns:a="http://schemas.openxmlformats.org/drawingml/2006/main">
              <a:graphicData uri="http://schemas.openxmlformats.org/drawingml/2006/picture">
                <pic:pic xmlns:pic="http://schemas.openxmlformats.org/drawingml/2006/picture">
                  <pic:nvPicPr>
                    <pic:cNvPr id="774" name="Picture 774"/>
                    <pic:cNvPicPr/>
                  </pic:nvPicPr>
                  <pic:blipFill>
                    <a:blip r:embed="rId51"/>
                    <a:stretch>
                      <a:fillRect/>
                    </a:stretch>
                  </pic:blipFill>
                  <pic:spPr>
                    <a:xfrm>
                      <a:off x="0" y="0"/>
                      <a:ext cx="13914120" cy="9829419"/>
                    </a:xfrm>
                    <a:prstGeom prst="rect">
                      <a:avLst/>
                    </a:prstGeom>
                  </pic:spPr>
                </pic:pic>
              </a:graphicData>
            </a:graphic>
          </wp:inline>
        </w:drawing>
      </w:r>
      <w:r>
        <w:rPr>
          <w:rFonts w:ascii="Calibri" w:eastAsia="Calibri" w:hAnsi="Calibri" w:cs="Calibri"/>
          <w:sz w:val="24"/>
        </w:rPr>
        <w:t xml:space="preserve">  </w:t>
      </w:r>
    </w:p>
    <w:sectPr w:rsidR="00B66E21">
      <w:footerReference w:type="even" r:id="rId52"/>
      <w:footerReference w:type="default" r:id="rId53"/>
      <w:footerReference w:type="first" r:id="rId54"/>
      <w:pgSz w:w="23760" w:h="16805" w:orient="landscape"/>
      <w:pgMar w:top="50" w:right="868" w:bottom="0" w:left="3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CA37E80" w14:textId="77777777" w:rsidR="00001092" w:rsidRDefault="00001092">
      <w:pPr>
        <w:spacing w:after="0" w:line="240" w:lineRule="auto"/>
      </w:pPr>
      <w:r>
        <w:separator/>
      </w:r>
    </w:p>
  </w:endnote>
  <w:endnote w:type="continuationSeparator" w:id="0">
    <w:p w14:paraId="18D3A6F1" w14:textId="77777777" w:rsidR="00001092" w:rsidRDefault="00001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DDCF6C" w14:textId="77777777" w:rsidR="00B66E21" w:rsidRDefault="00001092">
    <w:pPr>
      <w:spacing w:after="0" w:line="259" w:lineRule="auto"/>
      <w:ind w:left="0" w:right="5" w:firstLine="0"/>
      <w:jc w:val="right"/>
    </w:pP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p w14:paraId="506B5446" w14:textId="77777777" w:rsidR="00B66E21" w:rsidRDefault="00001092">
    <w:pPr>
      <w:spacing w:after="0" w:line="259" w:lineRule="auto"/>
      <w:ind w:left="0" w:firstLine="0"/>
      <w:jc w:val="left"/>
    </w:pPr>
    <w:r>
      <w:rPr>
        <w:rFonts w:ascii="Calibri" w:eastAsia="Calibri" w:hAnsi="Calibri" w:cs="Calibri"/>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655979" w14:textId="77777777" w:rsidR="00B66E21" w:rsidRDefault="00001092">
    <w:pPr>
      <w:spacing w:after="0" w:line="259" w:lineRule="auto"/>
      <w:ind w:left="0" w:right="5" w:firstLine="0"/>
      <w:jc w:val="right"/>
    </w:pP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p w14:paraId="40267177" w14:textId="77777777" w:rsidR="00B66E21" w:rsidRDefault="00001092">
    <w:pPr>
      <w:spacing w:after="0" w:line="259" w:lineRule="auto"/>
      <w:ind w:left="0" w:firstLine="0"/>
      <w:jc w:val="left"/>
    </w:pPr>
    <w:r>
      <w:rPr>
        <w:rFonts w:ascii="Calibri" w:eastAsia="Calibri" w:hAnsi="Calibri" w:cs="Calibri"/>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B3D140" w14:textId="77777777" w:rsidR="00B66E21" w:rsidRDefault="00001092">
    <w:pPr>
      <w:spacing w:after="0" w:line="259" w:lineRule="auto"/>
      <w:ind w:left="0" w:right="5" w:firstLine="0"/>
      <w:jc w:val="right"/>
    </w:pP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p w14:paraId="3A6F31E2" w14:textId="77777777" w:rsidR="00B66E21" w:rsidRDefault="00001092">
    <w:pPr>
      <w:spacing w:after="0" w:line="259" w:lineRule="auto"/>
      <w:ind w:left="0" w:firstLine="0"/>
      <w:jc w:val="left"/>
    </w:pPr>
    <w:r>
      <w:rPr>
        <w:rFonts w:ascii="Calibri" w:eastAsia="Calibri" w:hAnsi="Calibri" w:cs="Calibri"/>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9D5C70" w14:textId="77777777" w:rsidR="00B66E21" w:rsidRDefault="00B66E21">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CB04C4" w14:textId="77777777" w:rsidR="00B66E21" w:rsidRDefault="00B66E21">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46245D" w14:textId="77777777" w:rsidR="00B66E21" w:rsidRDefault="00B66E21">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C6DF62C" w14:textId="77777777" w:rsidR="00001092" w:rsidRDefault="00001092">
      <w:pPr>
        <w:spacing w:after="0" w:line="240" w:lineRule="auto"/>
      </w:pPr>
      <w:r>
        <w:separator/>
      </w:r>
    </w:p>
  </w:footnote>
  <w:footnote w:type="continuationSeparator" w:id="0">
    <w:p w14:paraId="2285DA54" w14:textId="77777777" w:rsidR="00001092" w:rsidRDefault="00001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3227433"/>
    <w:multiLevelType w:val="hybridMultilevel"/>
    <w:tmpl w:val="FFFFFFFF"/>
    <w:lvl w:ilvl="0" w:tplc="52CA6BBC">
      <w:start w:val="1"/>
      <w:numFmt w:val="decimal"/>
      <w:pStyle w:val="Heading1"/>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A9E3F9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8E6D6F6">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46F47EA8">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714F308">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01E81D4">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718B512">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BB65656">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BD8A9B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16cid:durableId="199460177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26"/>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E21"/>
    <w:rsid w:val="00001092"/>
    <w:rsid w:val="001907DF"/>
    <w:rsid w:val="00217763"/>
    <w:rsid w:val="00490E86"/>
    <w:rsid w:val="005413FC"/>
    <w:rsid w:val="006232F3"/>
    <w:rsid w:val="00850B84"/>
    <w:rsid w:val="00A3349D"/>
    <w:rsid w:val="00AB7755"/>
    <w:rsid w:val="00B30C4B"/>
    <w:rsid w:val="00B66E21"/>
    <w:rsid w:val="00D81AF6"/>
    <w:rsid w:val="00DD4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D3DBED"/>
  <w15:docId w15:val="{270CCDD2-F191-364D-8289-861855BF6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2" w:line="371" w:lineRule="auto"/>
      <w:ind w:left="10" w:hanging="10"/>
      <w:jc w:val="both"/>
    </w:pPr>
    <w:rPr>
      <w:rFonts w:ascii="Arial" w:eastAsia="Arial" w:hAnsi="Arial" w:cs="Arial"/>
      <w:color w:val="000000"/>
      <w:sz w:val="22"/>
      <w:lang w:val="en-US" w:eastAsia="en-US" w:bidi="en-US"/>
    </w:rPr>
  </w:style>
  <w:style w:type="paragraph" w:styleId="Heading1">
    <w:name w:val="heading 1"/>
    <w:next w:val="Normal"/>
    <w:link w:val="Heading1Char"/>
    <w:uiPriority w:val="9"/>
    <w:qFormat/>
    <w:pPr>
      <w:keepNext/>
      <w:keepLines/>
      <w:numPr>
        <w:numId w:val="1"/>
      </w:numPr>
      <w:spacing w:after="194" w:line="259" w:lineRule="auto"/>
      <w:ind w:left="10" w:hanging="10"/>
      <w:outlineLvl w:val="0"/>
    </w:pPr>
    <w:rPr>
      <w:rFonts w:ascii="Arial" w:eastAsia="Arial" w:hAnsi="Arial" w:cs="Arial"/>
      <w:b/>
      <w:color w:val="000000"/>
      <w:sz w:val="22"/>
    </w:rPr>
  </w:style>
  <w:style w:type="paragraph" w:styleId="Heading2">
    <w:name w:val="heading 2"/>
    <w:next w:val="Normal"/>
    <w:link w:val="Heading2Char"/>
    <w:uiPriority w:val="9"/>
    <w:unhideWhenUsed/>
    <w:qFormat/>
    <w:pPr>
      <w:keepNext/>
      <w:keepLines/>
      <w:spacing w:after="194" w:line="259" w:lineRule="auto"/>
      <w:ind w:left="10"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2"/>
    </w:rPr>
  </w:style>
  <w:style w:type="paragraph" w:styleId="TOC1">
    <w:name w:val="toc 1"/>
    <w:hidden/>
    <w:pPr>
      <w:spacing w:after="222" w:line="259" w:lineRule="auto"/>
      <w:ind w:left="25" w:right="21" w:hanging="10"/>
      <w:jc w:val="both"/>
    </w:pPr>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86/s12961-021-00751-9" TargetMode="External"/><Relationship Id="rId18" Type="http://schemas.openxmlformats.org/officeDocument/2006/relationships/hyperlink" Target="https://doi.org/10.1186/s12961-021-00751-9" TargetMode="External"/><Relationship Id="rId26" Type="http://schemas.openxmlformats.org/officeDocument/2006/relationships/hyperlink" Target="https://www.communitycare.co.uk/content/news/racial-diversity-remains-low-among-childrens-directors-reveals-adcs-data" TargetMode="External"/><Relationship Id="rId39" Type="http://schemas.openxmlformats.org/officeDocument/2006/relationships/hyperlink" Target="https://www.scie.org.uk/strengths-based-approaches/guidance/" TargetMode="External"/><Relationship Id="rId21" Type="http://schemas.openxmlformats.org/officeDocument/2006/relationships/hyperlink" Target="https://www.communitycare.co.uk/content/news/racial-diversity-remains-low-among-childrens-directors-reveals-adcs-data" TargetMode="External"/><Relationship Id="rId34" Type="http://schemas.openxmlformats.org/officeDocument/2006/relationships/hyperlink" Target="https://www.communitycare.co.uk/content/news/racial-diversity-remains-low-among-childrens-directors-reveals-adcs-data" TargetMode="External"/><Relationship Id="rId42" Type="http://schemas.openxmlformats.org/officeDocument/2006/relationships/hyperlink" Target="https://www.scie.org.uk/strengths-based-approaches/guidance/" TargetMode="External"/><Relationship Id="rId47" Type="http://schemas.openxmlformats.org/officeDocument/2006/relationships/footer" Target="footer1.xml"/><Relationship Id="rId50" Type="http://schemas.openxmlformats.org/officeDocument/2006/relationships/image" Target="media/image1.jpg"/><Relationship Id="rId55" Type="http://schemas.openxmlformats.org/officeDocument/2006/relationships/fontTable" Target="fontTable.xml"/><Relationship Id="rId7" Type="http://schemas.openxmlformats.org/officeDocument/2006/relationships/hyperlink" Target="https://doi.org/10.3389/fpsyg.2023.1279014" TargetMode="External"/><Relationship Id="rId2" Type="http://schemas.openxmlformats.org/officeDocument/2006/relationships/styles" Target="styles.xml"/><Relationship Id="rId16" Type="http://schemas.openxmlformats.org/officeDocument/2006/relationships/hyperlink" Target="https://doi.org/10.1186/s12961-021-00751-9" TargetMode="External"/><Relationship Id="rId29" Type="http://schemas.openxmlformats.org/officeDocument/2006/relationships/hyperlink" Target="https://www.communitycare.co.uk/content/news/racial-diversity-remains-low-among-childrens-directors-reveals-adcs-data" TargetMode="External"/><Relationship Id="rId11" Type="http://schemas.openxmlformats.org/officeDocument/2006/relationships/hyperlink" Target="https://doi.org/10.1186/s12961-021-00751-9" TargetMode="External"/><Relationship Id="rId24" Type="http://schemas.openxmlformats.org/officeDocument/2006/relationships/hyperlink" Target="https://www.communitycare.co.uk/content/news/racial-diversity-remains-low-among-childrens-directors-reveals-adcs-data" TargetMode="External"/><Relationship Id="rId32" Type="http://schemas.openxmlformats.org/officeDocument/2006/relationships/hyperlink" Target="https://www.communitycare.co.uk/content/news/racial-diversity-remains-low-among-childrens-directors-reveals-adcs-data" TargetMode="External"/><Relationship Id="rId37" Type="http://schemas.openxmlformats.org/officeDocument/2006/relationships/hyperlink" Target="https://www.communitycare.co.uk/content/news/racial-diversity-remains-low-among-childrens-directors-reveals-adcs-data" TargetMode="External"/><Relationship Id="rId40" Type="http://schemas.openxmlformats.org/officeDocument/2006/relationships/hyperlink" Target="https://www.scie.org.uk/strengths-based-approaches/guidance/" TargetMode="External"/><Relationship Id="rId45" Type="http://schemas.openxmlformats.org/officeDocument/2006/relationships/hyperlink" Target="https://www.legislation.gov.uk/ukpga/2014/23/contents" TargetMode="External"/><Relationship Id="rId53"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hyperlink" Target="https://doi.org/10.1111/hsc.12921" TargetMode="External"/><Relationship Id="rId19" Type="http://schemas.openxmlformats.org/officeDocument/2006/relationships/hyperlink" Target="https://www.communitycare.co.uk/content/news/racial-diversity-remains-low-among-childrens-directors-reveals-adcs-data" TargetMode="External"/><Relationship Id="rId31" Type="http://schemas.openxmlformats.org/officeDocument/2006/relationships/hyperlink" Target="https://www.communitycare.co.uk/content/news/racial-diversity-remains-low-among-childrens-directors-reveals-adcs-data" TargetMode="External"/><Relationship Id="rId44" Type="http://schemas.openxmlformats.org/officeDocument/2006/relationships/hyperlink" Target="https://www.scie.org.uk/strengths-based-approaches/guidance/" TargetMode="External"/><Relationship Id="rId52"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s://doi.org/10.1111/hsc.12921" TargetMode="External"/><Relationship Id="rId14" Type="http://schemas.openxmlformats.org/officeDocument/2006/relationships/hyperlink" Target="https://doi.org/10.1186/s12961-021-00751-9" TargetMode="External"/><Relationship Id="rId22" Type="http://schemas.openxmlformats.org/officeDocument/2006/relationships/hyperlink" Target="https://www.communitycare.co.uk/content/news/racial-diversity-remains-low-among-childrens-directors-reveals-adcs-data" TargetMode="External"/><Relationship Id="rId27" Type="http://schemas.openxmlformats.org/officeDocument/2006/relationships/hyperlink" Target="https://www.communitycare.co.uk/content/news/racial-diversity-remains-low-among-childrens-directors-reveals-adcs-data" TargetMode="External"/><Relationship Id="rId30" Type="http://schemas.openxmlformats.org/officeDocument/2006/relationships/hyperlink" Target="https://www.communitycare.co.uk/content/news/racial-diversity-remains-low-among-childrens-directors-reveals-adcs-data" TargetMode="External"/><Relationship Id="rId35" Type="http://schemas.openxmlformats.org/officeDocument/2006/relationships/hyperlink" Target="https://www.communitycare.co.uk/content/news/racial-diversity-remains-low-among-childrens-directors-reveals-adcs-data" TargetMode="External"/><Relationship Id="rId43" Type="http://schemas.openxmlformats.org/officeDocument/2006/relationships/hyperlink" Target="https://www.scie.org.uk/strengths-based-approaches/guidance/" TargetMode="External"/><Relationship Id="rId48" Type="http://schemas.openxmlformats.org/officeDocument/2006/relationships/footer" Target="footer2.xml"/><Relationship Id="rId56" Type="http://schemas.openxmlformats.org/officeDocument/2006/relationships/theme" Target="theme/theme1.xml"/><Relationship Id="rId8" Type="http://schemas.openxmlformats.org/officeDocument/2006/relationships/hyperlink" Target="https://doi.org/10.3389/fpsyg.2023.1279014" TargetMode="External"/><Relationship Id="rId51"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hyperlink" Target="https://doi.org/10.1186/s12961-021-00751-9" TargetMode="External"/><Relationship Id="rId17" Type="http://schemas.openxmlformats.org/officeDocument/2006/relationships/hyperlink" Target="https://doi.org/10.1186/s12961-021-00751-9" TargetMode="External"/><Relationship Id="rId25" Type="http://schemas.openxmlformats.org/officeDocument/2006/relationships/hyperlink" Target="https://www.communitycare.co.uk/content/news/racial-diversity-remains-low-among-childrens-directors-reveals-adcs-data" TargetMode="External"/><Relationship Id="rId33" Type="http://schemas.openxmlformats.org/officeDocument/2006/relationships/hyperlink" Target="https://www.communitycare.co.uk/content/news/racial-diversity-remains-low-among-childrens-directors-reveals-adcs-data" TargetMode="External"/><Relationship Id="rId38" Type="http://schemas.openxmlformats.org/officeDocument/2006/relationships/hyperlink" Target="https://www.communitycare.co.uk/content/news/racial-diversity-remains-low-among-childrens-directors-reveals-adcs-data" TargetMode="External"/><Relationship Id="rId46" Type="http://schemas.openxmlformats.org/officeDocument/2006/relationships/hyperlink" Target="https://www.legislation.gov.uk/ukpga/2014/23/contents" TargetMode="External"/><Relationship Id="rId20" Type="http://schemas.openxmlformats.org/officeDocument/2006/relationships/hyperlink" Target="https://www.communitycare.co.uk/content/news/racial-diversity-remains-low-among-childrens-directors-reveals-adcs-data" TargetMode="External"/><Relationship Id="rId41" Type="http://schemas.openxmlformats.org/officeDocument/2006/relationships/hyperlink" Target="https://www.scie.org.uk/strengths-based-approaches/guidance/" TargetMode="External"/><Relationship Id="rId54"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86/s12961-021-00751-9" TargetMode="External"/><Relationship Id="rId23" Type="http://schemas.openxmlformats.org/officeDocument/2006/relationships/hyperlink" Target="https://www.communitycare.co.uk/content/news/racial-diversity-remains-low-among-childrens-directors-reveals-adcs-data" TargetMode="External"/><Relationship Id="rId28" Type="http://schemas.openxmlformats.org/officeDocument/2006/relationships/hyperlink" Target="https://www.communitycare.co.uk/content/news/racial-diversity-remains-low-among-childrens-directors-reveals-adcs-data" TargetMode="External"/><Relationship Id="rId36" Type="http://schemas.openxmlformats.org/officeDocument/2006/relationships/hyperlink" Target="https://www.communitycare.co.uk/content/news/racial-diversity-remains-low-among-childrens-directors-reveals-adcs-data" TargetMode="External"/><Relationship Id="rId4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1555</Words>
  <Characters>8864</Characters>
  <Application>Microsoft Office Word</Application>
  <DocSecurity>0</DocSecurity>
  <Lines>73</Lines>
  <Paragraphs>20</Paragraphs>
  <ScaleCrop>false</ScaleCrop>
  <Company/>
  <LinksUpToDate>false</LinksUpToDate>
  <CharactersWithSpaces>10399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dc:creator>
  <cp:keywords/>
  <cp:lastModifiedBy>Zorha Hussain</cp:lastModifiedBy>
  <cp:revision>2</cp:revision>
  <dcterms:created xsi:type="dcterms:W3CDTF">2026-06-28T21:03:00Z</dcterms:created>
  <dcterms:modified xsi:type="dcterms:W3CDTF">2026-06-28T21:03:00Z</dcterms:modified>
</cp:coreProperties>
</file>