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19BF55" w14:textId="77777777" w:rsidR="002F36AD" w:rsidRDefault="00506347" w:rsidP="00B704F3">
      <w:pPr>
        <w:jc w:val="center"/>
        <w:rPr>
          <w:rFonts w:ascii="Calibri" w:hAnsi="Calibri" w:cs="Calibri"/>
          <w:b/>
          <w:bCs/>
          <w:i/>
          <w:iCs/>
          <w:sz w:val="36"/>
          <w:szCs w:val="36"/>
        </w:rPr>
      </w:pPr>
      <w:r w:rsidRPr="00506347">
        <w:rPr>
          <w:rFonts w:ascii="Calibri" w:hAnsi="Calibri" w:cs="Calibri"/>
          <w:b/>
          <w:bCs/>
          <w:i/>
          <w:iCs/>
          <w:sz w:val="36"/>
          <w:szCs w:val="36"/>
        </w:rPr>
        <w:t>University of Wales Trinity Saint David</w:t>
      </w:r>
    </w:p>
    <w:p w14:paraId="34CE10DF" w14:textId="77777777" w:rsidR="00506347" w:rsidRPr="00506347" w:rsidRDefault="00506347" w:rsidP="00B704F3">
      <w:pPr>
        <w:jc w:val="center"/>
        <w:rPr>
          <w:rFonts w:ascii="Calibri" w:hAnsi="Calibri" w:cs="Calibri"/>
          <w:b/>
          <w:bCs/>
          <w:i/>
          <w:iCs/>
          <w:sz w:val="36"/>
          <w:szCs w:val="36"/>
        </w:rPr>
      </w:pPr>
    </w:p>
    <w:p w14:paraId="606A118D" w14:textId="77777777" w:rsidR="00506347" w:rsidRDefault="00506347" w:rsidP="00283DC9">
      <w:pPr>
        <w:jc w:val="center"/>
        <w:rPr>
          <w:rFonts w:ascii="Calibri" w:hAnsi="Calibri" w:cs="Calibri"/>
          <w:b/>
          <w:bCs/>
          <w:i/>
          <w:iCs/>
        </w:rPr>
      </w:pPr>
      <w:r>
        <w:rPr>
          <w:rFonts w:ascii="Calibri" w:hAnsi="Calibri" w:cs="Calibri"/>
          <w:b/>
          <w:bCs/>
          <w:i/>
          <w:iCs/>
        </w:rPr>
        <w:t>Wales Institute of Science &amp; Art</w:t>
      </w:r>
    </w:p>
    <w:p w14:paraId="6030468E" w14:textId="77777777" w:rsidR="00506347" w:rsidRDefault="00506347" w:rsidP="00B704F3">
      <w:pPr>
        <w:jc w:val="center"/>
        <w:rPr>
          <w:rFonts w:ascii="Calibri" w:hAnsi="Calibri" w:cs="Calibri"/>
          <w:b/>
          <w:bCs/>
          <w:i/>
          <w:iCs/>
        </w:rPr>
      </w:pPr>
    </w:p>
    <w:p w14:paraId="370FAAD9" w14:textId="77777777" w:rsidR="00506347" w:rsidRDefault="00506347" w:rsidP="00B704F3">
      <w:pPr>
        <w:jc w:val="center"/>
        <w:rPr>
          <w:rFonts w:ascii="Calibri" w:hAnsi="Calibri" w:cs="Calibri"/>
          <w:b/>
          <w:bCs/>
          <w:i/>
          <w:iCs/>
        </w:rPr>
      </w:pPr>
    </w:p>
    <w:p w14:paraId="6F1A2AEF" w14:textId="77777777" w:rsidR="00506347" w:rsidRDefault="00506347" w:rsidP="00B704F3">
      <w:pPr>
        <w:jc w:val="center"/>
        <w:rPr>
          <w:rFonts w:ascii="Calibri" w:hAnsi="Calibri" w:cs="Calibri"/>
          <w:b/>
          <w:bCs/>
          <w:i/>
          <w:iCs/>
        </w:rPr>
      </w:pPr>
      <w:r>
        <w:rPr>
          <w:noProof/>
        </w:rPr>
        <w:drawing>
          <wp:inline distT="0" distB="0" distL="0" distR="0" wp14:anchorId="697730E0" wp14:editId="1C9ADE24">
            <wp:extent cx="5731510" cy="2868295"/>
            <wp:effectExtent l="0" t="0" r="2540" b="8255"/>
            <wp:docPr id="1694707960"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59EE0670" w14:textId="77777777" w:rsidR="00506347" w:rsidRDefault="00506347" w:rsidP="00B704F3">
      <w:pPr>
        <w:jc w:val="center"/>
        <w:rPr>
          <w:rFonts w:ascii="Calibri" w:hAnsi="Calibri" w:cs="Calibri"/>
          <w:b/>
          <w:bCs/>
          <w:i/>
          <w:iCs/>
        </w:rPr>
      </w:pPr>
    </w:p>
    <w:p w14:paraId="1B79DB05" w14:textId="77777777" w:rsidR="00506347" w:rsidRDefault="00506347" w:rsidP="00B704F3">
      <w:pPr>
        <w:jc w:val="center"/>
        <w:rPr>
          <w:rFonts w:ascii="Calibri" w:hAnsi="Calibri" w:cs="Calibri"/>
          <w:b/>
          <w:bCs/>
          <w:i/>
          <w:iCs/>
        </w:rPr>
      </w:pPr>
    </w:p>
    <w:p w14:paraId="2CD40A9C" w14:textId="58A6B1D5" w:rsidR="00506347" w:rsidRPr="00506347" w:rsidRDefault="006149C2" w:rsidP="00283DC9">
      <w:pPr>
        <w:jc w:val="center"/>
        <w:rPr>
          <w:rFonts w:ascii="Calibri" w:hAnsi="Calibri" w:cs="Calibri"/>
          <w:b/>
          <w:bCs/>
          <w:i/>
          <w:iCs/>
          <w:sz w:val="36"/>
          <w:szCs w:val="36"/>
        </w:rPr>
      </w:pPr>
      <w:r>
        <w:rPr>
          <w:rFonts w:ascii="Calibri" w:hAnsi="Calibri" w:cs="Calibri"/>
          <w:b/>
          <w:bCs/>
          <w:i/>
          <w:iCs/>
          <w:sz w:val="36"/>
          <w:szCs w:val="36"/>
        </w:rPr>
        <w:t>Forced Induction Technology Comparison</w:t>
      </w:r>
    </w:p>
    <w:p w14:paraId="5DA7DA90" w14:textId="781E01F5" w:rsidR="00506347" w:rsidRPr="00283DC9" w:rsidRDefault="00FD0688" w:rsidP="00283DC9">
      <w:pPr>
        <w:jc w:val="center"/>
        <w:rPr>
          <w:rFonts w:ascii="Calibri" w:hAnsi="Calibri" w:cs="Calibri"/>
          <w:b/>
          <w:bCs/>
          <w:i/>
          <w:iCs/>
          <w:sz w:val="28"/>
          <w:szCs w:val="28"/>
        </w:rPr>
      </w:pPr>
      <w:r>
        <w:rPr>
          <w:rFonts w:ascii="Calibri" w:hAnsi="Calibri" w:cs="Calibri"/>
          <w:b/>
          <w:bCs/>
          <w:i/>
          <w:iCs/>
          <w:sz w:val="28"/>
          <w:szCs w:val="28"/>
        </w:rPr>
        <w:t>Academic Skills</w:t>
      </w:r>
      <w:r w:rsidR="00506347" w:rsidRPr="00506347">
        <w:rPr>
          <w:rFonts w:ascii="Calibri" w:hAnsi="Calibri" w:cs="Calibri"/>
          <w:b/>
          <w:bCs/>
          <w:i/>
          <w:iCs/>
          <w:sz w:val="28"/>
          <w:szCs w:val="28"/>
        </w:rPr>
        <w:t xml:space="preserve"> (</w:t>
      </w:r>
      <w:r w:rsidR="00893C98">
        <w:rPr>
          <w:rFonts w:ascii="Calibri" w:hAnsi="Calibri" w:cs="Calibri"/>
          <w:b/>
          <w:bCs/>
          <w:i/>
          <w:iCs/>
          <w:sz w:val="28"/>
          <w:szCs w:val="28"/>
        </w:rPr>
        <w:t>ACHA</w:t>
      </w:r>
      <w:r>
        <w:rPr>
          <w:rFonts w:ascii="Calibri" w:hAnsi="Calibri" w:cs="Calibri"/>
          <w:b/>
          <w:bCs/>
          <w:i/>
          <w:iCs/>
          <w:sz w:val="28"/>
          <w:szCs w:val="28"/>
        </w:rPr>
        <w:t>4005</w:t>
      </w:r>
      <w:r w:rsidR="00506347" w:rsidRPr="00506347">
        <w:rPr>
          <w:rFonts w:ascii="Calibri" w:hAnsi="Calibri" w:cs="Calibri"/>
          <w:b/>
          <w:bCs/>
          <w:i/>
          <w:iCs/>
          <w:sz w:val="28"/>
          <w:szCs w:val="28"/>
        </w:rPr>
        <w:t>)</w:t>
      </w:r>
    </w:p>
    <w:p w14:paraId="0B78A2A1" w14:textId="77777777" w:rsidR="00283DC9" w:rsidRDefault="00283DC9" w:rsidP="00506347">
      <w:pPr>
        <w:jc w:val="center"/>
        <w:rPr>
          <w:rFonts w:ascii="Calibri" w:hAnsi="Calibri" w:cs="Calibri"/>
          <w:b/>
          <w:bCs/>
          <w:i/>
          <w:iCs/>
        </w:rPr>
      </w:pPr>
    </w:p>
    <w:p w14:paraId="2E03A593" w14:textId="77777777" w:rsidR="00283DC9" w:rsidRDefault="00283DC9" w:rsidP="00506347">
      <w:pPr>
        <w:jc w:val="center"/>
        <w:rPr>
          <w:rFonts w:ascii="Calibri" w:hAnsi="Calibri" w:cs="Calibri"/>
          <w:b/>
          <w:bCs/>
          <w:i/>
          <w:iCs/>
        </w:rPr>
      </w:pPr>
    </w:p>
    <w:p w14:paraId="5CF3BCE3" w14:textId="77777777" w:rsidR="00283DC9" w:rsidRDefault="00283DC9" w:rsidP="00506347">
      <w:pPr>
        <w:jc w:val="center"/>
        <w:rPr>
          <w:rFonts w:ascii="Calibri" w:hAnsi="Calibri" w:cs="Calibri"/>
          <w:b/>
          <w:bCs/>
          <w:i/>
          <w:iCs/>
        </w:rPr>
      </w:pPr>
    </w:p>
    <w:p w14:paraId="0DA22B0E" w14:textId="4EEB4570" w:rsidR="00506347" w:rsidRDefault="008A5233" w:rsidP="00506347">
      <w:pPr>
        <w:jc w:val="center"/>
        <w:rPr>
          <w:rFonts w:ascii="Calibri" w:hAnsi="Calibri" w:cs="Calibri"/>
          <w:b/>
          <w:bCs/>
          <w:i/>
          <w:iCs/>
        </w:rPr>
      </w:pPr>
      <w:r>
        <w:rPr>
          <w:rFonts w:ascii="Calibri" w:hAnsi="Calibri" w:cs="Calibri"/>
          <w:b/>
          <w:bCs/>
          <w:i/>
          <w:iCs/>
        </w:rPr>
        <w:t>Harri Brown</w:t>
      </w:r>
    </w:p>
    <w:p w14:paraId="215A82B7" w14:textId="782CD1F7" w:rsidR="00506347" w:rsidRDefault="008A5233" w:rsidP="00B704F3">
      <w:pPr>
        <w:jc w:val="center"/>
        <w:rPr>
          <w:rFonts w:ascii="Calibri" w:hAnsi="Calibri" w:cs="Calibri"/>
          <w:b/>
          <w:bCs/>
          <w:i/>
          <w:iCs/>
        </w:rPr>
      </w:pPr>
      <w:r>
        <w:rPr>
          <w:rFonts w:ascii="Calibri" w:hAnsi="Calibri" w:cs="Calibri"/>
          <w:b/>
          <w:bCs/>
          <w:i/>
          <w:iCs/>
        </w:rPr>
        <w:t>2420832</w:t>
      </w:r>
    </w:p>
    <w:p w14:paraId="28557D06" w14:textId="13B97A12" w:rsidR="000372BA" w:rsidRDefault="000372BA" w:rsidP="000372BA">
      <w:pPr>
        <w:jc w:val="center"/>
        <w:rPr>
          <w:rFonts w:ascii="Calibri" w:hAnsi="Calibri" w:cs="Calibri"/>
          <w:b/>
          <w:bCs/>
          <w:i/>
          <w:iCs/>
        </w:rPr>
        <w:sectPr w:rsidR="000372BA" w:rsidSect="00360C8C">
          <w:footerReference w:type="default" r:id="rId12"/>
          <w:pgSz w:w="11906" w:h="16838"/>
          <w:pgMar w:top="1440" w:right="1440" w:bottom="1440" w:left="1440" w:header="708" w:footer="708" w:gutter="0"/>
          <w:cols w:space="708"/>
          <w:titlePg/>
          <w:docGrid w:linePitch="360"/>
        </w:sectPr>
      </w:pPr>
      <w:r>
        <w:rPr>
          <w:rFonts w:ascii="Calibri" w:hAnsi="Calibri" w:cs="Calibri"/>
          <w:b/>
          <w:bCs/>
          <w:i/>
          <w:iCs/>
        </w:rPr>
        <w:t>1</w:t>
      </w:r>
      <w:r w:rsidR="00FD0688">
        <w:rPr>
          <w:rFonts w:ascii="Calibri" w:hAnsi="Calibri" w:cs="Calibri"/>
          <w:b/>
          <w:bCs/>
          <w:i/>
          <w:iCs/>
        </w:rPr>
        <w:t>1</w:t>
      </w:r>
      <w:r>
        <w:rPr>
          <w:rFonts w:ascii="Calibri" w:hAnsi="Calibri" w:cs="Calibri"/>
          <w:b/>
          <w:bCs/>
          <w:i/>
          <w:iCs/>
        </w:rPr>
        <w:t>/2024</w:t>
      </w:r>
    </w:p>
    <w:sdt>
      <w:sdtPr>
        <w:id w:val="-10545493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FBA6489" w14:textId="49EB3D10" w:rsidR="00DA6C8F" w:rsidRDefault="00DA6C8F">
          <w:pPr>
            <w:pStyle w:val="TOCHeading"/>
          </w:pPr>
          <w:r>
            <w:t>Contents</w:t>
          </w:r>
        </w:p>
        <w:p w14:paraId="501CF879" w14:textId="56D01AAD" w:rsidR="00604307" w:rsidRDefault="00DA6C8F">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2765537" w:history="1">
            <w:r w:rsidR="00604307" w:rsidRPr="00420BA5">
              <w:rPr>
                <w:rStyle w:val="Hyperlink"/>
                <w:noProof/>
              </w:rPr>
              <w:t>1</w:t>
            </w:r>
            <w:r w:rsidR="00604307">
              <w:rPr>
                <w:rFonts w:eastAsiaTheme="minorEastAsia"/>
                <w:noProof/>
                <w:kern w:val="2"/>
                <w:sz w:val="24"/>
                <w:szCs w:val="24"/>
                <w:lang w:eastAsia="en-GB"/>
                <w14:ligatures w14:val="standardContextual"/>
              </w:rPr>
              <w:tab/>
            </w:r>
            <w:r w:rsidR="00604307" w:rsidRPr="00420BA5">
              <w:rPr>
                <w:rStyle w:val="Hyperlink"/>
                <w:noProof/>
              </w:rPr>
              <w:t>Introduction</w:t>
            </w:r>
            <w:r w:rsidR="00604307">
              <w:rPr>
                <w:noProof/>
                <w:webHidden/>
              </w:rPr>
              <w:tab/>
            </w:r>
            <w:r w:rsidR="00604307">
              <w:rPr>
                <w:noProof/>
                <w:webHidden/>
              </w:rPr>
              <w:fldChar w:fldCharType="begin"/>
            </w:r>
            <w:r w:rsidR="00604307">
              <w:rPr>
                <w:noProof/>
                <w:webHidden/>
              </w:rPr>
              <w:instrText xml:space="preserve"> PAGEREF _Toc182765537 \h </w:instrText>
            </w:r>
            <w:r w:rsidR="00604307">
              <w:rPr>
                <w:noProof/>
                <w:webHidden/>
              </w:rPr>
            </w:r>
            <w:r w:rsidR="00604307">
              <w:rPr>
                <w:noProof/>
                <w:webHidden/>
              </w:rPr>
              <w:fldChar w:fldCharType="separate"/>
            </w:r>
            <w:r w:rsidR="00604307">
              <w:rPr>
                <w:noProof/>
                <w:webHidden/>
              </w:rPr>
              <w:t>1</w:t>
            </w:r>
            <w:r w:rsidR="00604307">
              <w:rPr>
                <w:noProof/>
                <w:webHidden/>
              </w:rPr>
              <w:fldChar w:fldCharType="end"/>
            </w:r>
          </w:hyperlink>
        </w:p>
        <w:p w14:paraId="02750BEF" w14:textId="19D44D05" w:rsidR="00604307" w:rsidRDefault="00604307">
          <w:pPr>
            <w:pStyle w:val="TOC1"/>
            <w:tabs>
              <w:tab w:val="left" w:pos="480"/>
              <w:tab w:val="right" w:leader="dot" w:pos="9016"/>
            </w:tabs>
            <w:rPr>
              <w:rFonts w:eastAsiaTheme="minorEastAsia"/>
              <w:noProof/>
              <w:kern w:val="2"/>
              <w:sz w:val="24"/>
              <w:szCs w:val="24"/>
              <w:lang w:eastAsia="en-GB"/>
              <w14:ligatures w14:val="standardContextual"/>
            </w:rPr>
          </w:pPr>
          <w:hyperlink w:anchor="_Toc182765538" w:history="1">
            <w:r w:rsidRPr="00420BA5">
              <w:rPr>
                <w:rStyle w:val="Hyperlink"/>
                <w:noProof/>
              </w:rPr>
              <w:t>2</w:t>
            </w:r>
            <w:r>
              <w:rPr>
                <w:rFonts w:eastAsiaTheme="minorEastAsia"/>
                <w:noProof/>
                <w:kern w:val="2"/>
                <w:sz w:val="24"/>
                <w:szCs w:val="24"/>
                <w:lang w:eastAsia="en-GB"/>
                <w14:ligatures w14:val="standardContextual"/>
              </w:rPr>
              <w:tab/>
            </w:r>
            <w:r w:rsidRPr="00420BA5">
              <w:rPr>
                <w:rStyle w:val="Hyperlink"/>
                <w:noProof/>
              </w:rPr>
              <w:t>Contextual Information/Background</w:t>
            </w:r>
            <w:r>
              <w:rPr>
                <w:noProof/>
                <w:webHidden/>
              </w:rPr>
              <w:tab/>
            </w:r>
            <w:r>
              <w:rPr>
                <w:noProof/>
                <w:webHidden/>
              </w:rPr>
              <w:fldChar w:fldCharType="begin"/>
            </w:r>
            <w:r>
              <w:rPr>
                <w:noProof/>
                <w:webHidden/>
              </w:rPr>
              <w:instrText xml:space="preserve"> PAGEREF _Toc182765538 \h </w:instrText>
            </w:r>
            <w:r>
              <w:rPr>
                <w:noProof/>
                <w:webHidden/>
              </w:rPr>
            </w:r>
            <w:r>
              <w:rPr>
                <w:noProof/>
                <w:webHidden/>
              </w:rPr>
              <w:fldChar w:fldCharType="separate"/>
            </w:r>
            <w:r>
              <w:rPr>
                <w:noProof/>
                <w:webHidden/>
              </w:rPr>
              <w:t>2</w:t>
            </w:r>
            <w:r>
              <w:rPr>
                <w:noProof/>
                <w:webHidden/>
              </w:rPr>
              <w:fldChar w:fldCharType="end"/>
            </w:r>
          </w:hyperlink>
        </w:p>
        <w:p w14:paraId="5F57785C" w14:textId="1A922F44" w:rsidR="00604307" w:rsidRDefault="00604307">
          <w:pPr>
            <w:pStyle w:val="TOC1"/>
            <w:tabs>
              <w:tab w:val="left" w:pos="480"/>
              <w:tab w:val="right" w:leader="dot" w:pos="9016"/>
            </w:tabs>
            <w:rPr>
              <w:rFonts w:eastAsiaTheme="minorEastAsia"/>
              <w:noProof/>
              <w:kern w:val="2"/>
              <w:sz w:val="24"/>
              <w:szCs w:val="24"/>
              <w:lang w:eastAsia="en-GB"/>
              <w14:ligatures w14:val="standardContextual"/>
            </w:rPr>
          </w:pPr>
          <w:hyperlink w:anchor="_Toc182765539" w:history="1">
            <w:r w:rsidRPr="00420BA5">
              <w:rPr>
                <w:rStyle w:val="Hyperlink"/>
                <w:noProof/>
              </w:rPr>
              <w:t>3</w:t>
            </w:r>
            <w:r>
              <w:rPr>
                <w:rFonts w:eastAsiaTheme="minorEastAsia"/>
                <w:noProof/>
                <w:kern w:val="2"/>
                <w:sz w:val="24"/>
                <w:szCs w:val="24"/>
                <w:lang w:eastAsia="en-GB"/>
                <w14:ligatures w14:val="standardContextual"/>
              </w:rPr>
              <w:tab/>
            </w:r>
            <w:r w:rsidRPr="00420BA5">
              <w:rPr>
                <w:rStyle w:val="Hyperlink"/>
                <w:noProof/>
              </w:rPr>
              <w:t>Discussion</w:t>
            </w:r>
            <w:r>
              <w:rPr>
                <w:noProof/>
                <w:webHidden/>
              </w:rPr>
              <w:tab/>
            </w:r>
            <w:r>
              <w:rPr>
                <w:noProof/>
                <w:webHidden/>
              </w:rPr>
              <w:fldChar w:fldCharType="begin"/>
            </w:r>
            <w:r>
              <w:rPr>
                <w:noProof/>
                <w:webHidden/>
              </w:rPr>
              <w:instrText xml:space="preserve"> PAGEREF _Toc182765539 \h </w:instrText>
            </w:r>
            <w:r>
              <w:rPr>
                <w:noProof/>
                <w:webHidden/>
              </w:rPr>
            </w:r>
            <w:r>
              <w:rPr>
                <w:noProof/>
                <w:webHidden/>
              </w:rPr>
              <w:fldChar w:fldCharType="separate"/>
            </w:r>
            <w:r>
              <w:rPr>
                <w:noProof/>
                <w:webHidden/>
              </w:rPr>
              <w:t>3</w:t>
            </w:r>
            <w:r>
              <w:rPr>
                <w:noProof/>
                <w:webHidden/>
              </w:rPr>
              <w:fldChar w:fldCharType="end"/>
            </w:r>
          </w:hyperlink>
        </w:p>
        <w:p w14:paraId="39B14587" w14:textId="2B9DF0B8" w:rsidR="00604307" w:rsidRDefault="00604307">
          <w:pPr>
            <w:pStyle w:val="TOC1"/>
            <w:tabs>
              <w:tab w:val="left" w:pos="480"/>
              <w:tab w:val="right" w:leader="dot" w:pos="9016"/>
            </w:tabs>
            <w:rPr>
              <w:rFonts w:eastAsiaTheme="minorEastAsia"/>
              <w:noProof/>
              <w:kern w:val="2"/>
              <w:sz w:val="24"/>
              <w:szCs w:val="24"/>
              <w:lang w:eastAsia="en-GB"/>
              <w14:ligatures w14:val="standardContextual"/>
            </w:rPr>
          </w:pPr>
          <w:hyperlink w:anchor="_Toc182765540" w:history="1">
            <w:r w:rsidRPr="00420BA5">
              <w:rPr>
                <w:rStyle w:val="Hyperlink"/>
                <w:noProof/>
              </w:rPr>
              <w:t>4</w:t>
            </w:r>
            <w:r>
              <w:rPr>
                <w:rFonts w:eastAsiaTheme="minorEastAsia"/>
                <w:noProof/>
                <w:kern w:val="2"/>
                <w:sz w:val="24"/>
                <w:szCs w:val="24"/>
                <w:lang w:eastAsia="en-GB"/>
                <w14:ligatures w14:val="standardContextual"/>
              </w:rPr>
              <w:tab/>
            </w:r>
            <w:r w:rsidRPr="00420BA5">
              <w:rPr>
                <w:rStyle w:val="Hyperlink"/>
                <w:noProof/>
              </w:rPr>
              <w:t>Conclusion</w:t>
            </w:r>
            <w:r>
              <w:rPr>
                <w:noProof/>
                <w:webHidden/>
              </w:rPr>
              <w:tab/>
            </w:r>
            <w:r>
              <w:rPr>
                <w:noProof/>
                <w:webHidden/>
              </w:rPr>
              <w:fldChar w:fldCharType="begin"/>
            </w:r>
            <w:r>
              <w:rPr>
                <w:noProof/>
                <w:webHidden/>
              </w:rPr>
              <w:instrText xml:space="preserve"> PAGEREF _Toc182765540 \h </w:instrText>
            </w:r>
            <w:r>
              <w:rPr>
                <w:noProof/>
                <w:webHidden/>
              </w:rPr>
            </w:r>
            <w:r>
              <w:rPr>
                <w:noProof/>
                <w:webHidden/>
              </w:rPr>
              <w:fldChar w:fldCharType="separate"/>
            </w:r>
            <w:r>
              <w:rPr>
                <w:noProof/>
                <w:webHidden/>
              </w:rPr>
              <w:t>5</w:t>
            </w:r>
            <w:r>
              <w:rPr>
                <w:noProof/>
                <w:webHidden/>
              </w:rPr>
              <w:fldChar w:fldCharType="end"/>
            </w:r>
          </w:hyperlink>
        </w:p>
        <w:p w14:paraId="60C5304C" w14:textId="7EF6DDCE" w:rsidR="00604307" w:rsidRDefault="00604307">
          <w:pPr>
            <w:pStyle w:val="TOC1"/>
            <w:tabs>
              <w:tab w:val="left" w:pos="480"/>
              <w:tab w:val="right" w:leader="dot" w:pos="9016"/>
            </w:tabs>
            <w:rPr>
              <w:rFonts w:eastAsiaTheme="minorEastAsia"/>
              <w:noProof/>
              <w:kern w:val="2"/>
              <w:sz w:val="24"/>
              <w:szCs w:val="24"/>
              <w:lang w:eastAsia="en-GB"/>
              <w14:ligatures w14:val="standardContextual"/>
            </w:rPr>
          </w:pPr>
          <w:hyperlink w:anchor="_Toc182765541" w:history="1">
            <w:r w:rsidRPr="00420BA5">
              <w:rPr>
                <w:rStyle w:val="Hyperlink"/>
                <w:noProof/>
              </w:rPr>
              <w:t>5</w:t>
            </w:r>
            <w:r>
              <w:rPr>
                <w:rFonts w:eastAsiaTheme="minorEastAsia"/>
                <w:noProof/>
                <w:kern w:val="2"/>
                <w:sz w:val="24"/>
                <w:szCs w:val="24"/>
                <w:lang w:eastAsia="en-GB"/>
                <w14:ligatures w14:val="standardContextual"/>
              </w:rPr>
              <w:tab/>
            </w:r>
            <w:r w:rsidRPr="00420BA5">
              <w:rPr>
                <w:rStyle w:val="Hyperlink"/>
                <w:noProof/>
              </w:rPr>
              <w:t>References</w:t>
            </w:r>
            <w:r>
              <w:rPr>
                <w:noProof/>
                <w:webHidden/>
              </w:rPr>
              <w:tab/>
            </w:r>
            <w:r>
              <w:rPr>
                <w:noProof/>
                <w:webHidden/>
              </w:rPr>
              <w:fldChar w:fldCharType="begin"/>
            </w:r>
            <w:r>
              <w:rPr>
                <w:noProof/>
                <w:webHidden/>
              </w:rPr>
              <w:instrText xml:space="preserve"> PAGEREF _Toc182765541 \h </w:instrText>
            </w:r>
            <w:r>
              <w:rPr>
                <w:noProof/>
                <w:webHidden/>
              </w:rPr>
            </w:r>
            <w:r>
              <w:rPr>
                <w:noProof/>
                <w:webHidden/>
              </w:rPr>
              <w:fldChar w:fldCharType="separate"/>
            </w:r>
            <w:r>
              <w:rPr>
                <w:noProof/>
                <w:webHidden/>
              </w:rPr>
              <w:t>6</w:t>
            </w:r>
            <w:r>
              <w:rPr>
                <w:noProof/>
                <w:webHidden/>
              </w:rPr>
              <w:fldChar w:fldCharType="end"/>
            </w:r>
          </w:hyperlink>
        </w:p>
        <w:p w14:paraId="2CAFCF16" w14:textId="07DAAECD" w:rsidR="00DA6C8F" w:rsidRDefault="00DA6C8F">
          <w:r>
            <w:rPr>
              <w:b/>
              <w:bCs/>
              <w:noProof/>
            </w:rPr>
            <w:fldChar w:fldCharType="end"/>
          </w:r>
        </w:p>
      </w:sdtContent>
    </w:sdt>
    <w:p w14:paraId="767C20E2" w14:textId="77777777" w:rsidR="00283DC9" w:rsidRDefault="00283DC9" w:rsidP="00B704F3">
      <w:pPr>
        <w:jc w:val="center"/>
        <w:rPr>
          <w:rFonts w:ascii="Calibri" w:hAnsi="Calibri" w:cs="Calibri"/>
          <w:b/>
          <w:bCs/>
          <w:i/>
          <w:iCs/>
        </w:rPr>
        <w:sectPr w:rsidR="00283DC9" w:rsidSect="00B03604">
          <w:pgSz w:w="11906" w:h="16838"/>
          <w:pgMar w:top="1440" w:right="1440" w:bottom="1440" w:left="1440" w:header="708" w:footer="708" w:gutter="0"/>
          <w:pgNumType w:fmt="lowerRoman" w:start="1"/>
          <w:cols w:space="708"/>
          <w:docGrid w:linePitch="360"/>
        </w:sectPr>
      </w:pPr>
    </w:p>
    <w:p w14:paraId="13066BE0" w14:textId="77777777" w:rsidR="00283DC9" w:rsidRDefault="00283DC9" w:rsidP="00283DC9">
      <w:pPr>
        <w:pStyle w:val="Heading1"/>
      </w:pPr>
      <w:bookmarkStart w:id="0" w:name="_Toc182765537"/>
      <w:r>
        <w:lastRenderedPageBreak/>
        <w:t>Introduction</w:t>
      </w:r>
      <w:bookmarkEnd w:id="0"/>
    </w:p>
    <w:p w14:paraId="60845EC6" w14:textId="77777777" w:rsidR="002131C6" w:rsidRPr="007F662D" w:rsidRDefault="002131C6" w:rsidP="002131C6">
      <w:r w:rsidRPr="00CC0F93">
        <w:t>Superchargers and turbochargers are examples of forced induction technologies that are essential parts of contemporary internal combustion engines, particularly in the automobile sector. By forcing additional air into the combustion chamber, these devices are intended to boost the engine's efficiency and power production.</w:t>
      </w:r>
      <w:r>
        <w:t xml:space="preserve"> </w:t>
      </w:r>
      <w:r w:rsidRPr="00CC0F93">
        <w:t xml:space="preserve">They therefore assist engines in generating greater power without appreciably enlarging them. Despite having a similar purpose, superchargers and turbochargers work on essentially distinct principles. </w:t>
      </w:r>
      <w:r>
        <w:t>T</w:t>
      </w:r>
      <w:r w:rsidRPr="00CC0F93">
        <w:t>urbochargers use the exhaust gases to turn a turbine</w:t>
      </w:r>
      <w:r>
        <w:t>.</w:t>
      </w:r>
      <w:r w:rsidRPr="00CC0F93">
        <w:t xml:space="preserve"> </w:t>
      </w:r>
      <w:r>
        <w:t xml:space="preserve">Exhaust gas turbochargers have in recent years been dramatically improved offering an increased compressor pressure ratio and a certain control of the air flow to the engine (Agarwal and </w:t>
      </w:r>
      <w:r w:rsidRPr="003C3CDB">
        <w:t>Lakshminarayanan</w:t>
      </w:r>
      <w:r>
        <w:t>, 2019, p. 70). S</w:t>
      </w:r>
      <w:r w:rsidRPr="00CC0F93">
        <w:t>uperchargers are powered directly by the engine's crankshaft.</w:t>
      </w:r>
      <w:r>
        <w:t xml:space="preserve"> Supercharging with/without charge cooling permits to realise a higher charge air density in the intake manifold and it is widely used to increase the engine power (Agarwal and </w:t>
      </w:r>
      <w:r w:rsidRPr="003C3CDB">
        <w:t>Lakshminarayanan</w:t>
      </w:r>
      <w:r>
        <w:t xml:space="preserve">, 2019, p. 69). </w:t>
      </w:r>
      <w:r w:rsidRPr="00CC0F93">
        <w:t>By examining the effectiveness, performance, use in different industries, and environmental impact of superchargers and turbochargers, this paper seeks to critically analyse and assess their technical characteristics</w:t>
      </w:r>
      <w:r>
        <w:t xml:space="preserve"> and further any knowledge of forced induction systems.</w:t>
      </w:r>
    </w:p>
    <w:p w14:paraId="786527E5" w14:textId="77777777" w:rsidR="00283DC9" w:rsidRDefault="00283DC9">
      <w:pPr>
        <w:spacing w:line="259" w:lineRule="auto"/>
        <w:rPr>
          <w:rFonts w:asciiTheme="majorHAnsi" w:eastAsiaTheme="majorEastAsia" w:hAnsiTheme="majorHAnsi" w:cstheme="majorBidi"/>
          <w:color w:val="0F4761" w:themeColor="accent1" w:themeShade="BF"/>
          <w:sz w:val="40"/>
          <w:szCs w:val="40"/>
        </w:rPr>
      </w:pPr>
      <w:r>
        <w:br w:type="page"/>
      </w:r>
    </w:p>
    <w:p w14:paraId="5BB86CE2" w14:textId="77777777" w:rsidR="00283DC9" w:rsidRDefault="00283DC9" w:rsidP="00283DC9">
      <w:pPr>
        <w:pStyle w:val="Heading1"/>
      </w:pPr>
      <w:bookmarkStart w:id="1" w:name="_Toc182765538"/>
      <w:r>
        <w:t>Contextual Information/Background</w:t>
      </w:r>
      <w:bookmarkEnd w:id="1"/>
    </w:p>
    <w:p w14:paraId="46CF0C3A" w14:textId="4FF46AD9" w:rsidR="009A51E0" w:rsidRDefault="009A51E0" w:rsidP="009A51E0">
      <w:pPr>
        <w:rPr>
          <w:b/>
          <w:bCs/>
          <w:i/>
          <w:iCs/>
        </w:rPr>
      </w:pPr>
      <w:r>
        <w:t>According to Engine Basics, (20</w:t>
      </w:r>
      <w:r w:rsidR="00276DD0">
        <w:t>24</w:t>
      </w:r>
      <w:r>
        <w:t xml:space="preserve">), </w:t>
      </w:r>
      <w:r w:rsidRPr="001F135C">
        <w:t xml:space="preserve">Gottlieb's automotive supercharger design was </w:t>
      </w:r>
      <w:proofErr w:type="spellStart"/>
      <w:r w:rsidRPr="001F135C">
        <w:t>modeled</w:t>
      </w:r>
      <w:proofErr w:type="spellEnd"/>
      <w:r w:rsidRPr="001F135C">
        <w:t xml:space="preserve"> after a twin-rotor industrial "air-mover" invented and patented nearly 40 years earlier by Mr. Francis Roots (from Indiana) back in 1860</w:t>
      </w:r>
      <w:r>
        <w:t xml:space="preserve">. </w:t>
      </w:r>
      <w:r w:rsidRPr="005E60E3">
        <w:t>Superchargers were first widely used in the early 20th century. Mercedes-Benz introduced a Roots-type supercharger in the 1920s, which was followed by adoption in racing vehicles like those in the Indy 500, and later in military aircraft during World War II. The technical operation of superchargers involves the engine driving a compressor that forces additional air into the combustion chamber, which boosts power. These devices became pivotal in high-performance applications, including racing and military aircraft, where they compensated for altitude-related air density losses</w:t>
      </w:r>
      <w:r>
        <w:t>.</w:t>
      </w:r>
      <w:r w:rsidRPr="007F662D">
        <w:t xml:space="preserve"> </w:t>
      </w:r>
      <w:r w:rsidRPr="00CC0F93">
        <w:t xml:space="preserve">Since its original introduction in the early 1900s, forced induction technologies have seen tremendous development. </w:t>
      </w:r>
      <w:r>
        <w:t xml:space="preserve"> </w:t>
      </w:r>
      <w:r w:rsidRPr="00CC0F93">
        <w:t>Because of their instantaneous power boost, superchargers were frequently utilised in racing and high-performance automobiles in the past</w:t>
      </w:r>
      <w:r>
        <w:t xml:space="preserve">. </w:t>
      </w:r>
      <w:r w:rsidRPr="005E60E3">
        <w:t xml:space="preserve">The turbocharger, first introduced in the 1930s in trucks, was later adopted in aircraft like the Boeing B-17 Flying Fortress in WWII. Unlike superchargers, turbochargers are powered by the engine’s exhaust gases, which spin a turbine that drives a compressor. This system is more efficient than supercharging since it utilizes exhaust energy that would otherwise go unused. </w:t>
      </w:r>
      <w:r>
        <w:t>However, Pearl Harbour Aviation Museum, (2015), says t</w:t>
      </w:r>
      <w:r w:rsidRPr="00054FD1">
        <w:t>urbocharger production was difficult throughout the war, and reliability was a frequent issue. World War II was a few years too early for turbos in terms of materials science.</w:t>
      </w:r>
      <w:r>
        <w:t xml:space="preserve"> </w:t>
      </w:r>
      <w:r w:rsidRPr="005E60E3">
        <w:t>Turbocharging became more popular in the 1950s and 1960s, especially in military and commercial vehicles</w:t>
      </w:r>
      <w:r w:rsidRPr="005E60E3">
        <w:rPr>
          <w:rFonts w:ascii="Arial" w:hAnsi="Arial" w:cs="Arial"/>
        </w:rPr>
        <w:t>​</w:t>
      </w:r>
      <w:r>
        <w:t>.</w:t>
      </w:r>
    </w:p>
    <w:p w14:paraId="4D35FB22" w14:textId="77777777" w:rsidR="00283DC9" w:rsidRDefault="00283DC9">
      <w:pPr>
        <w:spacing w:line="259" w:lineRule="auto"/>
        <w:rPr>
          <w:rFonts w:asciiTheme="majorHAnsi" w:eastAsiaTheme="majorEastAsia" w:hAnsiTheme="majorHAnsi" w:cstheme="majorBidi"/>
          <w:color w:val="0F4761" w:themeColor="accent1" w:themeShade="BF"/>
          <w:sz w:val="40"/>
          <w:szCs w:val="40"/>
        </w:rPr>
      </w:pPr>
      <w:r>
        <w:br w:type="page"/>
      </w:r>
    </w:p>
    <w:p w14:paraId="2AF029CF" w14:textId="77777777" w:rsidR="00283DC9" w:rsidRDefault="00283DC9" w:rsidP="00283DC9">
      <w:pPr>
        <w:pStyle w:val="Heading1"/>
      </w:pPr>
      <w:bookmarkStart w:id="2" w:name="_Toc182765539"/>
      <w:r>
        <w:lastRenderedPageBreak/>
        <w:t>Discussion</w:t>
      </w:r>
      <w:bookmarkEnd w:id="2"/>
    </w:p>
    <w:p w14:paraId="4E0A28FB" w14:textId="7723C499" w:rsidR="00AD790B" w:rsidRDefault="00943B01" w:rsidP="0017146C">
      <w:r w:rsidRPr="00E25C4C">
        <w:t>Because superchargers are powered directly by the engine, they offer an instant power boost. Superchargers are ideal for situations like racing where throttle response and instantaneous acceleration are crucial because of their instantaneous power output. Superchargers use some of the engine's power because of their direct connection to the engine, which lowers overall efficiency. This is a major drawback, especially when it comes to engine load and fuel efficiency.</w:t>
      </w:r>
      <w:r>
        <w:t xml:space="preserve"> </w:t>
      </w:r>
      <w:r w:rsidRPr="00E25C4C">
        <w:t xml:space="preserve">In contrast, exhaust gases are used by turbochargers to turn the turbine. </w:t>
      </w:r>
      <w:proofErr w:type="spellStart"/>
      <w:r>
        <w:t>Engineerrefe</w:t>
      </w:r>
      <w:proofErr w:type="spellEnd"/>
      <w:r>
        <w:t>, (20</w:t>
      </w:r>
      <w:r>
        <w:t>24</w:t>
      </w:r>
      <w:r>
        <w:t>), states that t</w:t>
      </w:r>
      <w:r w:rsidRPr="00C00368">
        <w:t>urbochargers are often favo</w:t>
      </w:r>
      <w:r w:rsidR="00503DC5">
        <w:t>u</w:t>
      </w:r>
      <w:r w:rsidRPr="00C00368">
        <w:t>red for their ability to generate more power at higher RPMs while typically being more fuel-efficient than superchargers</w:t>
      </w:r>
      <w:r>
        <w:t>,</w:t>
      </w:r>
      <w:r w:rsidRPr="005E60E3">
        <w:t xml:space="preserve"> but they can suffer from "turbo lag," where power delivery is delayed.</w:t>
      </w:r>
      <w:r>
        <w:t xml:space="preserve"> </w:t>
      </w:r>
      <w:r w:rsidRPr="00E25C4C">
        <w:t>In contrast to a supercharger, this lag may cause a less rapid power response</w:t>
      </w:r>
      <w:r>
        <w:t>.</w:t>
      </w:r>
    </w:p>
    <w:p w14:paraId="19C17B8D" w14:textId="63D4C931" w:rsidR="00120788" w:rsidRDefault="00120788" w:rsidP="0017146C">
      <w:r w:rsidRPr="00E25C4C">
        <w:t xml:space="preserve">Fuel efficiency is one of the primary distinctions between turbochargers and superchargers. </w:t>
      </w:r>
      <w:r w:rsidRPr="00F2682C">
        <w:t xml:space="preserve">The design of a supercharger, which pulls its power from the engine, </w:t>
      </w:r>
      <w:r w:rsidR="00A27756" w:rsidRPr="00F2682C">
        <w:t>hurts</w:t>
      </w:r>
      <w:r w:rsidRPr="00F2682C">
        <w:t xml:space="preserve"> efficiency by adding to the engine's load. That typically shows up in lower fuel economy averages. Beyond that, superchargers work best with large, already powerful engines. And that hurts the fuel economy even more </w:t>
      </w:r>
      <w:r>
        <w:t xml:space="preserve">(Haggerty, 2022). </w:t>
      </w:r>
      <w:r w:rsidRPr="00E25C4C">
        <w:t xml:space="preserve"> On the other hand, because turbochargers recycle waste energy, they are typically more fuel-efficient because they employ exhaust gases.</w:t>
      </w:r>
      <w:r>
        <w:t xml:space="preserve"> </w:t>
      </w:r>
      <w:r w:rsidRPr="00E25C4C">
        <w:t>During steady cruising, when a turbocharged engine may continue to run efficiently without appreciably increasing fuel consumption, the difference in fuel efficiency is most apparent. However, the efficiency gap between the two becomes less noticeable at times of strong demand, such as while travelling at high speeds or accelerating quickly.</w:t>
      </w:r>
      <w:r>
        <w:t xml:space="preserve"> </w:t>
      </w:r>
      <w:r w:rsidRPr="00E25C4C">
        <w:t>Additionally, technology like twin-turbo installations, which lessen latency and enhance performance over a wider range of speeds, have improved current turbochargers</w:t>
      </w:r>
      <w:r>
        <w:t>.</w:t>
      </w:r>
    </w:p>
    <w:p w14:paraId="5B9C23E5" w14:textId="77777777" w:rsidR="00FD7F8F" w:rsidRDefault="00EC3588" w:rsidP="0017146C">
      <w:pPr>
        <w:keepNext/>
      </w:pPr>
      <w:r w:rsidRPr="00E25C4C">
        <w:t>Beyond the automotive industry, both superchargers and turbochargers have found use in the aviation and marine sectors. In aviation engines, when instantaneous power response is essential, superchargers are frequently chosen.</w:t>
      </w:r>
      <w:r>
        <w:t xml:space="preserve"> </w:t>
      </w:r>
      <w:r w:rsidRPr="002D596E">
        <w:t>During World War II, for instance, superchargers were used extensively in combat aircraft to maintain engine performance at higher altitudes. Some aircraft used a combination of superchargers and turbochargers to optimize power delivery over varying altitudes, with turbochargers providing the necessary boost at higher altitudes.</w:t>
      </w:r>
      <w:r w:rsidRPr="00E25C4C">
        <w:t xml:space="preserve"> </w:t>
      </w:r>
      <w:r w:rsidRPr="002D596E">
        <w:t xml:space="preserve">The development of the turbo-supercharger by </w:t>
      </w:r>
      <w:proofErr w:type="spellStart"/>
      <w:r w:rsidRPr="002D596E">
        <w:t>Dr.</w:t>
      </w:r>
      <w:proofErr w:type="spellEnd"/>
      <w:r w:rsidRPr="002D596E">
        <w:t xml:space="preserve"> Sanford Moss was especially critical for high-altitude performance</w:t>
      </w:r>
      <w:r>
        <w:t>.</w:t>
      </w:r>
      <w:r w:rsidRPr="00F2682C">
        <w:rPr>
          <w:rFonts w:ascii="gesons-regular" w:hAnsi="gesons-regular"/>
          <w:color w:val="00003D"/>
          <w:sz w:val="27"/>
          <w:szCs w:val="27"/>
          <w:shd w:val="clear" w:color="auto" w:fill="FFFFFF"/>
        </w:rPr>
        <w:t xml:space="preserve"> </w:t>
      </w:r>
      <w:r w:rsidRPr="00F2682C">
        <w:t>During 1919-1921, newspaper headlines across the world heralded the record-altitude flights – surpassing 40,000 feet – by U.S. military aircraft from Dayton, Ohio, using piston engines boosted by the “innovative and secretive” GE turbosupercharger</w:t>
      </w:r>
      <w:r>
        <w:t xml:space="preserve"> (Kennedy, 2021).</w:t>
      </w:r>
      <w:r>
        <w:rPr>
          <w:b/>
          <w:bCs/>
          <w:i/>
          <w:iCs/>
        </w:rPr>
        <w:t xml:space="preserve"> </w:t>
      </w:r>
      <w:r w:rsidR="00FD7F8F">
        <w:rPr>
          <w:noProof/>
        </w:rPr>
        <w:drawing>
          <wp:inline distT="0" distB="0" distL="0" distR="0" wp14:anchorId="23C244C9" wp14:editId="6EDFE923">
            <wp:extent cx="5731510" cy="3223895"/>
            <wp:effectExtent l="0" t="0" r="2540" b="0"/>
            <wp:docPr id="1449551627" name="Picture 1" descr="A person in a suit holding a pin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551627" name="Picture 1" descr="A person in a suit holding a pinwheel&#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01A0254" w14:textId="25294C9D" w:rsidR="00FD7F8F" w:rsidRDefault="00FD7F8F" w:rsidP="00FD7F8F">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w:t>
      </w:r>
      <w:proofErr w:type="spellStart"/>
      <w:r>
        <w:t>Dr.</w:t>
      </w:r>
      <w:proofErr w:type="spellEnd"/>
      <w:r>
        <w:t xml:space="preserve"> Moss</w:t>
      </w:r>
      <w:r w:rsidR="00120BBD">
        <w:t xml:space="preserve"> with his practical design of the turbosupercharger</w:t>
      </w:r>
      <w:r w:rsidR="00611041">
        <w:t xml:space="preserve"> (Kennedy</w:t>
      </w:r>
      <w:r w:rsidR="00425EE4">
        <w:t>, 2021)</w:t>
      </w:r>
    </w:p>
    <w:p w14:paraId="7098CC9F" w14:textId="4A1B326E" w:rsidR="00675F88" w:rsidRDefault="00675F88" w:rsidP="0017146C">
      <w:r w:rsidRPr="00E25C4C">
        <w:t>Passenger cars with smaller engines where fuel economy is a top concern are more likely to use turbochargers.</w:t>
      </w:r>
      <w:r>
        <w:t xml:space="preserve"> </w:t>
      </w:r>
      <w:r w:rsidRPr="00E25C4C">
        <w:t xml:space="preserve">In the automobile sector, the </w:t>
      </w:r>
      <w:r w:rsidR="00A27756" w:rsidRPr="00E25C4C">
        <w:t>objectives</w:t>
      </w:r>
      <w:r w:rsidRPr="00E25C4C">
        <w:t xml:space="preserve"> of the manufacturer or customer frequently determine whether to use a supercharger or a turbocharger. While turbochargers are found in vehicles built for fuel efficiency, such as many contemporary passenger cars and hybrid engines, superchargers are typically found in performance vehicles and muscle cars where </w:t>
      </w:r>
      <w:r w:rsidR="00A27756" w:rsidRPr="00E25C4C">
        <w:t>high-power</w:t>
      </w:r>
      <w:r w:rsidRPr="00E25C4C">
        <w:t xml:space="preserve"> output is prioritised.</w:t>
      </w:r>
    </w:p>
    <w:p w14:paraId="5A80B799" w14:textId="1FB1B293" w:rsidR="00283DC9" w:rsidRDefault="006E427B" w:rsidP="0017146C">
      <w:pPr>
        <w:rPr>
          <w:rFonts w:asciiTheme="majorHAnsi" w:eastAsiaTheme="majorEastAsia" w:hAnsiTheme="majorHAnsi" w:cstheme="majorBidi"/>
          <w:color w:val="0F4761" w:themeColor="accent1" w:themeShade="BF"/>
          <w:sz w:val="40"/>
          <w:szCs w:val="40"/>
        </w:rPr>
      </w:pPr>
      <w:r w:rsidRPr="00E25C4C">
        <w:t>Both technologies' effects on the environment have gained significant attention in recent years, especially as worries about emissions and fuel economy have grown. Because they increase fuel economy by collecting waste exhaust energy, turbochargers are more environmentally friendly. Turbochargers contribute to a reduction in carbon emissions by consuming less gasoline.</w:t>
      </w:r>
      <w:r>
        <w:t xml:space="preserve"> </w:t>
      </w:r>
      <w:r w:rsidRPr="00E25C4C">
        <w:t>Although they improve performance, superchargers usually use more fuel and produce more pollution since they take power straight from the engine. However, with performance vehicles, where performance is the main priority and emissions are less restricted, this disadvantage is less of an issue.</w:t>
      </w:r>
      <w:r>
        <w:t xml:space="preserve"> </w:t>
      </w:r>
      <w:r w:rsidRPr="002D596E">
        <w:t>Despite these benefits, turbochargers can contribute to increased NOx emissions under certain operating conditions, particularly in lean-burn engines</w:t>
      </w:r>
      <w:r w:rsidRPr="002D596E">
        <w:rPr>
          <w:rFonts w:ascii="Arial" w:hAnsi="Arial" w:cs="Arial"/>
        </w:rPr>
        <w:t>​</w:t>
      </w:r>
      <w:r>
        <w:t xml:space="preserve">. Hence, </w:t>
      </w:r>
      <w:r w:rsidRPr="00F2682C">
        <w:t>there is a need to improve the exhaust energy utilization by the turbocharger such that the negative effects of the high backpressure requirements are offset</w:t>
      </w:r>
      <w:r>
        <w:t xml:space="preserve"> (Jia, 2021).</w:t>
      </w:r>
      <w:r w:rsidRPr="002D596E">
        <w:t xml:space="preserve"> Careful integration and advancements like variable geometry turbochargers or hybrid systems can help mitigate some of these challenges</w:t>
      </w:r>
      <w:r>
        <w:t>.</w:t>
      </w:r>
      <w:r w:rsidR="00283DC9">
        <w:br w:type="page"/>
      </w:r>
    </w:p>
    <w:p w14:paraId="17105AC7" w14:textId="7427033F" w:rsidR="00506347" w:rsidRDefault="00283DC9" w:rsidP="00283DC9">
      <w:pPr>
        <w:pStyle w:val="Heading1"/>
      </w:pPr>
      <w:bookmarkStart w:id="3" w:name="_Toc182765540"/>
      <w:r>
        <w:lastRenderedPageBreak/>
        <w:t>Conclusion</w:t>
      </w:r>
      <w:bookmarkEnd w:id="3"/>
    </w:p>
    <w:p w14:paraId="2FD66A2E" w14:textId="660CF73D" w:rsidR="0017146C" w:rsidRDefault="00861B42" w:rsidP="00861B42">
      <w:r w:rsidRPr="00AC7BDF">
        <w:t xml:space="preserve">In </w:t>
      </w:r>
      <w:r>
        <w:t>conclusion</w:t>
      </w:r>
      <w:r w:rsidRPr="00AC7BDF">
        <w:t>, both turbochargers and superchargers are efficient forced induction technologies, but depending on the application, each has unique benefits and drawbacks. Superchargers are perfect for performance cars that value acceleration and throttle response since they deliver power instantly, albeit at the expense of engine efficiency.</w:t>
      </w:r>
      <w:r>
        <w:t xml:space="preserve"> </w:t>
      </w:r>
      <w:r w:rsidRPr="00AC7BDF">
        <w:t>Conversely, turbochargers provide increased fuel efficiency and are commonly seen in automobiles built with environmental and fuel economy in mind. Both technologies have seen substantial development, and the future of the automotive and aviation sectors is still being shaped by their incorporation into contemporary engines.</w:t>
      </w:r>
      <w:r>
        <w:t xml:space="preserve"> In summary, Ran When Parked (2024), states e</w:t>
      </w:r>
      <w:r w:rsidRPr="00E054EC">
        <w:t>ach has its distinct mechanisms and outcomes, influencing performance, fuel efficiency, and emissions</w:t>
      </w:r>
      <w:r>
        <w:t>. T</w:t>
      </w:r>
      <w:r w:rsidRPr="002D596E">
        <w:t xml:space="preserve">urbochargers </w:t>
      </w:r>
      <w:r>
        <w:t>are</w:t>
      </w:r>
      <w:r w:rsidRPr="002D596E">
        <w:t xml:space="preserve"> particularly beneficial for reducing emissions in smaller engines. However, the optimization of each system's design is critical for achieving the best balance between power, fuel efficiency, and emissions</w:t>
      </w:r>
      <w:r>
        <w:t xml:space="preserve">. </w:t>
      </w:r>
      <w:r w:rsidRPr="00AC7BDF">
        <w:t>The user's particular requirements, whether they relate to power, efficiency, or environmental considerations, will ultimately determine whether to utilise a supercharger or a turbocharger</w:t>
      </w:r>
    </w:p>
    <w:p w14:paraId="510B9FCA" w14:textId="77777777" w:rsidR="0017146C" w:rsidRDefault="0017146C">
      <w:pPr>
        <w:spacing w:line="259" w:lineRule="auto"/>
      </w:pPr>
      <w:r>
        <w:br w:type="page"/>
      </w:r>
    </w:p>
    <w:p w14:paraId="50D71718" w14:textId="55281621" w:rsidR="00861B42" w:rsidRDefault="008122E1" w:rsidP="008122E1">
      <w:pPr>
        <w:pStyle w:val="Heading1"/>
      </w:pPr>
      <w:bookmarkStart w:id="4" w:name="_Toc182765541"/>
      <w:r>
        <w:t>References</w:t>
      </w:r>
      <w:bookmarkEnd w:id="4"/>
    </w:p>
    <w:p w14:paraId="71CD5442" w14:textId="00C77366" w:rsidR="005D14C1" w:rsidRDefault="00635ADD" w:rsidP="005D14C1">
      <w:r>
        <w:t>Ran When Parked</w:t>
      </w:r>
      <w:r w:rsidR="00EE3A6E">
        <w:t xml:space="preserve"> (2024) </w:t>
      </w:r>
      <w:r w:rsidR="000E311B" w:rsidRPr="000E311B">
        <w:t>Turbo vs Supercharger Pros and Cons: Comparing Forced Induction Systems - Ran When Parked - Car, Vehicle &amp; Truck Guides and Repair Journals.</w:t>
      </w:r>
      <w:r w:rsidR="00EE3A6E">
        <w:t xml:space="preserve"> Availab</w:t>
      </w:r>
      <w:r w:rsidR="000E311B">
        <w:t>l</w:t>
      </w:r>
      <w:r w:rsidR="00EE3A6E">
        <w:t xml:space="preserve">e at </w:t>
      </w:r>
      <w:hyperlink r:id="rId14" w:history="1">
        <w:r w:rsidR="000E311B" w:rsidRPr="00BF7845">
          <w:rPr>
            <w:rStyle w:val="Hyperlink"/>
          </w:rPr>
          <w:t>https://ranwhenparked.net/turbo-vs-supercharger-pros-and-cons/</w:t>
        </w:r>
      </w:hyperlink>
      <w:r w:rsidR="000E311B">
        <w:t xml:space="preserve"> (Accessed 17 November 2024)</w:t>
      </w:r>
      <w:r w:rsidR="005B6F84">
        <w:t>.</w:t>
      </w:r>
    </w:p>
    <w:p w14:paraId="3480A225" w14:textId="77777777" w:rsidR="00EB7520" w:rsidRDefault="00B84C91" w:rsidP="00EB7520">
      <w:r>
        <w:t>Ming Jia (</w:t>
      </w:r>
      <w:r w:rsidRPr="008F20F1">
        <w:t xml:space="preserve">2021) </w:t>
      </w:r>
      <w:r w:rsidR="005D14C1" w:rsidRPr="008F20F1">
        <w:t>Impact of Active Control Turbocharging on the Fuel Economy and Emissions of a Light-Duty Reactivity Controlled Compression Ignition Engine: A Simulation Study</w:t>
      </w:r>
      <w:r w:rsidR="008F20F1">
        <w:t xml:space="preserve">. Available at </w:t>
      </w:r>
      <w:hyperlink r:id="rId15" w:history="1">
        <w:r w:rsidR="00A95598" w:rsidRPr="00BF7845">
          <w:rPr>
            <w:rStyle w:val="Hyperlink"/>
          </w:rPr>
          <w:t>https://www.frontiersin.org/journals/mechanical-engineering/articles/10.3389/fmech.2021.610891/full</w:t>
        </w:r>
      </w:hyperlink>
      <w:r w:rsidR="00A95598">
        <w:t xml:space="preserve"> (Accessed 17 November 2024</w:t>
      </w:r>
      <w:r w:rsidR="005B6F84">
        <w:t>).</w:t>
      </w:r>
    </w:p>
    <w:p w14:paraId="7E3A9AF3" w14:textId="6EF0C023" w:rsidR="00745967" w:rsidRDefault="00D34CDC" w:rsidP="00EB7520">
      <w:r w:rsidRPr="00EB7520">
        <w:t xml:space="preserve">Rick Kennedy </w:t>
      </w:r>
      <w:r w:rsidR="00745967" w:rsidRPr="00EB7520">
        <w:t>(</w:t>
      </w:r>
      <w:r w:rsidRPr="00EB7520">
        <w:t xml:space="preserve">2021) </w:t>
      </w:r>
      <w:r w:rsidR="00EB7520" w:rsidRPr="00EB7520">
        <w:t>How Sanford Moss’s Turbosupercharger Saved GE’s Fledging Aviation Business</w:t>
      </w:r>
      <w:r w:rsidR="000B1CEA">
        <w:t xml:space="preserve">. Available at </w:t>
      </w:r>
      <w:hyperlink r:id="rId16" w:history="1">
        <w:r w:rsidR="005712A9" w:rsidRPr="00BF7845">
          <w:rPr>
            <w:rStyle w:val="Hyperlink"/>
          </w:rPr>
          <w:t>h</w:t>
        </w:r>
        <w:r w:rsidR="005712A9" w:rsidRPr="00BF7845">
          <w:rPr>
            <w:rStyle w:val="Hyperlink"/>
          </w:rPr>
          <w:t>ttps://www.geaerospace.com/news/articles/people-product/how-sanford-mosss-turbosupercharger-saved-ges-fledging-aviation-business</w:t>
        </w:r>
      </w:hyperlink>
      <w:r w:rsidR="005712A9">
        <w:t xml:space="preserve"> (Accessed 17 November 2024).</w:t>
      </w:r>
    </w:p>
    <w:p w14:paraId="201D9BB5" w14:textId="77777777" w:rsidR="00F96BB0" w:rsidRPr="00F96BB0" w:rsidRDefault="00262CD3" w:rsidP="00F96BB0">
      <w:r>
        <w:t xml:space="preserve">Mike Haggerty </w:t>
      </w:r>
      <w:r w:rsidR="00E14482">
        <w:t>(2022) Turbocharger vs Supercharger: Which is more effi</w:t>
      </w:r>
      <w:r w:rsidR="00153320">
        <w:t xml:space="preserve">cient? Available at </w:t>
      </w:r>
      <w:hyperlink r:id="rId17" w:history="1">
        <w:r w:rsidR="00153320" w:rsidRPr="00BF7845">
          <w:rPr>
            <w:rStyle w:val="Hyperlink"/>
          </w:rPr>
          <w:t>ht</w:t>
        </w:r>
        <w:r w:rsidR="00153320" w:rsidRPr="00BF7845">
          <w:rPr>
            <w:rStyle w:val="Hyperlink"/>
          </w:rPr>
          <w:t>tps://www.capitalone.com/cars/learn/finding-the-right-car/turbocharger-vs-supercharger-which-is-more-efficient/1588</w:t>
        </w:r>
      </w:hyperlink>
      <w:r w:rsidR="00153320">
        <w:t xml:space="preserve"> (Accessed 17 </w:t>
      </w:r>
      <w:r w:rsidR="00153320" w:rsidRPr="00F96BB0">
        <w:t>November 2024)</w:t>
      </w:r>
      <w:r w:rsidR="00E50106" w:rsidRPr="00F96BB0">
        <w:t>.</w:t>
      </w:r>
    </w:p>
    <w:p w14:paraId="14D2EC87" w14:textId="6217584A" w:rsidR="0021447A" w:rsidRDefault="0021447A" w:rsidP="00F96BB0">
      <w:proofErr w:type="spellStart"/>
      <w:r w:rsidRPr="00F96BB0">
        <w:t>Engineer</w:t>
      </w:r>
      <w:r w:rsidR="0092521B" w:rsidRPr="00F96BB0">
        <w:t>Reference</w:t>
      </w:r>
      <w:proofErr w:type="spellEnd"/>
      <w:r w:rsidR="0092521B" w:rsidRPr="00F96BB0">
        <w:t xml:space="preserve"> (2024) </w:t>
      </w:r>
      <w:r w:rsidR="00F96BB0" w:rsidRPr="00F96BB0">
        <w:t>Supercharger vs. Turbocharger: Key Differences, Pros, Cons, and What’s Best for Your Ca</w:t>
      </w:r>
      <w:r w:rsidR="00F96BB0" w:rsidRPr="00F96BB0">
        <w:t>r</w:t>
      </w:r>
      <w:r w:rsidR="008212E6">
        <w:t xml:space="preserve">. Available at </w:t>
      </w:r>
      <w:hyperlink r:id="rId18" w:history="1">
        <w:r w:rsidR="008212E6" w:rsidRPr="00BF7845">
          <w:rPr>
            <w:rStyle w:val="Hyperlink"/>
          </w:rPr>
          <w:t>ht</w:t>
        </w:r>
        <w:r w:rsidR="008212E6" w:rsidRPr="00BF7845">
          <w:rPr>
            <w:rStyle w:val="Hyperlink"/>
          </w:rPr>
          <w:t>tps://engineerrefe.com/tip/supercharger-vs-turbocharger-key-differences-pros-cons-and-whats-best-for-your-car/</w:t>
        </w:r>
      </w:hyperlink>
      <w:r w:rsidR="008212E6">
        <w:t xml:space="preserve"> (Accessed 17 November 2024).</w:t>
      </w:r>
    </w:p>
    <w:p w14:paraId="6C0AE0E3" w14:textId="0ACB3FB2" w:rsidR="003A3F18" w:rsidRDefault="003A3F18" w:rsidP="00F96BB0">
      <w:r>
        <w:t>Pearl Harbour Aviation Museum (</w:t>
      </w:r>
      <w:r w:rsidR="00220382">
        <w:t xml:space="preserve">2015) </w:t>
      </w:r>
      <w:r w:rsidR="00412BDA">
        <w:t xml:space="preserve">Superchargers and Turbochargers. Available at </w:t>
      </w:r>
      <w:hyperlink r:id="rId19" w:history="1">
        <w:r w:rsidR="00740FD9" w:rsidRPr="00BF7845">
          <w:rPr>
            <w:rStyle w:val="Hyperlink"/>
          </w:rPr>
          <w:t>h</w:t>
        </w:r>
        <w:r w:rsidR="00740FD9" w:rsidRPr="00BF7845">
          <w:rPr>
            <w:rStyle w:val="Hyperlink"/>
          </w:rPr>
          <w:t>ttps://www.pearlharboraviationmuseum.org/news/blog-archives/superchargers-and-turbochargers/</w:t>
        </w:r>
      </w:hyperlink>
      <w:r w:rsidR="00740FD9">
        <w:t xml:space="preserve"> (Accessed 17 November 2024)</w:t>
      </w:r>
    </w:p>
    <w:p w14:paraId="397063B9" w14:textId="1EEDAFFB" w:rsidR="00E5262B" w:rsidRPr="00F96BB0" w:rsidRDefault="00E5262B" w:rsidP="00F96BB0">
      <w:r>
        <w:t>Engine Basics (2024)</w:t>
      </w:r>
      <w:r w:rsidR="00586B36">
        <w:t xml:space="preserve"> Brief History </w:t>
      </w:r>
      <w:proofErr w:type="gramStart"/>
      <w:r w:rsidR="00F0732D">
        <w:t>Of</w:t>
      </w:r>
      <w:proofErr w:type="gramEnd"/>
      <w:r w:rsidR="00F0732D">
        <w:t xml:space="preserve"> Superchargers</w:t>
      </w:r>
      <w:r w:rsidR="00F73AEF">
        <w:t xml:space="preserve">. Available at </w:t>
      </w:r>
      <w:hyperlink r:id="rId20" w:history="1">
        <w:r w:rsidR="00F73AEF" w:rsidRPr="00BF7845">
          <w:rPr>
            <w:rStyle w:val="Hyperlink"/>
          </w:rPr>
          <w:t>h</w:t>
        </w:r>
        <w:r w:rsidR="00F73AEF" w:rsidRPr="00BF7845">
          <w:rPr>
            <w:rStyle w:val="Hyperlink"/>
          </w:rPr>
          <w:t>ttps://www.enginebasics.com/Advanced%20Engine%20Tuning/Forced%20Induction%20Pg6.html</w:t>
        </w:r>
      </w:hyperlink>
      <w:r w:rsidR="00F73AEF">
        <w:t xml:space="preserve"> (Accessed 17 November 2024)</w:t>
      </w:r>
    </w:p>
    <w:sectPr w:rsidR="00E5262B" w:rsidRPr="00F96BB0" w:rsidSect="00B0360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CB66B7" w14:textId="77777777" w:rsidR="000D0758" w:rsidRDefault="000D0758" w:rsidP="00BD3AE6">
      <w:pPr>
        <w:spacing w:after="0" w:line="240" w:lineRule="auto"/>
      </w:pPr>
      <w:r>
        <w:separator/>
      </w:r>
    </w:p>
  </w:endnote>
  <w:endnote w:type="continuationSeparator" w:id="0">
    <w:p w14:paraId="17F17606" w14:textId="77777777" w:rsidR="000D0758" w:rsidRDefault="000D0758" w:rsidP="00BD3A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sons-regula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1594737"/>
      <w:docPartObj>
        <w:docPartGallery w:val="Page Numbers (Bottom of Page)"/>
        <w:docPartUnique/>
      </w:docPartObj>
    </w:sdtPr>
    <w:sdtEndPr>
      <w:rPr>
        <w:noProof/>
      </w:rPr>
    </w:sdtEndPr>
    <w:sdtContent>
      <w:p w14:paraId="0F57D002" w14:textId="77777777" w:rsidR="002F36AD" w:rsidRDefault="002F36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D38D95" w14:textId="77777777" w:rsidR="002F36AD" w:rsidRDefault="002F36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0567CC" w14:textId="77777777" w:rsidR="000D0758" w:rsidRDefault="000D0758" w:rsidP="00BD3AE6">
      <w:pPr>
        <w:spacing w:after="0" w:line="240" w:lineRule="auto"/>
      </w:pPr>
      <w:r>
        <w:separator/>
      </w:r>
    </w:p>
  </w:footnote>
  <w:footnote w:type="continuationSeparator" w:id="0">
    <w:p w14:paraId="75D536FD" w14:textId="77777777" w:rsidR="000D0758" w:rsidRDefault="000D0758" w:rsidP="00BD3A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EF6F6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97490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758"/>
    <w:rsid w:val="000153A1"/>
    <w:rsid w:val="000372BA"/>
    <w:rsid w:val="0006499C"/>
    <w:rsid w:val="000B1CEA"/>
    <w:rsid w:val="000D0758"/>
    <w:rsid w:val="000E311B"/>
    <w:rsid w:val="001102A1"/>
    <w:rsid w:val="00120788"/>
    <w:rsid w:val="00120BBD"/>
    <w:rsid w:val="00153320"/>
    <w:rsid w:val="0017146C"/>
    <w:rsid w:val="001A4D30"/>
    <w:rsid w:val="001B0140"/>
    <w:rsid w:val="002131C6"/>
    <w:rsid w:val="0021447A"/>
    <w:rsid w:val="00220382"/>
    <w:rsid w:val="00262CD3"/>
    <w:rsid w:val="00276DD0"/>
    <w:rsid w:val="00283DC9"/>
    <w:rsid w:val="002F36AD"/>
    <w:rsid w:val="002F65DF"/>
    <w:rsid w:val="00322DCB"/>
    <w:rsid w:val="00360C8C"/>
    <w:rsid w:val="003A3F18"/>
    <w:rsid w:val="00412BDA"/>
    <w:rsid w:val="00425EE4"/>
    <w:rsid w:val="00481BAE"/>
    <w:rsid w:val="004A27A2"/>
    <w:rsid w:val="00503DC5"/>
    <w:rsid w:val="00506347"/>
    <w:rsid w:val="005712A9"/>
    <w:rsid w:val="00585EF2"/>
    <w:rsid w:val="00586B36"/>
    <w:rsid w:val="005B6F84"/>
    <w:rsid w:val="005D14C1"/>
    <w:rsid w:val="00604307"/>
    <w:rsid w:val="00611041"/>
    <w:rsid w:val="006149C2"/>
    <w:rsid w:val="00635ADD"/>
    <w:rsid w:val="00675F88"/>
    <w:rsid w:val="006E427B"/>
    <w:rsid w:val="0072518D"/>
    <w:rsid w:val="00740FD9"/>
    <w:rsid w:val="00745967"/>
    <w:rsid w:val="007504B8"/>
    <w:rsid w:val="008122E1"/>
    <w:rsid w:val="008128A6"/>
    <w:rsid w:val="008212E6"/>
    <w:rsid w:val="00861B42"/>
    <w:rsid w:val="00893C98"/>
    <w:rsid w:val="008A5233"/>
    <w:rsid w:val="008F20F1"/>
    <w:rsid w:val="0092521B"/>
    <w:rsid w:val="00943B01"/>
    <w:rsid w:val="00994E3D"/>
    <w:rsid w:val="009A51E0"/>
    <w:rsid w:val="009D4AE4"/>
    <w:rsid w:val="00A27756"/>
    <w:rsid w:val="00A939ED"/>
    <w:rsid w:val="00A95598"/>
    <w:rsid w:val="00AD790B"/>
    <w:rsid w:val="00B03604"/>
    <w:rsid w:val="00B704F3"/>
    <w:rsid w:val="00B84C91"/>
    <w:rsid w:val="00BD3AE6"/>
    <w:rsid w:val="00D34CDC"/>
    <w:rsid w:val="00D5001F"/>
    <w:rsid w:val="00DA6C8F"/>
    <w:rsid w:val="00DC0ECD"/>
    <w:rsid w:val="00DC6A57"/>
    <w:rsid w:val="00E14482"/>
    <w:rsid w:val="00E50106"/>
    <w:rsid w:val="00E5262B"/>
    <w:rsid w:val="00E7635E"/>
    <w:rsid w:val="00EB7520"/>
    <w:rsid w:val="00EC3588"/>
    <w:rsid w:val="00EE3A6E"/>
    <w:rsid w:val="00EE4F2F"/>
    <w:rsid w:val="00F0732D"/>
    <w:rsid w:val="00F6588B"/>
    <w:rsid w:val="00F73AEF"/>
    <w:rsid w:val="00F96BB0"/>
    <w:rsid w:val="00FD0688"/>
    <w:rsid w:val="00FD7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9A42FB"/>
  <w15:chartTrackingRefBased/>
  <w15:docId w15:val="{BF230223-CE4D-46A6-860E-07CE18B5C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DC9"/>
    <w:pPr>
      <w:spacing w:line="360" w:lineRule="auto"/>
    </w:pPr>
  </w:style>
  <w:style w:type="paragraph" w:styleId="Heading1">
    <w:name w:val="heading 1"/>
    <w:basedOn w:val="Normal"/>
    <w:next w:val="Normal"/>
    <w:link w:val="Heading1Char"/>
    <w:uiPriority w:val="9"/>
    <w:qFormat/>
    <w:rsid w:val="0072518D"/>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518D"/>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518D"/>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518D"/>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518D"/>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518D"/>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518D"/>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518D"/>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518D"/>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1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51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51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51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51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51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51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51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518D"/>
    <w:rPr>
      <w:rFonts w:eastAsiaTheme="majorEastAsia" w:cstheme="majorBidi"/>
      <w:color w:val="272727" w:themeColor="text1" w:themeTint="D8"/>
    </w:rPr>
  </w:style>
  <w:style w:type="paragraph" w:styleId="Title">
    <w:name w:val="Title"/>
    <w:basedOn w:val="Normal"/>
    <w:next w:val="Normal"/>
    <w:link w:val="TitleChar"/>
    <w:uiPriority w:val="10"/>
    <w:qFormat/>
    <w:rsid w:val="007251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1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51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51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518D"/>
    <w:pPr>
      <w:spacing w:before="160"/>
      <w:jc w:val="center"/>
    </w:pPr>
    <w:rPr>
      <w:i/>
      <w:iCs/>
      <w:color w:val="404040" w:themeColor="text1" w:themeTint="BF"/>
    </w:rPr>
  </w:style>
  <w:style w:type="character" w:customStyle="1" w:styleId="QuoteChar">
    <w:name w:val="Quote Char"/>
    <w:basedOn w:val="DefaultParagraphFont"/>
    <w:link w:val="Quote"/>
    <w:uiPriority w:val="29"/>
    <w:rsid w:val="0072518D"/>
    <w:rPr>
      <w:i/>
      <w:iCs/>
      <w:color w:val="404040" w:themeColor="text1" w:themeTint="BF"/>
    </w:rPr>
  </w:style>
  <w:style w:type="paragraph" w:styleId="ListParagraph">
    <w:name w:val="List Paragraph"/>
    <w:basedOn w:val="Normal"/>
    <w:uiPriority w:val="34"/>
    <w:qFormat/>
    <w:rsid w:val="0072518D"/>
    <w:pPr>
      <w:ind w:left="720"/>
      <w:contextualSpacing/>
    </w:pPr>
  </w:style>
  <w:style w:type="character" w:styleId="IntenseEmphasis">
    <w:name w:val="Intense Emphasis"/>
    <w:basedOn w:val="DefaultParagraphFont"/>
    <w:uiPriority w:val="21"/>
    <w:qFormat/>
    <w:rsid w:val="0072518D"/>
    <w:rPr>
      <w:i/>
      <w:iCs/>
      <w:color w:val="0F4761" w:themeColor="accent1" w:themeShade="BF"/>
    </w:rPr>
  </w:style>
  <w:style w:type="paragraph" w:styleId="IntenseQuote">
    <w:name w:val="Intense Quote"/>
    <w:basedOn w:val="Normal"/>
    <w:next w:val="Normal"/>
    <w:link w:val="IntenseQuoteChar"/>
    <w:uiPriority w:val="30"/>
    <w:qFormat/>
    <w:rsid w:val="007251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518D"/>
    <w:rPr>
      <w:i/>
      <w:iCs/>
      <w:color w:val="0F4761" w:themeColor="accent1" w:themeShade="BF"/>
    </w:rPr>
  </w:style>
  <w:style w:type="character" w:styleId="IntenseReference">
    <w:name w:val="Intense Reference"/>
    <w:basedOn w:val="DefaultParagraphFont"/>
    <w:uiPriority w:val="32"/>
    <w:qFormat/>
    <w:rsid w:val="0072518D"/>
    <w:rPr>
      <w:b/>
      <w:bCs/>
      <w:smallCaps/>
      <w:color w:val="0F4761" w:themeColor="accent1" w:themeShade="BF"/>
      <w:spacing w:val="5"/>
    </w:rPr>
  </w:style>
  <w:style w:type="paragraph" w:styleId="TOCHeading">
    <w:name w:val="TOC Heading"/>
    <w:basedOn w:val="Heading1"/>
    <w:next w:val="Normal"/>
    <w:uiPriority w:val="39"/>
    <w:unhideWhenUsed/>
    <w:qFormat/>
    <w:rsid w:val="00283DC9"/>
    <w:pPr>
      <w:numPr>
        <w:numId w:val="0"/>
      </w:num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283DC9"/>
    <w:pPr>
      <w:spacing w:after="100"/>
    </w:pPr>
  </w:style>
  <w:style w:type="character" w:styleId="Hyperlink">
    <w:name w:val="Hyperlink"/>
    <w:basedOn w:val="DefaultParagraphFont"/>
    <w:uiPriority w:val="99"/>
    <w:unhideWhenUsed/>
    <w:rsid w:val="00283DC9"/>
    <w:rPr>
      <w:color w:val="467886" w:themeColor="hyperlink"/>
      <w:u w:val="single"/>
    </w:rPr>
  </w:style>
  <w:style w:type="paragraph" w:styleId="Header">
    <w:name w:val="header"/>
    <w:basedOn w:val="Normal"/>
    <w:link w:val="HeaderChar"/>
    <w:uiPriority w:val="99"/>
    <w:unhideWhenUsed/>
    <w:rsid w:val="00BD3A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AE6"/>
  </w:style>
  <w:style w:type="paragraph" w:styleId="Footer">
    <w:name w:val="footer"/>
    <w:basedOn w:val="Normal"/>
    <w:link w:val="FooterChar"/>
    <w:uiPriority w:val="99"/>
    <w:unhideWhenUsed/>
    <w:rsid w:val="00BD3A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AE6"/>
  </w:style>
  <w:style w:type="paragraph" w:styleId="Caption">
    <w:name w:val="caption"/>
    <w:basedOn w:val="Normal"/>
    <w:next w:val="Normal"/>
    <w:uiPriority w:val="35"/>
    <w:semiHidden/>
    <w:unhideWhenUsed/>
    <w:qFormat/>
    <w:rsid w:val="00FD7F8F"/>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EE3A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367739">
      <w:bodyDiv w:val="1"/>
      <w:marLeft w:val="0"/>
      <w:marRight w:val="0"/>
      <w:marTop w:val="0"/>
      <w:marBottom w:val="0"/>
      <w:divBdr>
        <w:top w:val="none" w:sz="0" w:space="0" w:color="auto"/>
        <w:left w:val="none" w:sz="0" w:space="0" w:color="auto"/>
        <w:bottom w:val="none" w:sz="0" w:space="0" w:color="auto"/>
        <w:right w:val="none" w:sz="0" w:space="0" w:color="auto"/>
      </w:divBdr>
    </w:div>
    <w:div w:id="364405530">
      <w:bodyDiv w:val="1"/>
      <w:marLeft w:val="0"/>
      <w:marRight w:val="0"/>
      <w:marTop w:val="0"/>
      <w:marBottom w:val="0"/>
      <w:divBdr>
        <w:top w:val="none" w:sz="0" w:space="0" w:color="auto"/>
        <w:left w:val="none" w:sz="0" w:space="0" w:color="auto"/>
        <w:bottom w:val="none" w:sz="0" w:space="0" w:color="auto"/>
        <w:right w:val="none" w:sz="0" w:space="0" w:color="auto"/>
      </w:divBdr>
    </w:div>
    <w:div w:id="884026440">
      <w:bodyDiv w:val="1"/>
      <w:marLeft w:val="0"/>
      <w:marRight w:val="0"/>
      <w:marTop w:val="0"/>
      <w:marBottom w:val="0"/>
      <w:divBdr>
        <w:top w:val="none" w:sz="0" w:space="0" w:color="auto"/>
        <w:left w:val="none" w:sz="0" w:space="0" w:color="auto"/>
        <w:bottom w:val="none" w:sz="0" w:space="0" w:color="auto"/>
        <w:right w:val="none" w:sz="0" w:space="0" w:color="auto"/>
      </w:divBdr>
      <w:divsChild>
        <w:div w:id="1606890210">
          <w:marLeft w:val="0"/>
          <w:marRight w:val="0"/>
          <w:marTop w:val="0"/>
          <w:marBottom w:val="0"/>
          <w:divBdr>
            <w:top w:val="none" w:sz="0" w:space="0" w:color="auto"/>
            <w:left w:val="none" w:sz="0" w:space="0" w:color="auto"/>
            <w:bottom w:val="none" w:sz="0" w:space="0" w:color="auto"/>
            <w:right w:val="none" w:sz="0" w:space="0" w:color="auto"/>
          </w:divBdr>
          <w:divsChild>
            <w:div w:id="153453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engineerrefe.com/tip/supercharger-vs-turbocharger-key-differences-pros-cons-and-whats-best-for-your-car/"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apitalone.com/cars/learn/finding-the-right-car/turbocharger-vs-supercharger-which-is-more-efficient/1588" TargetMode="External"/><Relationship Id="rId2" Type="http://schemas.openxmlformats.org/officeDocument/2006/relationships/customXml" Target="../customXml/item2.xml"/><Relationship Id="rId16" Type="http://schemas.openxmlformats.org/officeDocument/2006/relationships/hyperlink" Target="https://www.geaerospace.com/news/articles/people-product/how-sanford-mosss-turbosupercharger-saved-ges-fledging-aviation-business" TargetMode="External"/><Relationship Id="rId20" Type="http://schemas.openxmlformats.org/officeDocument/2006/relationships/hyperlink" Target="https://www.enginebasics.com/Advanced%20Engine%20Tuning/Forced%20Induction%20Pg6.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frontiersin.org/journals/mechanical-engineering/articles/10.3389/fmech.2021.610891/full" TargetMode="External"/><Relationship Id="rId10" Type="http://schemas.openxmlformats.org/officeDocument/2006/relationships/endnotes" Target="endnotes.xml"/><Relationship Id="rId19" Type="http://schemas.openxmlformats.org/officeDocument/2006/relationships/hyperlink" Target="https://www.pearlharboraviationmuseum.org/news/blog-archives/superchargers-and-turbocharg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ranwhenparked.net/turbo-vs-supercharger-pros-and-cons/"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2420832_student_uwtsd_ac_uk/Documents/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9" ma:contentTypeDescription="Create a new document." ma:contentTypeScope="" ma:versionID="4f8e2deec77dad94e3ca2e4901690746">
  <xsd:schema xmlns:xsd="http://www.w3.org/2001/XMLSchema" xmlns:xs="http://www.w3.org/2001/XMLSchema" xmlns:p="http://schemas.microsoft.com/office/2006/metadata/properties" xmlns:ns3="bf244c3e-e0b4-4871-bb4e-fd032a14544d" targetNamespace="http://schemas.microsoft.com/office/2006/metadata/properties" ma:root="true" ma:fieldsID="da5505292dea01504982989ce02788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890806-4E1A-424C-B5B2-B0FB505FAC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17B6B0-099D-4863-A38C-CD79D4AB0E79}">
  <ds:schemaRefs>
    <ds:schemaRef ds:uri="http://schemas.microsoft.com/sharepoint/v3/contenttype/forms"/>
  </ds:schemaRefs>
</ds:datastoreItem>
</file>

<file path=customXml/itemProps3.xml><?xml version="1.0" encoding="utf-8"?>
<ds:datastoreItem xmlns:ds="http://schemas.openxmlformats.org/officeDocument/2006/customXml" ds:itemID="{E183B6F3-7D31-4989-A914-2C032C8FA3F2}">
  <ds:schemaRefs>
    <ds:schemaRef ds:uri="http://purl.org/dc/dcmitype/"/>
    <ds:schemaRef ds:uri="http://schemas.microsoft.com/office/2006/documentManagement/types"/>
    <ds:schemaRef ds:uri="http://www.w3.org/XML/1998/namespace"/>
    <ds:schemaRef ds:uri="http://purl.org/dc/terms/"/>
    <ds:schemaRef ds:uri="http://schemas.microsoft.com/office/2006/metadata/properties"/>
    <ds:schemaRef ds:uri="http://schemas.microsoft.com/office/infopath/2007/PartnerControls"/>
    <ds:schemaRef ds:uri="http://schemas.openxmlformats.org/package/2006/metadata/core-properties"/>
    <ds:schemaRef ds:uri="bf244c3e-e0b4-4871-bb4e-fd032a14544d"/>
    <ds:schemaRef ds:uri="http://purl.org/dc/elements/1.1/"/>
  </ds:schemaRefs>
</ds:datastoreItem>
</file>

<file path=customXml/itemProps4.xml><?xml version="1.0" encoding="utf-8"?>
<ds:datastoreItem xmlns:ds="http://schemas.openxmlformats.org/officeDocument/2006/customXml" ds:itemID="{563ACC8A-09B2-4D2D-A6EA-85B8C94B3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Technical%20Report%20Template</Template>
  <TotalTime>1719</TotalTime>
  <Pages>8</Pages>
  <Words>1460</Words>
  <Characters>9586</Characters>
  <Application>Microsoft Office Word</Application>
  <DocSecurity>0</DocSecurity>
  <Lines>161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Brown</dc:creator>
  <cp:keywords/>
  <dc:description/>
  <cp:lastModifiedBy>Harri Brown (2420832)</cp:lastModifiedBy>
  <cp:revision>68</cp:revision>
  <cp:lastPrinted>2024-11-13T13:21:00Z</cp:lastPrinted>
  <dcterms:created xsi:type="dcterms:W3CDTF">2024-11-13T13:13:00Z</dcterms:created>
  <dcterms:modified xsi:type="dcterms:W3CDTF">2024-11-17T19:52:00Z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y fmtid="{D5CDD505-2E9C-101B-9397-08002B2CF9AE}" pid="3" name="GrammarlyDocumentId">
    <vt:lpwstr>c53cfecb-13ac-4ead-a840-7bd4be710dd4</vt:lpwstr>
  </property>
</Properties>
</file>