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4F5771" w14:textId="77777777" w:rsidR="00BD1BF3" w:rsidRDefault="00BD1BF3" w:rsidP="00F62762">
      <w:pPr>
        <w:spacing w:line="480" w:lineRule="auto"/>
        <w:jc w:val="center"/>
        <w:rPr>
          <w:rFonts w:ascii="Times New Roman" w:hAnsi="Times New Roman"/>
          <w:sz w:val="24"/>
          <w:szCs w:val="24"/>
        </w:rPr>
      </w:pPr>
      <w:r w:rsidRPr="00B078EA">
        <w:rPr>
          <w:rFonts w:ascii="Times New Roman" w:hAnsi="Times New Roman"/>
          <w:sz w:val="24"/>
          <w:szCs w:val="24"/>
        </w:rPr>
        <w:t>A critical literature review evaluating the positive and negative effects of the role of counter-transference on the counsellor and possible implications within the therapeutic relationship.</w:t>
      </w:r>
    </w:p>
    <w:p w14:paraId="4BDA4FBC" w14:textId="77777777" w:rsidR="00BD1BF3" w:rsidRDefault="00BD1BF3" w:rsidP="00F62762">
      <w:pPr>
        <w:spacing w:line="480" w:lineRule="auto"/>
        <w:jc w:val="center"/>
        <w:rPr>
          <w:rFonts w:ascii="Times New Roman" w:hAnsi="Times New Roman"/>
          <w:sz w:val="24"/>
          <w:szCs w:val="24"/>
        </w:rPr>
      </w:pPr>
    </w:p>
    <w:p w14:paraId="1131B64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 purpose of this critical literature review is to evaluate the positive and negative effects of the role of counter-transference on the counsellor and its possible implications within the therapeutic relationship. Due to the variety and overlap within this area Counter-Transference, Vicarious Trauma, Secondary Traumatic Stress and Compassion Fatigue will be generally described as Counter-Transference as to ensure that a universal understanding of the topic of discussion can be achieved before further analysis later. I will subscribe to a Foucauldian based model of discourse analysis style of qualitative research, where the researcher must look at the relevant literature through defined principles as to ensure consistent quality of analysis. This form of analysis will enable this piece of research to discuss how the shared understanding of the topic area has been enabled to be created and to identify what gaps in knowledge within this subject may still exist (Hook, 2001).</w:t>
      </w:r>
    </w:p>
    <w:p w14:paraId="3B2B0A4D" w14:textId="77777777" w:rsidR="00BD1BF3" w:rsidRDefault="00BD1BF3" w:rsidP="00F62762">
      <w:pPr>
        <w:spacing w:line="480" w:lineRule="auto"/>
        <w:rPr>
          <w:rFonts w:ascii="Times New Roman" w:hAnsi="Times New Roman"/>
          <w:sz w:val="24"/>
          <w:szCs w:val="24"/>
        </w:rPr>
      </w:pPr>
    </w:p>
    <w:p w14:paraId="7D370881"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Even with the simplified term of Counter-Transference there are still 3 acknowledged types (Ensink et al., 2013) within the world of psychotherapy which again suggests the need for more amalgamation of terms and theories demonstrated in a more understandable and applicable way.</w:t>
      </w:r>
    </w:p>
    <w:p w14:paraId="434E4994" w14:textId="77777777" w:rsidR="00BD1BF3" w:rsidRDefault="00BD1BF3" w:rsidP="00F62762">
      <w:pPr>
        <w:spacing w:line="480" w:lineRule="auto"/>
        <w:rPr>
          <w:rFonts w:ascii="Times New Roman" w:hAnsi="Times New Roman"/>
          <w:sz w:val="24"/>
          <w:szCs w:val="24"/>
        </w:rPr>
      </w:pPr>
    </w:p>
    <w:p w14:paraId="2D69916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 In order to get a good view of the existing literature and look at how the current understanding of the topic and variety of terms have been reached, t</w:t>
      </w:r>
      <w:r w:rsidRPr="00B078EA">
        <w:rPr>
          <w:rFonts w:ascii="Times New Roman" w:hAnsi="Times New Roman"/>
          <w:sz w:val="24"/>
          <w:szCs w:val="24"/>
        </w:rPr>
        <w:t xml:space="preserve">he proposed methodology of this piece shall take place in two parts. </w:t>
      </w:r>
    </w:p>
    <w:p w14:paraId="45FBDFB4" w14:textId="77777777" w:rsidR="00BD1BF3" w:rsidRDefault="00BD1BF3" w:rsidP="00F62762">
      <w:pPr>
        <w:spacing w:line="480" w:lineRule="auto"/>
        <w:rPr>
          <w:rFonts w:ascii="Times New Roman" w:hAnsi="Times New Roman"/>
          <w:sz w:val="24"/>
          <w:szCs w:val="24"/>
        </w:rPr>
      </w:pPr>
    </w:p>
    <w:p w14:paraId="6AC1DA93" w14:textId="77777777" w:rsidR="00BD1BF3" w:rsidRDefault="00BD1BF3" w:rsidP="00F62762">
      <w:pPr>
        <w:spacing w:line="480" w:lineRule="auto"/>
        <w:rPr>
          <w:rFonts w:ascii="Times New Roman" w:hAnsi="Times New Roman"/>
          <w:sz w:val="24"/>
          <w:szCs w:val="24"/>
        </w:rPr>
      </w:pPr>
      <w:r w:rsidRPr="00B078EA">
        <w:rPr>
          <w:rFonts w:ascii="Times New Roman" w:hAnsi="Times New Roman"/>
          <w:sz w:val="24"/>
          <w:szCs w:val="24"/>
        </w:rPr>
        <w:lastRenderedPageBreak/>
        <w:t xml:space="preserve">First, the data for this piece will be collated through the medium of a critical literature review. Saunders and Rojon (2011) suggest that a critical literature review is an effective way of sifting through existing knowledge in order to separate data into the realms of the known and the not known. </w:t>
      </w:r>
      <w:r>
        <w:rPr>
          <w:rFonts w:ascii="Times New Roman" w:hAnsi="Times New Roman"/>
          <w:sz w:val="24"/>
          <w:szCs w:val="24"/>
        </w:rPr>
        <w:t>By sifting through what is already out there this piece of research can</w:t>
      </w:r>
      <w:r w:rsidRPr="00B078EA">
        <w:rPr>
          <w:rFonts w:ascii="Times New Roman" w:hAnsi="Times New Roman"/>
          <w:sz w:val="24"/>
          <w:szCs w:val="24"/>
        </w:rPr>
        <w:t xml:space="preserve"> help to identify similarities and common threads in order to identify prevalent knowledge in a more simplistic format.</w:t>
      </w:r>
      <w:r>
        <w:rPr>
          <w:rFonts w:ascii="Times New Roman" w:hAnsi="Times New Roman"/>
          <w:sz w:val="24"/>
          <w:szCs w:val="24"/>
        </w:rPr>
        <w:t xml:space="preserve"> </w:t>
      </w:r>
      <w:r w:rsidRPr="00B078EA">
        <w:rPr>
          <w:rFonts w:ascii="Times New Roman" w:hAnsi="Times New Roman"/>
          <w:sz w:val="24"/>
          <w:szCs w:val="24"/>
        </w:rPr>
        <w:t xml:space="preserve">Because of the overlap within this topic area and the importance of the topic in terms of safety for all parties, this has the potential to be an effective way of amalgamating what is already out there ready for analysis. For example, vicarious trauma and secondary traumatic stress both refer to traumatisation from a secondary source (such as being traumatised as a </w:t>
      </w:r>
      <w:r>
        <w:rPr>
          <w:rFonts w:ascii="Times New Roman" w:hAnsi="Times New Roman"/>
          <w:sz w:val="24"/>
          <w:szCs w:val="24"/>
        </w:rPr>
        <w:t>therapist</w:t>
      </w:r>
      <w:r w:rsidRPr="00B078EA">
        <w:rPr>
          <w:rFonts w:ascii="Times New Roman" w:hAnsi="Times New Roman"/>
          <w:sz w:val="24"/>
          <w:szCs w:val="24"/>
        </w:rPr>
        <w:t xml:space="preserve"> through a client’s trauma), however they may both be used as separate terms to describe a similar phenomenon. This may create confusion and lost knowledge in terms of aiding practice through lack of clarity (Baird and Kracen, 2006). </w:t>
      </w:r>
    </w:p>
    <w:p w14:paraId="29EB1F9B" w14:textId="77777777" w:rsidR="00BD1BF3" w:rsidRPr="00B078EA" w:rsidRDefault="00BD1BF3" w:rsidP="00F62762">
      <w:pPr>
        <w:spacing w:line="480" w:lineRule="auto"/>
        <w:rPr>
          <w:rFonts w:ascii="Times New Roman" w:hAnsi="Times New Roman"/>
          <w:sz w:val="24"/>
          <w:szCs w:val="24"/>
        </w:rPr>
      </w:pPr>
    </w:p>
    <w:p w14:paraId="3C284DD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Furthermore, t</w:t>
      </w:r>
      <w:r w:rsidRPr="00B078EA">
        <w:rPr>
          <w:rFonts w:ascii="Times New Roman" w:hAnsi="Times New Roman"/>
          <w:sz w:val="24"/>
          <w:szCs w:val="24"/>
        </w:rPr>
        <w:t xml:space="preserve">he analytical method for this piece will be based upon the critiqued method of Foucauldian discourse analysis offered by Hook (2001) and will be based on four methodological principles. </w:t>
      </w:r>
    </w:p>
    <w:p w14:paraId="713FAE83" w14:textId="77777777" w:rsidR="00BD1BF3" w:rsidRDefault="00BD1BF3" w:rsidP="00F62762">
      <w:pPr>
        <w:spacing w:line="480" w:lineRule="auto"/>
        <w:rPr>
          <w:rFonts w:ascii="Times New Roman" w:hAnsi="Times New Roman"/>
          <w:sz w:val="24"/>
          <w:szCs w:val="24"/>
        </w:rPr>
      </w:pPr>
    </w:p>
    <w:p w14:paraId="3316BD45" w14:textId="77777777" w:rsidR="00BD1BF3" w:rsidRDefault="00BD1BF3" w:rsidP="00F62762">
      <w:pPr>
        <w:spacing w:line="480" w:lineRule="auto"/>
        <w:rPr>
          <w:rFonts w:ascii="Times New Roman" w:hAnsi="Times New Roman"/>
          <w:sz w:val="24"/>
          <w:szCs w:val="24"/>
        </w:rPr>
      </w:pPr>
      <w:r w:rsidRPr="00B078EA">
        <w:rPr>
          <w:rFonts w:ascii="Times New Roman" w:hAnsi="Times New Roman"/>
          <w:sz w:val="24"/>
          <w:szCs w:val="24"/>
        </w:rPr>
        <w:t xml:space="preserve">These are firstly the principle of reversal (overturning of existing assumptions on a topic). Secondly the principle of specificity (that knowledge cannot be overgeneralised into one exact outcome). </w:t>
      </w:r>
    </w:p>
    <w:p w14:paraId="0A67C647" w14:textId="77777777" w:rsidR="00BD1BF3" w:rsidRDefault="00BD1BF3" w:rsidP="00F62762">
      <w:pPr>
        <w:spacing w:line="480" w:lineRule="auto"/>
        <w:rPr>
          <w:rFonts w:ascii="Times New Roman" w:hAnsi="Times New Roman"/>
          <w:sz w:val="24"/>
          <w:szCs w:val="24"/>
        </w:rPr>
      </w:pPr>
      <w:r w:rsidRPr="00B078EA">
        <w:rPr>
          <w:rFonts w:ascii="Times New Roman" w:hAnsi="Times New Roman"/>
          <w:sz w:val="24"/>
          <w:szCs w:val="24"/>
        </w:rPr>
        <w:t xml:space="preserve">Thirdly the principle of exteriority (knowledge is more than the contents of discourse but rather its impacts on the exterior world or vice-versa). </w:t>
      </w:r>
    </w:p>
    <w:p w14:paraId="4A2E4CD6"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And lastly the principle of discontinuity (which seeks to remove oneself from any socio-political biases in order to analyse discourse completely on its own merit regardless of pre-existing knowledge or influence).</w:t>
      </w:r>
    </w:p>
    <w:p w14:paraId="6D468CAD" w14:textId="77777777" w:rsidR="00BD1BF3" w:rsidRPr="00B078EA" w:rsidRDefault="00BD1BF3" w:rsidP="00F62762">
      <w:pPr>
        <w:spacing w:line="480" w:lineRule="auto"/>
        <w:rPr>
          <w:rFonts w:ascii="Times New Roman" w:hAnsi="Times New Roman"/>
          <w:sz w:val="24"/>
          <w:szCs w:val="24"/>
        </w:rPr>
      </w:pPr>
    </w:p>
    <w:p w14:paraId="468FA802"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As previously suggested a critical literature review can help to separate areas of a topic into the realms of the known and the not known which is precisely one of the aspects that a Foucauldian discourse analysis seeks to do and as such this will lend itself to an effective form of analysis (Hook, 2001). Using this analytical method, this study will be able to look at the dominantly accepted perspective of counter-transference and through amalgamation and critique of relevant literature will allow this study to consolidate the effects of counter-transference within the counselling field and potentially redefine its role in practice.</w:t>
      </w:r>
      <w:r>
        <w:rPr>
          <w:rFonts w:ascii="Times New Roman" w:hAnsi="Times New Roman"/>
          <w:sz w:val="24"/>
          <w:szCs w:val="24"/>
        </w:rPr>
        <w:t xml:space="preserve"> </w:t>
      </w:r>
    </w:p>
    <w:p w14:paraId="102D2295" w14:textId="77777777" w:rsidR="00BD1BF3" w:rsidRPr="00B078EA" w:rsidRDefault="00BD1BF3" w:rsidP="00F62762">
      <w:pPr>
        <w:spacing w:line="480" w:lineRule="auto"/>
        <w:rPr>
          <w:rFonts w:ascii="Times New Roman" w:hAnsi="Times New Roman"/>
          <w:sz w:val="24"/>
          <w:szCs w:val="24"/>
        </w:rPr>
      </w:pPr>
    </w:p>
    <w:p w14:paraId="2E94570B" w14:textId="77777777" w:rsidR="00BD1BF3" w:rsidRDefault="00BD1BF3" w:rsidP="00F62762">
      <w:pPr>
        <w:spacing w:line="480" w:lineRule="auto"/>
        <w:rPr>
          <w:rFonts w:ascii="Times New Roman" w:hAnsi="Times New Roman"/>
          <w:sz w:val="24"/>
          <w:szCs w:val="24"/>
        </w:rPr>
      </w:pPr>
      <w:r w:rsidRPr="00B078EA">
        <w:rPr>
          <w:rFonts w:ascii="Times New Roman" w:hAnsi="Times New Roman"/>
          <w:sz w:val="24"/>
          <w:szCs w:val="24"/>
        </w:rPr>
        <w:t xml:space="preserve">Furthermore, through implementation of this technique, this research can critically look at how the existing knowledge has been built and maintained, as well as identifying areas for future growth within the field. This study </w:t>
      </w:r>
      <w:r>
        <w:rPr>
          <w:rFonts w:ascii="Times New Roman" w:hAnsi="Times New Roman"/>
          <w:sz w:val="24"/>
          <w:szCs w:val="24"/>
        </w:rPr>
        <w:t>will also aim</w:t>
      </w:r>
      <w:r w:rsidRPr="00B078EA">
        <w:rPr>
          <w:rFonts w:ascii="Times New Roman" w:hAnsi="Times New Roman"/>
          <w:sz w:val="24"/>
          <w:szCs w:val="24"/>
        </w:rPr>
        <w:t xml:space="preserve"> to add to the existing knowledge and meaning associated with the subject. More specifically, in terms of the existing literature as suggested by Canfield (2005), the dominant rhetoric of counter-transference and the other associated topics tend to be that of a negative discourse without particularly taking into account the potential positive factors put forward in other studies. This research will evaluate how such knowledge and rhetoric has come into effect as well as attempting to fill gaps within the dominant knowledge base.</w:t>
      </w:r>
    </w:p>
    <w:p w14:paraId="0BDBFB38" w14:textId="77777777" w:rsidR="00BD1BF3" w:rsidRDefault="00BD1BF3" w:rsidP="00F62762">
      <w:pPr>
        <w:spacing w:line="480" w:lineRule="auto"/>
        <w:rPr>
          <w:rFonts w:ascii="Times New Roman" w:hAnsi="Times New Roman"/>
          <w:sz w:val="24"/>
          <w:szCs w:val="24"/>
        </w:rPr>
      </w:pPr>
    </w:p>
    <w:p w14:paraId="11414BFE"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This piece of research will be collected and presented via the form of a critical literature review by May 2020.</w:t>
      </w:r>
    </w:p>
    <w:p w14:paraId="110D0F0A" w14:textId="77777777" w:rsidR="00BD1BF3" w:rsidRDefault="00BD1BF3" w:rsidP="00F62762">
      <w:pPr>
        <w:spacing w:line="480" w:lineRule="auto"/>
        <w:rPr>
          <w:rFonts w:ascii="Times New Roman" w:hAnsi="Times New Roman"/>
          <w:sz w:val="24"/>
          <w:szCs w:val="24"/>
        </w:rPr>
      </w:pPr>
    </w:p>
    <w:p w14:paraId="3D06BC3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This Introductory chapter will highlight the sporadic nature in terms of the application and understanding of Counter-Transference as well as placing an emphasis on some groups that may be particularly at risk of some of the more damaging effects of either lack of awareness </w:t>
      </w:r>
      <w:r>
        <w:rPr>
          <w:rFonts w:ascii="Times New Roman" w:hAnsi="Times New Roman"/>
          <w:sz w:val="24"/>
          <w:szCs w:val="24"/>
        </w:rPr>
        <w:lastRenderedPageBreak/>
        <w:t>on the subject or mismanagement of its presence within the therapeutic relationship. This will seek to highlight the importance of amalgamating what is already out there in terms of research into a more understandable and easier to access format.</w:t>
      </w:r>
    </w:p>
    <w:p w14:paraId="466F4BB1" w14:textId="77777777" w:rsidR="00BD1BF3" w:rsidRDefault="00BD1BF3" w:rsidP="00F62762">
      <w:pPr>
        <w:spacing w:line="480" w:lineRule="auto"/>
        <w:rPr>
          <w:rFonts w:ascii="Times New Roman" w:hAnsi="Times New Roman"/>
          <w:sz w:val="24"/>
          <w:szCs w:val="24"/>
        </w:rPr>
      </w:pPr>
    </w:p>
    <w:p w14:paraId="36B7AA9B" w14:textId="77777777" w:rsidR="00BD1BF3" w:rsidRPr="00B078EA" w:rsidRDefault="00BD1BF3" w:rsidP="00F62762">
      <w:pPr>
        <w:spacing w:line="480" w:lineRule="auto"/>
        <w:rPr>
          <w:rFonts w:ascii="Times New Roman" w:hAnsi="Times New Roman"/>
          <w:sz w:val="24"/>
          <w:szCs w:val="24"/>
        </w:rPr>
      </w:pPr>
      <w:r>
        <w:rPr>
          <w:rFonts w:ascii="Times New Roman" w:hAnsi="Times New Roman"/>
          <w:sz w:val="24"/>
          <w:szCs w:val="24"/>
        </w:rPr>
        <w:t xml:space="preserve">As previously mentioned, </w:t>
      </w:r>
      <w:r w:rsidRPr="00B078EA">
        <w:rPr>
          <w:rFonts w:ascii="Times New Roman" w:hAnsi="Times New Roman"/>
          <w:sz w:val="24"/>
          <w:szCs w:val="24"/>
        </w:rPr>
        <w:t>Counter-transference is often a conflicted issue in terms of its place within the therapeutic relationship. For example, Hayes, Gelso and Hummel (2011) suggest that its presence may be</w:t>
      </w:r>
      <w:r w:rsidRPr="00B078EA">
        <w:rPr>
          <w:rFonts w:ascii="Times New Roman" w:hAnsi="Times New Roman"/>
          <w:color w:val="FF0000"/>
          <w:sz w:val="24"/>
          <w:szCs w:val="24"/>
        </w:rPr>
        <w:t xml:space="preserve"> </w:t>
      </w:r>
      <w:r w:rsidRPr="00B078EA">
        <w:rPr>
          <w:rFonts w:ascii="Times New Roman" w:hAnsi="Times New Roman"/>
          <w:sz w:val="24"/>
          <w:szCs w:val="24"/>
        </w:rPr>
        <w:t>beneficent to the development of the therapist through managed reflection, which is further supported by the work of Staples (2014) who proposed that it was particularly useful in terms of empathic understanding.</w:t>
      </w:r>
    </w:p>
    <w:p w14:paraId="3F18C5F7" w14:textId="77777777" w:rsidR="00BD1BF3" w:rsidRPr="00B078EA" w:rsidRDefault="00BD1BF3" w:rsidP="00F62762">
      <w:pPr>
        <w:spacing w:line="480" w:lineRule="auto"/>
        <w:rPr>
          <w:rFonts w:ascii="Times New Roman" w:hAnsi="Times New Roman"/>
          <w:sz w:val="24"/>
          <w:szCs w:val="24"/>
        </w:rPr>
      </w:pPr>
    </w:p>
    <w:p w14:paraId="346F5D69"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However</w:t>
      </w:r>
      <w:r>
        <w:rPr>
          <w:rFonts w:ascii="Times New Roman" w:hAnsi="Times New Roman"/>
          <w:sz w:val="24"/>
          <w:szCs w:val="24"/>
        </w:rPr>
        <w:t>,</w:t>
      </w:r>
      <w:r w:rsidRPr="00B078EA">
        <w:rPr>
          <w:rFonts w:ascii="Times New Roman" w:hAnsi="Times New Roman"/>
          <w:sz w:val="24"/>
          <w:szCs w:val="24"/>
        </w:rPr>
        <w:t xml:space="preserve"> there have been many other sources such as Lecours, Bouchard and Normandin (1995) that put forward the notion that there is a possibility that some instances of counter-transference may actually inhibit the therapeutic alliance. This is because counter-transference can work from a place of existing schemas and thus not working with what is present and </w:t>
      </w:r>
      <w:r>
        <w:rPr>
          <w:rFonts w:ascii="Times New Roman" w:hAnsi="Times New Roman"/>
          <w:sz w:val="24"/>
          <w:szCs w:val="24"/>
        </w:rPr>
        <w:t>presented</w:t>
      </w:r>
      <w:r w:rsidRPr="00B078EA">
        <w:rPr>
          <w:rFonts w:ascii="Times New Roman" w:hAnsi="Times New Roman"/>
          <w:sz w:val="24"/>
          <w:szCs w:val="24"/>
        </w:rPr>
        <w:t xml:space="preserve"> within the current therapeutic relationship.</w:t>
      </w:r>
    </w:p>
    <w:p w14:paraId="2F5F6654" w14:textId="77777777" w:rsidR="00BD1BF3" w:rsidRDefault="00BD1BF3" w:rsidP="00F62762">
      <w:pPr>
        <w:spacing w:line="480" w:lineRule="auto"/>
        <w:rPr>
          <w:rFonts w:ascii="Times New Roman" w:hAnsi="Times New Roman"/>
          <w:sz w:val="24"/>
          <w:szCs w:val="24"/>
        </w:rPr>
      </w:pPr>
    </w:p>
    <w:p w14:paraId="79E56E8B"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 xml:space="preserve">Although, even when </w:t>
      </w:r>
      <w:r>
        <w:rPr>
          <w:rFonts w:ascii="Times New Roman" w:hAnsi="Times New Roman"/>
          <w:sz w:val="24"/>
          <w:szCs w:val="24"/>
        </w:rPr>
        <w:t xml:space="preserve">a </w:t>
      </w:r>
      <w:r w:rsidRPr="00B078EA">
        <w:rPr>
          <w:rFonts w:ascii="Times New Roman" w:hAnsi="Times New Roman"/>
          <w:sz w:val="24"/>
          <w:szCs w:val="24"/>
        </w:rPr>
        <w:t>trauma</w:t>
      </w:r>
      <w:r>
        <w:rPr>
          <w:rFonts w:ascii="Times New Roman" w:hAnsi="Times New Roman"/>
          <w:sz w:val="24"/>
          <w:szCs w:val="24"/>
        </w:rPr>
        <w:t>tic element</w:t>
      </w:r>
      <w:r w:rsidRPr="00B078EA">
        <w:rPr>
          <w:rFonts w:ascii="Times New Roman" w:hAnsi="Times New Roman"/>
          <w:sz w:val="24"/>
          <w:szCs w:val="24"/>
        </w:rPr>
        <w:t xml:space="preserve"> has taken place</w:t>
      </w:r>
      <w:r>
        <w:rPr>
          <w:rFonts w:ascii="Times New Roman" w:hAnsi="Times New Roman"/>
          <w:sz w:val="24"/>
          <w:szCs w:val="24"/>
        </w:rPr>
        <w:t>,</w:t>
      </w:r>
      <w:r w:rsidRPr="00B078EA">
        <w:rPr>
          <w:rFonts w:ascii="Times New Roman" w:hAnsi="Times New Roman"/>
          <w:sz w:val="24"/>
          <w:szCs w:val="24"/>
        </w:rPr>
        <w:t xml:space="preserve"> it may not necessarily just be a negative outcome. Shoji et al. (2014) proposed that even in instances where the therapist may be traumatised, it is possible to use such instances in such a way as to create new meaning and later perceptions on their trauma and the world around them.</w:t>
      </w:r>
    </w:p>
    <w:p w14:paraId="71CEB604" w14:textId="77777777" w:rsidR="00BD1BF3" w:rsidRPr="00B078EA" w:rsidRDefault="00BD1BF3" w:rsidP="00F62762">
      <w:pPr>
        <w:spacing w:line="480" w:lineRule="auto"/>
        <w:rPr>
          <w:rFonts w:ascii="Times New Roman" w:hAnsi="Times New Roman"/>
          <w:sz w:val="24"/>
          <w:szCs w:val="24"/>
        </w:rPr>
      </w:pPr>
    </w:p>
    <w:p w14:paraId="2229AA78" w14:textId="77777777" w:rsidR="00BD1BF3" w:rsidRPr="00B078EA" w:rsidRDefault="00BD1BF3" w:rsidP="00F62762">
      <w:pPr>
        <w:pStyle w:val="CommentText"/>
        <w:spacing w:line="480" w:lineRule="auto"/>
        <w:rPr>
          <w:rFonts w:ascii="Times New Roman" w:hAnsi="Times New Roman"/>
          <w:sz w:val="24"/>
          <w:szCs w:val="24"/>
        </w:rPr>
      </w:pPr>
      <w:r w:rsidRPr="00B078EA">
        <w:rPr>
          <w:rFonts w:ascii="Times New Roman" w:hAnsi="Times New Roman"/>
          <w:sz w:val="24"/>
          <w:szCs w:val="24"/>
        </w:rPr>
        <w:t xml:space="preserve">The </w:t>
      </w:r>
      <w:r w:rsidRPr="00B078EA">
        <w:rPr>
          <w:rFonts w:ascii="Times New Roman" w:hAnsi="Times New Roman"/>
          <w:sz w:val="24"/>
          <w:szCs w:val="24"/>
          <w:lang w:val="en-GB"/>
        </w:rPr>
        <w:t>reason for this piece of research is due to vast contrast within the topic area and the resulting uncertainty about its effects within the therapeutic alliance.</w:t>
      </w:r>
      <w:r w:rsidRPr="00B078EA">
        <w:rPr>
          <w:rFonts w:ascii="Times New Roman" w:hAnsi="Times New Roman"/>
          <w:sz w:val="24"/>
          <w:szCs w:val="24"/>
        </w:rPr>
        <w:t xml:space="preserve"> </w:t>
      </w:r>
      <w:r w:rsidRPr="00B078EA">
        <w:rPr>
          <w:rFonts w:ascii="Times New Roman" w:hAnsi="Times New Roman"/>
          <w:sz w:val="24"/>
          <w:szCs w:val="24"/>
          <w:lang w:val="en-GB"/>
        </w:rPr>
        <w:t>I</w:t>
      </w:r>
      <w:r w:rsidRPr="00B078EA">
        <w:rPr>
          <w:rFonts w:ascii="Times New Roman" w:hAnsi="Times New Roman"/>
          <w:sz w:val="24"/>
          <w:szCs w:val="24"/>
        </w:rPr>
        <w:t>t has been suggested that counter-transference may not always be a negative thing and that rather, it could even be a useful tool in supporting clients and allowing a deeper level of empathic</w:t>
      </w:r>
      <w:r w:rsidRPr="00B078EA">
        <w:rPr>
          <w:rFonts w:ascii="Times New Roman" w:hAnsi="Times New Roman"/>
          <w:sz w:val="24"/>
          <w:szCs w:val="24"/>
          <w:lang w:val="en-GB"/>
        </w:rPr>
        <w:t xml:space="preserve"> understanding</w:t>
      </w:r>
      <w:r>
        <w:rPr>
          <w:rFonts w:ascii="Times New Roman" w:hAnsi="Times New Roman"/>
          <w:sz w:val="24"/>
          <w:szCs w:val="24"/>
          <w:lang w:val="en-GB"/>
        </w:rPr>
        <w:t xml:space="preserve"> </w:t>
      </w:r>
      <w:r>
        <w:rPr>
          <w:rFonts w:ascii="Times New Roman" w:hAnsi="Times New Roman"/>
          <w:sz w:val="24"/>
          <w:szCs w:val="24"/>
          <w:lang w:val="en-GB"/>
        </w:rPr>
        <w:lastRenderedPageBreak/>
        <w:t>(Staples, 2014)</w:t>
      </w:r>
      <w:r w:rsidRPr="00B078EA">
        <w:rPr>
          <w:rFonts w:ascii="Times New Roman" w:hAnsi="Times New Roman"/>
          <w:sz w:val="24"/>
          <w:szCs w:val="24"/>
        </w:rPr>
        <w:t>.</w:t>
      </w:r>
      <w:r w:rsidRPr="00B078EA">
        <w:rPr>
          <w:rFonts w:ascii="Times New Roman" w:hAnsi="Times New Roman"/>
          <w:sz w:val="24"/>
          <w:szCs w:val="24"/>
          <w:lang w:val="en-GB"/>
        </w:rPr>
        <w:t xml:space="preserve"> Therefore, this</w:t>
      </w:r>
      <w:r w:rsidRPr="00B078EA">
        <w:rPr>
          <w:rFonts w:ascii="Times New Roman" w:hAnsi="Times New Roman"/>
          <w:sz w:val="24"/>
          <w:szCs w:val="24"/>
        </w:rPr>
        <w:t xml:space="preserve"> study </w:t>
      </w:r>
      <w:r w:rsidRPr="00B078EA">
        <w:rPr>
          <w:rFonts w:ascii="Times New Roman" w:hAnsi="Times New Roman"/>
          <w:sz w:val="24"/>
          <w:szCs w:val="24"/>
          <w:lang w:val="en-GB"/>
        </w:rPr>
        <w:t>will</w:t>
      </w:r>
      <w:r w:rsidRPr="00B078EA">
        <w:rPr>
          <w:rFonts w:ascii="Times New Roman" w:hAnsi="Times New Roman"/>
          <w:sz w:val="24"/>
          <w:szCs w:val="24"/>
        </w:rPr>
        <w:t xml:space="preserve"> outline potential risks and raise awareness of all aspects of the subject to possibly enable effective utilisation to benefit client work whilst aiming to keep the safety of both client and ther</w:t>
      </w:r>
      <w:r w:rsidRPr="00B078EA">
        <w:rPr>
          <w:rFonts w:ascii="Times New Roman" w:hAnsi="Times New Roman"/>
          <w:sz w:val="24"/>
          <w:szCs w:val="24"/>
          <w:lang w:val="en-GB"/>
        </w:rPr>
        <w:t>a</w:t>
      </w:r>
      <w:r w:rsidRPr="00B078EA">
        <w:rPr>
          <w:rFonts w:ascii="Times New Roman" w:hAnsi="Times New Roman"/>
          <w:sz w:val="24"/>
          <w:szCs w:val="24"/>
        </w:rPr>
        <w:t>pist of paramount importance.</w:t>
      </w:r>
    </w:p>
    <w:p w14:paraId="337D908A" w14:textId="77777777" w:rsidR="00BD1BF3" w:rsidRPr="00B078EA" w:rsidRDefault="00BD1BF3" w:rsidP="00F62762">
      <w:pPr>
        <w:spacing w:line="480" w:lineRule="auto"/>
        <w:rPr>
          <w:rFonts w:ascii="Times New Roman" w:hAnsi="Times New Roman"/>
          <w:sz w:val="24"/>
          <w:szCs w:val="24"/>
        </w:rPr>
      </w:pPr>
    </w:p>
    <w:p w14:paraId="731EDAE4"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Another important purpose of this piece of research is the informational element of it. Every year many counsellors are completing their training and working with a wide variety of clients. Pearlman and Mac Ian (1995, as cited in Canfield, 2005) conducted research using psychotherapists who were working with clients experiencing trauma…. 62 percent were found to have PTSD like symptoms. Moreover, Neaumann and Gamble (1995) proposed that newly qualified counsellors were more at risk of reporting issues such as anxiety and depression than their more experienced counterparts. Therefore, this piece is intended as an accessible piece of research into the positives and negatives on the topic including emphasising the groups most at risk to possibly help to inform future practice within this area.</w:t>
      </w:r>
    </w:p>
    <w:p w14:paraId="01C05817" w14:textId="77777777" w:rsidR="00BD1BF3" w:rsidRPr="00B078EA" w:rsidRDefault="00BD1BF3" w:rsidP="00F62762">
      <w:pPr>
        <w:spacing w:line="480" w:lineRule="auto"/>
        <w:rPr>
          <w:rFonts w:ascii="Times New Roman" w:hAnsi="Times New Roman"/>
          <w:sz w:val="24"/>
          <w:szCs w:val="24"/>
        </w:rPr>
      </w:pPr>
    </w:p>
    <w:p w14:paraId="4B001630"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Saunders and Rojon (2011) suggest that a critical literature review enables the analysis of existing research into the realms of the known and the not known. Therefore, it is proposed that with such a vast, contested and complex topic area that this form of analysis will help to give context and clarity in terms of utilisation for further application and/or research. This is an essentially useful aspect of critical literature review as proposed by Pautasso (2013), who suggested this technique could be used to synthesise new meanings within a topic area</w:t>
      </w:r>
      <w:r>
        <w:rPr>
          <w:rFonts w:ascii="Times New Roman" w:hAnsi="Times New Roman"/>
          <w:sz w:val="24"/>
          <w:szCs w:val="24"/>
        </w:rPr>
        <w:t xml:space="preserve"> which could be very much needed within such a contested and potentially harmful area.</w:t>
      </w:r>
    </w:p>
    <w:p w14:paraId="5D60133E" w14:textId="77777777" w:rsidR="00BD1BF3" w:rsidRDefault="00BD1BF3" w:rsidP="00F62762">
      <w:pPr>
        <w:spacing w:line="480" w:lineRule="auto"/>
        <w:rPr>
          <w:rFonts w:ascii="Times New Roman" w:hAnsi="Times New Roman"/>
          <w:sz w:val="24"/>
          <w:szCs w:val="24"/>
        </w:rPr>
      </w:pPr>
    </w:p>
    <w:p w14:paraId="49CF2044"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From a personal perspective, having experienced work in a counselling setting as both a client and as a therapist, I myself have experienced the confusion that can be attributed to the </w:t>
      </w:r>
      <w:r>
        <w:rPr>
          <w:rFonts w:ascii="Times New Roman" w:hAnsi="Times New Roman"/>
          <w:sz w:val="24"/>
          <w:szCs w:val="24"/>
        </w:rPr>
        <w:lastRenderedPageBreak/>
        <w:t>subject. It was due to my own personal background of bereavements that I was turned towards wanting to support those who had experienced a similar issue. To me, I could understand how difficult it was to go through such a harrowing time and I knew how much having someone to talk to outside of the situation could be beneficial. Barnett (2007) conducted interviews with 9 psychotherapists from different countries. They were asked questions about why they became therapists and found the answers generally came from two different categories. These were; Early Loss and Deprivation (where a loss in intimacy or the negative feelings associated with them can lead to a want to provide it for other people in a similar circumstance) and Narcissistic Needs (previous experience creating a sense of what isn’t enough and thus wanting to use that to improve clients’ situations as to support them to make sure they don’t follow a similar example).</w:t>
      </w:r>
    </w:p>
    <w:p w14:paraId="2A15BC60" w14:textId="77777777" w:rsidR="00BD1BF3" w:rsidRDefault="00BD1BF3" w:rsidP="00F62762">
      <w:pPr>
        <w:spacing w:line="480" w:lineRule="auto"/>
        <w:rPr>
          <w:rFonts w:ascii="Times New Roman" w:hAnsi="Times New Roman"/>
          <w:sz w:val="24"/>
          <w:szCs w:val="24"/>
        </w:rPr>
      </w:pPr>
    </w:p>
    <w:p w14:paraId="1EE88964"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Much like every other participant in the Barnett (2007) study, I too had a loss which led me to want to be there for other people. This would then mean that because of my personal background not only would I be at risk of counter-transference being present within my sessions of psychotherapy, but because of the traumatic nature of bereavements I would be more likely to present with symptoms consistent with PTSD (Pearlman and Mac Ian, 1995 as cited in Canfield, 2005) as well as being more at risk because of further complications due to my inexperience within the field (Neumann and Gamble, 1995).</w:t>
      </w:r>
    </w:p>
    <w:p w14:paraId="59EB84FD" w14:textId="77777777" w:rsidR="00BD1BF3" w:rsidRDefault="00BD1BF3" w:rsidP="00F62762">
      <w:pPr>
        <w:spacing w:line="480" w:lineRule="auto"/>
        <w:rPr>
          <w:rFonts w:ascii="Times New Roman" w:hAnsi="Times New Roman"/>
          <w:sz w:val="24"/>
          <w:szCs w:val="24"/>
        </w:rPr>
      </w:pPr>
    </w:p>
    <w:p w14:paraId="3B59B893"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Personally speaking, despite this personal experience motivating me towards this area I have been consistently warned of the dangers of my own experiences within the therapeutic relationship or Counter-Transference taking place. However s I found it had been generalised in nature, it was not even until I did more in depth research on the topic that I even realised that counter-transference could be used in a productive way within practice (Staples, 2014) or </w:t>
      </w:r>
      <w:r>
        <w:rPr>
          <w:rFonts w:ascii="Times New Roman" w:hAnsi="Times New Roman"/>
          <w:sz w:val="24"/>
          <w:szCs w:val="24"/>
        </w:rPr>
        <w:lastRenderedPageBreak/>
        <w:t>even the what the exact risks were that I had been exposed to both as an inexperienced therapist (Neumann and Gamble, 1995) and as someone working in a traumatic area (Pearlman and Mac Ian, 1995 as cited in Canfield, 2005).</w:t>
      </w:r>
    </w:p>
    <w:p w14:paraId="7C0AB0FF"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Much like every participant in the Barnett (2007) study, most people that I have been able to communicate with whilst working with bereavement have had a history of it which turned them towards supporting others through what could be described as a traumatic topic which could potentially mean they were at risk as well. </w:t>
      </w:r>
    </w:p>
    <w:p w14:paraId="41351F6C" w14:textId="77777777" w:rsidR="00BD1BF3" w:rsidRDefault="00BD1BF3" w:rsidP="00F62762">
      <w:pPr>
        <w:spacing w:line="480" w:lineRule="auto"/>
        <w:rPr>
          <w:rFonts w:ascii="Times New Roman" w:hAnsi="Times New Roman"/>
          <w:sz w:val="24"/>
          <w:szCs w:val="24"/>
        </w:rPr>
      </w:pPr>
    </w:p>
    <w:p w14:paraId="2E034495"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Baird and Kracen (2006) proposed, I believe that clarity is needed within this subject particularly in terms of safety and proper utilisation within the field and so that knowledge is readily available for therapists who may be at risk.</w:t>
      </w:r>
    </w:p>
    <w:p w14:paraId="4E6AD382" w14:textId="77777777" w:rsidR="00BD1BF3" w:rsidRDefault="00BD1BF3" w:rsidP="00F62762">
      <w:pPr>
        <w:spacing w:line="480" w:lineRule="auto"/>
        <w:rPr>
          <w:rFonts w:ascii="Times New Roman" w:hAnsi="Times New Roman"/>
          <w:sz w:val="24"/>
          <w:szCs w:val="24"/>
        </w:rPr>
      </w:pPr>
    </w:p>
    <w:p w14:paraId="7340F1B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 also believe that by highlighting this topic in such a way it may be beneficial towards a healthy form of counter-transference being a more widely available tool to support clients if needed. MacMillan (2018) suggest that a client knowing that how they feel during bereavement is natural is very important and as someone who has experienced various types of grief, I have been able to better empathise with their situation. In my own work especially when people have exhibited loneliness, I have been able to use my understanding of grief from my own background in order to help them understand that there isn’t something wrong with them and what they are experiencing is normal. For example, a common symptom of grief is shock which can make the world around them seem surreal or not right. Using my experience, I have felt it as a fog where everything is still there but not quite the same and through my own experience have been able to empathise with how isolating that can be. This is not mutually exclusive to bereavement and I believe that by utilising self-awareness, it has helped me to work with various issues such as anxiety and depression among others.</w:t>
      </w:r>
    </w:p>
    <w:p w14:paraId="1D863BB2" w14:textId="77777777" w:rsidR="00BD1BF3" w:rsidRDefault="00BD1BF3" w:rsidP="00F62762">
      <w:pPr>
        <w:spacing w:line="480" w:lineRule="auto"/>
        <w:rPr>
          <w:rFonts w:ascii="Times New Roman" w:hAnsi="Times New Roman"/>
          <w:sz w:val="24"/>
          <w:szCs w:val="24"/>
        </w:rPr>
      </w:pPr>
    </w:p>
    <w:p w14:paraId="41ACEE4F"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 genuinely believe that knowing more of the positive and negative affects within this subject has drastically improved my practical work and as such I believe that by making this area more accessible and understandable, that this will be an invaluable tool for others.</w:t>
      </w:r>
    </w:p>
    <w:p w14:paraId="223F33F4" w14:textId="77777777" w:rsidR="00BD1BF3" w:rsidRDefault="00BD1BF3" w:rsidP="00F62762">
      <w:pPr>
        <w:spacing w:line="480" w:lineRule="auto"/>
        <w:rPr>
          <w:rFonts w:ascii="Times New Roman" w:hAnsi="Times New Roman"/>
          <w:sz w:val="24"/>
          <w:szCs w:val="24"/>
        </w:rPr>
      </w:pPr>
    </w:p>
    <w:p w14:paraId="6DB8D6A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In terms of the need of clarification within this subject, Falchi and Nawal (2009) propose that during the 90 years of the existence of the term of counter-transference, it has had different and contested meanings across modalities as well as backgrounds which could suggest a need for clarity to avoid confusion and risk of harm. Baird and Kracen (2006) also suggested that further studies should be utilised to evaluate ways of protecting against Secondary Traumatic Stress and Vicarious Trauma in particular. They suggested it was very important to attempt to mitigate the risk that issues such as these posed within the therapeutic relationship. As previously suggested by Pearlman and Mac Ian (1995, as cited in Canfield, 2005) there is significant risk to those especially working with traumatic topics of developing harmful symptoms as a result of negative forms of counter-transference. Taking these things into account it would imply that there is perhaps a gap in the knowledge base for this research in order to synthesise what is already out there into a more easy to understand and accessible format, in order to benefit those who may be at risk, as well as presenting recommendations on how to perhaps avoid such harmful situations.</w:t>
      </w:r>
    </w:p>
    <w:p w14:paraId="670FBBA7" w14:textId="77777777" w:rsidR="00BD1BF3" w:rsidRDefault="00BD1BF3" w:rsidP="00F62762">
      <w:pPr>
        <w:spacing w:line="480" w:lineRule="auto"/>
        <w:rPr>
          <w:rFonts w:ascii="Times New Roman" w:hAnsi="Times New Roman"/>
          <w:sz w:val="24"/>
          <w:szCs w:val="24"/>
        </w:rPr>
      </w:pPr>
    </w:p>
    <w:p w14:paraId="619EE097" w14:textId="77777777" w:rsidR="00BD1BF3" w:rsidRPr="00B078EA" w:rsidRDefault="00BD1BF3" w:rsidP="00F62762">
      <w:pPr>
        <w:spacing w:line="480" w:lineRule="auto"/>
        <w:rPr>
          <w:rFonts w:ascii="Times New Roman" w:hAnsi="Times New Roman"/>
          <w:sz w:val="24"/>
          <w:szCs w:val="24"/>
        </w:rPr>
      </w:pPr>
      <w:r>
        <w:rPr>
          <w:rFonts w:ascii="Times New Roman" w:hAnsi="Times New Roman"/>
          <w:sz w:val="24"/>
          <w:szCs w:val="24"/>
        </w:rPr>
        <w:t>In order to answer the subsequently proposed research question, 4 aims and objectives shall be utilised that shall then be drawn upon to consolidate what has been discussed within this piece of research. These are:</w:t>
      </w:r>
    </w:p>
    <w:p w14:paraId="271AE26A" w14:textId="77777777" w:rsidR="00BD1BF3" w:rsidRDefault="00BD1BF3" w:rsidP="00F62762">
      <w:pPr>
        <w:spacing w:line="480" w:lineRule="auto"/>
        <w:rPr>
          <w:rFonts w:ascii="Times New Roman" w:hAnsi="Times New Roman"/>
          <w:sz w:val="24"/>
          <w:szCs w:val="24"/>
        </w:rPr>
      </w:pPr>
    </w:p>
    <w:p w14:paraId="4D6CC304"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lastRenderedPageBreak/>
        <w:t>Firstly, to examine overlap within areas such as counter-transference, Secondary traumatic stress, vicarious trauma and compassion fatigue to create a more understandable and universal definition of the negative effects associated with their presence within the therapeutic alliance.</w:t>
      </w:r>
    </w:p>
    <w:p w14:paraId="6082475E" w14:textId="77777777" w:rsidR="00BD1BF3" w:rsidRPr="00B078EA" w:rsidRDefault="00BD1BF3" w:rsidP="00F62762">
      <w:pPr>
        <w:spacing w:line="480" w:lineRule="auto"/>
        <w:rPr>
          <w:rFonts w:ascii="Times New Roman" w:hAnsi="Times New Roman"/>
          <w:sz w:val="24"/>
          <w:szCs w:val="24"/>
        </w:rPr>
      </w:pPr>
    </w:p>
    <w:p w14:paraId="00F8D5F7"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Secondly, to critically evaluate the positive and negative factors associated with the presence of counter-transference within the therapeutic alliance.</w:t>
      </w:r>
    </w:p>
    <w:p w14:paraId="65351F06" w14:textId="77777777" w:rsidR="00BD1BF3" w:rsidRPr="00B078EA" w:rsidRDefault="00BD1BF3" w:rsidP="00F62762">
      <w:pPr>
        <w:spacing w:line="480" w:lineRule="auto"/>
        <w:rPr>
          <w:rFonts w:ascii="Times New Roman" w:hAnsi="Times New Roman"/>
          <w:sz w:val="24"/>
          <w:szCs w:val="24"/>
        </w:rPr>
      </w:pPr>
    </w:p>
    <w:p w14:paraId="41F40F29"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 xml:space="preserve">Thirdly will be to highlight potential at risk groups that may be negatively affected by the subject. </w:t>
      </w:r>
    </w:p>
    <w:p w14:paraId="4AF65F00" w14:textId="77777777" w:rsidR="00BD1BF3" w:rsidRPr="00B078EA" w:rsidRDefault="00BD1BF3" w:rsidP="00F62762">
      <w:pPr>
        <w:spacing w:line="480" w:lineRule="auto"/>
        <w:rPr>
          <w:rFonts w:ascii="Times New Roman" w:hAnsi="Times New Roman"/>
          <w:sz w:val="24"/>
          <w:szCs w:val="24"/>
        </w:rPr>
      </w:pPr>
    </w:p>
    <w:p w14:paraId="68A76B4C" w14:textId="77777777" w:rsidR="00BD1BF3" w:rsidRPr="00B078EA" w:rsidRDefault="00BD1BF3" w:rsidP="00F62762">
      <w:pPr>
        <w:spacing w:line="480" w:lineRule="auto"/>
        <w:rPr>
          <w:rFonts w:ascii="Times New Roman" w:hAnsi="Times New Roman"/>
          <w:sz w:val="24"/>
          <w:szCs w:val="24"/>
        </w:rPr>
      </w:pPr>
      <w:r w:rsidRPr="00B078EA">
        <w:rPr>
          <w:rFonts w:ascii="Times New Roman" w:hAnsi="Times New Roman"/>
          <w:sz w:val="24"/>
          <w:szCs w:val="24"/>
        </w:rPr>
        <w:t>And finally, will be to consider the application of the critiqued research. This will take the shape of recommendations in order to enhance the safety of all parties within the therapeutic alliance and to perhaps create comprehensive understanding of how this may be utilised beneficently within future practice.</w:t>
      </w:r>
    </w:p>
    <w:p w14:paraId="79CC3CD0" w14:textId="77777777" w:rsidR="00BD1BF3" w:rsidRPr="00B078EA" w:rsidRDefault="00BD1BF3" w:rsidP="00F62762">
      <w:pPr>
        <w:spacing w:line="480" w:lineRule="auto"/>
        <w:rPr>
          <w:rFonts w:ascii="Times New Roman" w:hAnsi="Times New Roman"/>
          <w:sz w:val="24"/>
          <w:szCs w:val="24"/>
        </w:rPr>
      </w:pPr>
    </w:p>
    <w:p w14:paraId="2B460195" w14:textId="77777777" w:rsidR="00BD1BF3" w:rsidRDefault="00BD1BF3" w:rsidP="00F62762">
      <w:pPr>
        <w:spacing w:line="480" w:lineRule="auto"/>
        <w:rPr>
          <w:rFonts w:ascii="Times New Roman" w:hAnsi="Times New Roman"/>
          <w:sz w:val="24"/>
          <w:szCs w:val="24"/>
        </w:rPr>
      </w:pPr>
      <w:r w:rsidRPr="00B078EA">
        <w:rPr>
          <w:rFonts w:ascii="Times New Roman" w:hAnsi="Times New Roman"/>
          <w:sz w:val="24"/>
          <w:szCs w:val="24"/>
        </w:rPr>
        <w:t>These aims will be completed to meet the overall objective of answering the research question: ‘What are the positive and negative effects of the role of counter-transference on the counsellor and possible implications within the therapeutic relationship?’.</w:t>
      </w:r>
    </w:p>
    <w:p w14:paraId="37B77B15" w14:textId="77777777" w:rsidR="00BD1BF3" w:rsidRDefault="00BD1BF3" w:rsidP="00F62762">
      <w:pPr>
        <w:spacing w:line="480" w:lineRule="auto"/>
        <w:rPr>
          <w:rFonts w:ascii="Times New Roman" w:hAnsi="Times New Roman"/>
          <w:sz w:val="24"/>
          <w:szCs w:val="24"/>
        </w:rPr>
      </w:pPr>
    </w:p>
    <w:p w14:paraId="15E31AFC" w14:textId="3C968570"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This introductory chapter has highlighted the sporadic nature in terms of the application and understanding of counter-transference within the Therapeutic relationship. It has also highlighted the potential dangers of the negative effects of its presence and highlighted areas for growth within the field. The next chapter will critically evaluate the existing literature, </w:t>
      </w:r>
      <w:r>
        <w:rPr>
          <w:rFonts w:ascii="Times New Roman" w:hAnsi="Times New Roman"/>
          <w:sz w:val="24"/>
          <w:szCs w:val="24"/>
        </w:rPr>
        <w:lastRenderedPageBreak/>
        <w:t xml:space="preserve">highlight potential overlaps and emphasise further recommendations from other authors in relation to promoting safety within the topic area. </w:t>
      </w:r>
    </w:p>
    <w:p w14:paraId="7589DB2C" w14:textId="44AA1DBF" w:rsidR="00BD1BF3" w:rsidRDefault="00BD1BF3" w:rsidP="00F62762">
      <w:pPr>
        <w:spacing w:line="480" w:lineRule="auto"/>
        <w:rPr>
          <w:rFonts w:ascii="Times New Roman" w:hAnsi="Times New Roman"/>
          <w:sz w:val="24"/>
          <w:szCs w:val="24"/>
        </w:rPr>
      </w:pPr>
    </w:p>
    <w:p w14:paraId="59BEFBD8" w14:textId="77777777" w:rsidR="00BD1BF3" w:rsidRDefault="00BD1BF3" w:rsidP="00F62762">
      <w:pPr>
        <w:spacing w:line="480" w:lineRule="auto"/>
        <w:jc w:val="center"/>
        <w:rPr>
          <w:rFonts w:ascii="Times New Roman" w:hAnsi="Times New Roman"/>
          <w:sz w:val="24"/>
          <w:szCs w:val="24"/>
        </w:rPr>
      </w:pPr>
      <w:r>
        <w:rPr>
          <w:rFonts w:ascii="Times New Roman" w:hAnsi="Times New Roman"/>
          <w:sz w:val="24"/>
          <w:szCs w:val="24"/>
        </w:rPr>
        <w:t>Critique of Literature</w:t>
      </w:r>
    </w:p>
    <w:p w14:paraId="0ED083A2"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This Chapter will evaluate the current information available on Counter-Transference, Vicarious Trauma, Secondary Traumatic Stress and Compassion Fatigue whilst identifying potential overlaps and areas for growth within the subject area. This chapter will also use recommendations from the collated literature to propose areas for growth in terms of increasing safety within the field.</w:t>
      </w:r>
    </w:p>
    <w:p w14:paraId="7056A27C" w14:textId="77777777" w:rsidR="00BD1BF3" w:rsidRDefault="00BD1BF3" w:rsidP="00F62762">
      <w:pPr>
        <w:spacing w:line="480" w:lineRule="auto"/>
        <w:rPr>
          <w:rFonts w:ascii="Times New Roman" w:hAnsi="Times New Roman" w:cstheme="minorBidi"/>
          <w:color w:val="FF0000"/>
          <w:sz w:val="24"/>
          <w:szCs w:val="24"/>
        </w:rPr>
      </w:pPr>
      <w:r>
        <w:rPr>
          <w:rFonts w:ascii="Times New Roman" w:hAnsi="Times New Roman"/>
          <w:color w:val="FF0000"/>
          <w:sz w:val="24"/>
          <w:szCs w:val="24"/>
        </w:rPr>
        <w:t>To answer the research question ‘What are the positive and negative effects of the role of Counter-Transference on the counsellor and possible implications within the therapeutic relationship?’, this chapter will address the issues through meeting four different criteria as proposed within the introduction. The first of which is to examine overlap within areas such as counter-transference, Secondary traumatic stress, vicarious trauma and compassion fatigue to create a more understandable and universal definition of the negative effects associated with their presence within the therapeutic alliance. This criterion will be met through an introduction of each subject followed by an analysis of the areas of overlap and following this and an attempt to create a more universal definition will be introduced based on this analysis and recommendations obtained from relevant literature at the end of the chapter.</w:t>
      </w:r>
    </w:p>
    <w:p w14:paraId="46A45792"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Building on the work of Neumann and Gamble (1995), Adams and Riggs (2008) put forward an exploratory subject on the effects of vicarious trauma within recent counselling or clinical psychology graduates working with trauma. They proposed that there may be deeper contributing factors that may lead to potentially damaging instances of counter-transference impacting what could be perceived to be an at-risk group. It is important to point out within this study that a partial contributing factor was a lack of substantial training in terms of </w:t>
      </w:r>
      <w:r>
        <w:rPr>
          <w:rFonts w:ascii="Times New Roman" w:hAnsi="Times New Roman"/>
          <w:sz w:val="24"/>
          <w:szCs w:val="24"/>
        </w:rPr>
        <w:lastRenderedPageBreak/>
        <w:t>trauma and its potential effects with 37 percent reporting a lack of substantial training within the subject</w:t>
      </w:r>
      <w:r>
        <w:rPr>
          <w:rFonts w:ascii="Times New Roman" w:hAnsi="Times New Roman"/>
          <w:color w:val="FF0000"/>
          <w:sz w:val="24"/>
          <w:szCs w:val="24"/>
        </w:rPr>
        <w:t>. Everall and Paulson (2004) note that whilst there is an acknowledgment of the threats posed to psychotherapists by issues such as Secondary Traumatic Stress, there is even a lack of clarity in how this should be addressed within the basic ethical framework. For example, one of the ethical frameworks used to promote positive and ethical practice is that of Justice (BACP, 2018) which includes fair and impartial treatment of the client as well as the implementation of adequate services but does not explicitly say how this criteria is to be met. It also does not propose what to do if these criteria have not been there in itself having ethical implications and posing risks towards all involved in the therapeutic relationship.</w:t>
      </w:r>
      <w:r>
        <w:rPr>
          <w:rFonts w:ascii="Times New Roman" w:hAnsi="Times New Roman"/>
          <w:sz w:val="24"/>
          <w:szCs w:val="24"/>
        </w:rPr>
        <w:t xml:space="preserve"> </w:t>
      </w:r>
      <w:r>
        <w:rPr>
          <w:rFonts w:ascii="Times New Roman" w:hAnsi="Times New Roman"/>
          <w:color w:val="FF0000"/>
          <w:sz w:val="24"/>
          <w:szCs w:val="24"/>
        </w:rPr>
        <w:t>They also put forward the notion that even common terms such as self-awareness are not thoroughly explained and very much open to interpretation which can be a pitfall in terms of minimising risk to psychotherapists</w:t>
      </w:r>
      <w:r>
        <w:rPr>
          <w:rFonts w:ascii="Times New Roman" w:hAnsi="Times New Roman"/>
          <w:sz w:val="24"/>
          <w:szCs w:val="24"/>
        </w:rPr>
        <w:t xml:space="preserve">. These points further illuminate the statement put forward by Baird and Kracen (2006) that a lack of accessible knowledge </w:t>
      </w:r>
      <w:r>
        <w:rPr>
          <w:rFonts w:ascii="Times New Roman" w:hAnsi="Times New Roman"/>
          <w:color w:val="FF0000"/>
          <w:sz w:val="24"/>
          <w:szCs w:val="24"/>
        </w:rPr>
        <w:t xml:space="preserve">or clarity </w:t>
      </w:r>
      <w:r>
        <w:rPr>
          <w:rFonts w:ascii="Times New Roman" w:hAnsi="Times New Roman"/>
          <w:sz w:val="24"/>
          <w:szCs w:val="24"/>
        </w:rPr>
        <w:t xml:space="preserve">within the area could be potentially harmful which is something this piece of literature shall aim to address </w:t>
      </w:r>
      <w:r>
        <w:rPr>
          <w:rFonts w:ascii="Times New Roman" w:hAnsi="Times New Roman"/>
          <w:color w:val="FF0000"/>
          <w:sz w:val="24"/>
          <w:szCs w:val="24"/>
        </w:rPr>
        <w:t>by offering distinct definitions and ways to minimise risk posed to psychotherapists from Counter-Transference, Vicarious Trauma, Secondary traumatic Stress and Compassion Fatigue</w:t>
      </w:r>
      <w:r>
        <w:rPr>
          <w:rFonts w:ascii="Times New Roman" w:hAnsi="Times New Roman"/>
          <w:sz w:val="24"/>
          <w:szCs w:val="24"/>
        </w:rPr>
        <w:t>.</w:t>
      </w:r>
    </w:p>
    <w:p w14:paraId="29C064DE"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 growing importance of this subject could be further put into perspective through findings reported by Whyman (2018). It has been reported that there has been an increase of 65 percent on the demand for private counselling services within the U.K since 2016. </w:t>
      </w:r>
      <w:r>
        <w:rPr>
          <w:rFonts w:ascii="Times New Roman" w:hAnsi="Times New Roman"/>
          <w:color w:val="FF0000"/>
          <w:sz w:val="24"/>
          <w:szCs w:val="24"/>
        </w:rPr>
        <w:t xml:space="preserve">This eludes to </w:t>
      </w:r>
      <w:r>
        <w:rPr>
          <w:rFonts w:ascii="Times New Roman" w:hAnsi="Times New Roman"/>
          <w:sz w:val="24"/>
          <w:szCs w:val="24"/>
        </w:rPr>
        <w:t xml:space="preserve">increased risk both through the threat of burnout for existing therapists as well as a need for further trainee therapists and thus possible further risk through possible lack of adequate training (Adams and Riggs, 2008) or through the inherent risk already posed to recently qualified or trainee therapists. </w:t>
      </w:r>
    </w:p>
    <w:p w14:paraId="54EA508B" w14:textId="77777777" w:rsidR="00BD1BF3" w:rsidRDefault="00BD1BF3" w:rsidP="00F62762">
      <w:pPr>
        <w:spacing w:line="480" w:lineRule="auto"/>
        <w:rPr>
          <w:rFonts w:ascii="Times New Roman" w:hAnsi="Times New Roman"/>
          <w:sz w:val="24"/>
          <w:szCs w:val="24"/>
        </w:rPr>
      </w:pPr>
      <w:r>
        <w:rPr>
          <w:rFonts w:ascii="Times New Roman" w:hAnsi="Times New Roman"/>
          <w:color w:val="FF0000"/>
          <w:sz w:val="24"/>
          <w:szCs w:val="24"/>
        </w:rPr>
        <w:lastRenderedPageBreak/>
        <w:t xml:space="preserve">In terms of highlighting the potential climate of those potentially at risk within by these issues, </w:t>
      </w:r>
      <w:r>
        <w:rPr>
          <w:rFonts w:ascii="Times New Roman" w:hAnsi="Times New Roman"/>
          <w:sz w:val="24"/>
          <w:szCs w:val="24"/>
        </w:rPr>
        <w:t xml:space="preserve">this is additionally amplified by statistics published by Baker (2018). It was reported within England alone more than 10 percent of the population having been screened positive for PTSD. In terms of scope beyond just that of PTSD and inclusive of traumatic material, Lewis et al. (2019) conducted a longitudinal study on more than 2000 children born within England and Wales between 1994 and 1995. They reported that by 18 years of age 31.1 percent had experienced exposure to trauma with a further 7.8 percent reporting that they had experienced symptoms of PTSD as a result. </w:t>
      </w:r>
    </w:p>
    <w:p w14:paraId="3C20D1A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With the increasing workload for existing therapists as well as such a high proportion of the population that may have been exposed to traumatic experiences, this is why one purpose of this </w:t>
      </w:r>
      <w:r>
        <w:rPr>
          <w:rFonts w:ascii="Times New Roman" w:hAnsi="Times New Roman"/>
          <w:color w:val="FF0000"/>
          <w:sz w:val="24"/>
          <w:szCs w:val="24"/>
        </w:rPr>
        <w:t xml:space="preserve">research is </w:t>
      </w:r>
      <w:r>
        <w:rPr>
          <w:rFonts w:ascii="Times New Roman" w:hAnsi="Times New Roman"/>
          <w:sz w:val="24"/>
          <w:szCs w:val="24"/>
        </w:rPr>
        <w:t xml:space="preserve">to create an easy to understand guide to increase safety for both client and therapist in terms of the negative effects that may be posed by traumatic material within the therapeutic relationship. </w:t>
      </w:r>
    </w:p>
    <w:p w14:paraId="5218598C" w14:textId="77777777" w:rsidR="00BD1BF3" w:rsidRDefault="00BD1BF3" w:rsidP="00F62762">
      <w:pPr>
        <w:spacing w:line="480" w:lineRule="auto"/>
        <w:rPr>
          <w:rFonts w:ascii="Times New Roman" w:hAnsi="Times New Roman"/>
          <w:sz w:val="24"/>
          <w:szCs w:val="24"/>
        </w:rPr>
      </w:pPr>
      <w:r>
        <w:rPr>
          <w:rFonts w:ascii="Times New Roman" w:hAnsi="Times New Roman"/>
          <w:color w:val="FF0000"/>
          <w:sz w:val="24"/>
          <w:szCs w:val="24"/>
        </w:rPr>
        <w:t>The literature has been collected using all means available such as use of libraries, online sources, the use various online journal databases has been utilised to gather the data used within this research. The online databases consist of Taylor &amp; Francis, ResearchGate, APA PsychNet, JSTOR, ScienceDirect and Google Scholar. The topic areas will be formally discussed and then synthesised using a critiqued version of the Foucauldian four principles of discourse analysis</w:t>
      </w:r>
      <w:r>
        <w:rPr>
          <w:rFonts w:ascii="Times New Roman" w:hAnsi="Times New Roman"/>
          <w:sz w:val="24"/>
          <w:szCs w:val="24"/>
        </w:rPr>
        <w:t>.</w:t>
      </w:r>
    </w:p>
    <w:p w14:paraId="0B303431"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According to Prasko et al. (2010) Transference and Counter-Transference within the therapeutic relationship can exist when current perceptions may evoke emotions from the past and thus invoke a similar response. This may not even be about what is currently happening within the relationship but rather a trigger to propel a learned response. They can exist both positively and negatively and can have a profound effect on the relationship.</w:t>
      </w:r>
    </w:p>
    <w:p w14:paraId="534EF798"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lastRenderedPageBreak/>
        <w:t>Within Counter-Transference there is a lot of ambiguity in terms of the types Counter-Transference and the terminology that exists. This can not only confuse what is happening within the therapeutic relationship but can make it harder to know how to address any issues which as such poses risk to both the client and the therapist. For example, Tishby and Wiseman (2014) proposed 4 different types of counter-transference which were contrived from the therapist’s relationship with their own parents. Prasko et al. (2010) put forward 11 different forms of transference and 8 different forms of counter-transference. There seems to be sizeable variations just in identifying the phenomena, regardless of being able to address any potentially harmful issues that may arise or any possible beneficial effects that could be utilised through acknowledgement and working with its presence within the therapeutic relationship.</w:t>
      </w:r>
    </w:p>
    <w:p w14:paraId="177D5A1D" w14:textId="77777777" w:rsidR="00BD1BF3" w:rsidRDefault="00BD1BF3" w:rsidP="00F62762">
      <w:pPr>
        <w:spacing w:line="480" w:lineRule="auto"/>
        <w:rPr>
          <w:rFonts w:ascii="Times New Roman" w:hAnsi="Times New Roman"/>
          <w:color w:val="FF0000"/>
          <w:sz w:val="24"/>
          <w:szCs w:val="24"/>
        </w:rPr>
      </w:pPr>
      <w:r>
        <w:rPr>
          <w:rFonts w:ascii="Times New Roman" w:hAnsi="Times New Roman"/>
          <w:sz w:val="24"/>
          <w:szCs w:val="24"/>
        </w:rPr>
        <w:t xml:space="preserve">For the purpose of this piece of research the working definition of the types of counter-transference will be based on the work of Ensink et al. (2013). The reason this has been chosen is that although the work of Prasko et al. (2010) does include a number of things to look out for in order to identify if things may be transference/counter-transference, it unfortunately may be seen to broaden things out to a confusing level and bases it’s categorisation more on scenario based criteria rather than what may have been happening to possibly create such a scenario. An example of this could be the Aggressive type of counter-transference proposed by Prasko et al (2013). </w:t>
      </w:r>
      <w:r>
        <w:rPr>
          <w:rFonts w:ascii="Times New Roman" w:hAnsi="Times New Roman"/>
          <w:color w:val="FF0000"/>
          <w:sz w:val="24"/>
          <w:szCs w:val="24"/>
        </w:rPr>
        <w:t xml:space="preserve">While it acknowledges the negative emotional perspective of the therapist towards the client and how they may behave in response to the phenomena, it does not necessarily offer insight as to where this may have originated within the therapist as a type of Counter-Transference. This could be due to many reasons, Prasko et al. (2010) refer to how Counter-Transference is under-utilised within CBT and as such have been very specialised within their analysis of the phenomena in terms the cognitive behavioural elements of it. For the purpose of this research, the subject will be looked at on a </w:t>
      </w:r>
      <w:r>
        <w:rPr>
          <w:rFonts w:ascii="Times New Roman" w:hAnsi="Times New Roman"/>
          <w:color w:val="FF0000"/>
          <w:sz w:val="24"/>
          <w:szCs w:val="24"/>
        </w:rPr>
        <w:lastRenderedPageBreak/>
        <w:t>more generalised level across modalities, offering opportunity for increasingly specialist inquiry on the subject in future research. Prasko et al. (2010) refer to the differences in perspective on Counter-Transference between modalities and as such it is important to bear in mind such a limitation in terms of being able to generalise the outcomes of this research.</w:t>
      </w:r>
    </w:p>
    <w:p w14:paraId="3EF6C07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Ensink et al. (2013) offered a study using modes of Counter-Transference.  </w:t>
      </w:r>
      <w:r>
        <w:rPr>
          <w:rFonts w:ascii="Times New Roman" w:hAnsi="Times New Roman"/>
          <w:color w:val="FF0000"/>
          <w:sz w:val="24"/>
          <w:szCs w:val="24"/>
        </w:rPr>
        <w:t xml:space="preserve">The initial mode </w:t>
      </w:r>
      <w:r>
        <w:rPr>
          <w:rFonts w:ascii="Times New Roman" w:hAnsi="Times New Roman"/>
          <w:sz w:val="24"/>
          <w:szCs w:val="24"/>
        </w:rPr>
        <w:t>is the Rational/Objective mode in which the therapist may hide within the theoretical perspective of the therapeutic relationship, often ignoring what may be currently happening within the relationship in regards to themselves or the client but rather almost actively looking to match what is happening to what is already known to the therapist. This can be potentially harmful to the client as it may not consider what may be phenomenologically happening for the client and thus certain issues may be missed as a result.</w:t>
      </w:r>
    </w:p>
    <w:p w14:paraId="1B43267F" w14:textId="77777777" w:rsidR="00BD1BF3" w:rsidRDefault="00BD1BF3" w:rsidP="00F62762">
      <w:pPr>
        <w:spacing w:line="480" w:lineRule="auto"/>
        <w:rPr>
          <w:rFonts w:ascii="Times New Roman" w:hAnsi="Times New Roman"/>
          <w:sz w:val="24"/>
          <w:szCs w:val="24"/>
        </w:rPr>
      </w:pPr>
      <w:r>
        <w:rPr>
          <w:rFonts w:ascii="Times New Roman" w:hAnsi="Times New Roman"/>
          <w:color w:val="FF0000"/>
          <w:sz w:val="24"/>
          <w:szCs w:val="24"/>
        </w:rPr>
        <w:t xml:space="preserve">Secondly is proposed </w:t>
      </w:r>
      <w:r>
        <w:rPr>
          <w:rFonts w:ascii="Times New Roman" w:hAnsi="Times New Roman"/>
          <w:sz w:val="24"/>
          <w:szCs w:val="24"/>
        </w:rPr>
        <w:t>to be the Reactive mode in which the therapist partially formulates their perception of the client through their own emotional reactions. This could again be potentially damaging as it could lead to a one-sided dynamic within the therapeutic relationship in the long term and the potential to not actually deal with what is happening for the client on a more short-term basis.</w:t>
      </w:r>
    </w:p>
    <w:p w14:paraId="7A289A9E" w14:textId="08162E63" w:rsidR="00BD1BF3" w:rsidRDefault="00BD1BF3" w:rsidP="00F62762">
      <w:pPr>
        <w:spacing w:line="480" w:lineRule="auto"/>
        <w:rPr>
          <w:rFonts w:ascii="Times New Roman" w:hAnsi="Times New Roman"/>
          <w:sz w:val="24"/>
          <w:szCs w:val="24"/>
        </w:rPr>
      </w:pPr>
      <w:r>
        <w:rPr>
          <w:rFonts w:ascii="Times New Roman" w:hAnsi="Times New Roman"/>
          <w:color w:val="FF0000"/>
          <w:sz w:val="24"/>
          <w:szCs w:val="24"/>
        </w:rPr>
        <w:t>Finally,</w:t>
      </w:r>
      <w:r>
        <w:rPr>
          <w:rFonts w:ascii="Times New Roman" w:hAnsi="Times New Roman"/>
          <w:color w:val="FF0000"/>
          <w:sz w:val="24"/>
          <w:szCs w:val="24"/>
        </w:rPr>
        <w:t xml:space="preserve"> is the</w:t>
      </w:r>
      <w:r>
        <w:rPr>
          <w:rFonts w:ascii="Times New Roman" w:hAnsi="Times New Roman"/>
          <w:sz w:val="24"/>
          <w:szCs w:val="24"/>
        </w:rPr>
        <w:t xml:space="preserve"> Reflective mode, which is where the therapist tries to use their own perspective and empathic ability in order to try and gain an insight into the client and what they may be experiencing. It is proposed that through using such a way of Counter-Transference that they may be able to understand elements about the client that may have been seen as reprehensible before and gain a better insight into their world therefore enabling them to better understand and to enable the client themselves to perhaps be able to move past stigmatised thoughts of behaviours that may have presented an impasse for them previously. </w:t>
      </w:r>
    </w:p>
    <w:p w14:paraId="02C0A05B"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 xml:space="preserve">However as put forward by Ensink et al. (2013), there are limitations within this approach. For example it is very difficult to measure these theoretical modes empirically and as such it </w:t>
      </w:r>
      <w:r>
        <w:rPr>
          <w:rFonts w:ascii="Times New Roman" w:hAnsi="Times New Roman"/>
          <w:color w:val="FF0000"/>
          <w:sz w:val="24"/>
          <w:szCs w:val="24"/>
        </w:rPr>
        <w:lastRenderedPageBreak/>
        <w:t xml:space="preserve">is hard to tell whether adaptations made to the presence and use of Counter-Transference are merely training a different behaviour or encouraging a different way of thinking and application of the therapists own experience. To coincide with this limitation their study was primarily aimed at psychotherapists working with people with BPD which could inhibit generalisation in terms of its theoretical application. </w:t>
      </w:r>
    </w:p>
    <w:p w14:paraId="32D46766"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To Further amplify this limitation, there is an argument that naturally practitioners may gravitate towards one type of Counter-transference more than others. Lecours, Bouchard and Normandin (1995) conducted research into the differences in Counter-transference types between genders and across levels of experience. They found that there were indeed differences between not just the genders (in that females were mor reflective and males were more objective/rational) but also across levels of experience (novices were more reflective with more experienced psychotherapists being more reactive). Though they acknowledge that it is impossible to fully record instances of Counter-Transference and that more empirical work is needed within this area of discussion, this does make the subject of Counter-Transference within the therapeutic relationship and minimising its negative effects whilst promoting positive effects very much more complicated.</w:t>
      </w:r>
    </w:p>
    <w:p w14:paraId="198F9192"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Secondary Traumatic Stress</w:t>
      </w:r>
    </w:p>
    <w:p w14:paraId="33D04C88" w14:textId="77777777" w:rsidR="00BD1BF3" w:rsidRDefault="00BD1BF3" w:rsidP="00F62762">
      <w:pPr>
        <w:spacing w:line="480" w:lineRule="auto"/>
        <w:rPr>
          <w:rFonts w:ascii="Times New Roman" w:hAnsi="Times New Roman"/>
          <w:color w:val="FF0000"/>
          <w:sz w:val="24"/>
          <w:szCs w:val="24"/>
        </w:rPr>
      </w:pPr>
      <w:r>
        <w:rPr>
          <w:rFonts w:ascii="Times New Roman" w:hAnsi="Times New Roman"/>
          <w:sz w:val="24"/>
          <w:szCs w:val="24"/>
        </w:rPr>
        <w:t>Baird and Kracen (2006) described Secondary Traumatic Stress as symptoms much like those associated with PTSD that may occur when supporting someone who themselves has been traumatised. They noted that whilst the symptoms may be more short term than those associated with PTSD, they can however pose risk to people such as those working within a helping profession</w:t>
      </w:r>
      <w:r>
        <w:rPr>
          <w:rFonts w:ascii="Times New Roman" w:hAnsi="Times New Roman"/>
          <w:color w:val="FF0000"/>
          <w:sz w:val="24"/>
          <w:szCs w:val="24"/>
        </w:rPr>
        <w:t xml:space="preserve">. </w:t>
      </w:r>
    </w:p>
    <w:p w14:paraId="5914C39D"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 xml:space="preserve">According to ACF (2019) this can have a multitude of effects which can be characterised across four areas of affect. The first of which is cognitively which can include symptoms such as experiencing apathy, lowered concentration, perfectionism, rigid thinking and </w:t>
      </w:r>
      <w:r>
        <w:rPr>
          <w:rFonts w:ascii="Times New Roman" w:hAnsi="Times New Roman"/>
          <w:color w:val="FF0000"/>
          <w:sz w:val="24"/>
          <w:szCs w:val="24"/>
        </w:rPr>
        <w:lastRenderedPageBreak/>
        <w:t xml:space="preserve">preoccupation with trauma. Secondly are the potential emotional effects which can characterised through symptoms such as feeling sadness, anger, guilt, numbness or helplessness. Thirdly are the behavioural effects which can include issues such as having an elevated stress response, sleep disturbance, withdrawal, appetite change or hyper-vigilance. Finally, there are physical symptoms that may manifest through the presence of Secondary Traumatic Stress which include things such as having an increased heart rate, difficulty breathing, muscle and joint pain, increased severity of medical concerns or an impaired immune system. </w:t>
      </w:r>
    </w:p>
    <w:p w14:paraId="0CA13F72"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Baird and Kracen (2006) noted that this definition is less to do with the cognitive phenomenon as such and was more related to the symptoms experienced as a result of exposure to traumatic stimuli.</w:t>
      </w:r>
    </w:p>
    <w:p w14:paraId="210BB0FD"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Vicarious Trauma</w:t>
      </w:r>
    </w:p>
    <w:p w14:paraId="589192B4"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Vicarious trauma is a fairly recent term and refers to a traumatic reaction to client presented information (Trippany, Kress and Wilcoxon, 2004). This can be a sudden traumatisation based on working with a traumatic subject and there has been overlap with terms such as burnout and Counter-transference throughout its integration into psychotherapeutic terminology. Trippany, Kress and Wilcoxon (2004) propose that the reason this happens is that due to the exposure of trauma to the therapist, that their basic needs within the world are no longer met and as such hyper-vigilance and other defence mechanisms may be implemented as a way to increase perceived safety. </w:t>
      </w:r>
    </w:p>
    <w:p w14:paraId="63B5F774"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These needs as noted by Trippany, Kress and Wilcoxon (2004) are:</w:t>
      </w:r>
    </w:p>
    <w:p w14:paraId="56E304D7" w14:textId="77777777" w:rsidR="00BD1BF3" w:rsidRDefault="00BD1BF3" w:rsidP="00F6276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Safety needs: They may feel that the world is no longer safe and as such may become overly protective or fearful as a result.</w:t>
      </w:r>
    </w:p>
    <w:p w14:paraId="5E3D94EE" w14:textId="77777777" w:rsidR="00BD1BF3" w:rsidRDefault="00BD1BF3" w:rsidP="00F6276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Trust needs: All people need to have a trusting foundation used to inform their own reality from both themselves and others. If the therapist becomes traumatised by an </w:t>
      </w:r>
      <w:r>
        <w:rPr>
          <w:rFonts w:ascii="Times New Roman" w:hAnsi="Times New Roman" w:cs="Times New Roman"/>
          <w:sz w:val="24"/>
          <w:szCs w:val="24"/>
        </w:rPr>
        <w:lastRenderedPageBreak/>
        <w:t>exposure to a traumatic stimulus from a client, then they themselves may become distrusting of the safety of the subject that may have caused the initial traumatisation. For example, a client may have been stabbed by someone from a different ethnic background which could lead to the traumatised therapist generalising that schema and thus becoming suspicious of the entire population.</w:t>
      </w:r>
    </w:p>
    <w:p w14:paraId="7B874CB8" w14:textId="77777777" w:rsidR="00BD1BF3" w:rsidRDefault="00BD1BF3" w:rsidP="00F6276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Esteem needs: Therapists experiencing vicarious trauma may begin to question their own abilities and if they are suitable to help clients.</w:t>
      </w:r>
    </w:p>
    <w:p w14:paraId="10971C04" w14:textId="77777777" w:rsidR="00BD1BF3" w:rsidRDefault="00BD1BF3" w:rsidP="00F6276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Intimacy needs: Traumatisation may lead to an uncharacteristic demand in change to the support networks available to the therapist. For example, it can lead to the therapist becoming more dependent on the people in their life or perhaps even pushing them away.</w:t>
      </w:r>
    </w:p>
    <w:p w14:paraId="101A91F5" w14:textId="77777777" w:rsidR="00BD1BF3" w:rsidRDefault="00BD1BF3" w:rsidP="00F6276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Control needs: This is basic need to have healthy management within one’s life. When a therapist may become traumatised it may lead to feeling overwhelmed or helpless or perhaps even lead to a desire to become overtly controlling over other aspects of their lives.</w:t>
      </w:r>
    </w:p>
    <w:p w14:paraId="665E28F0"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According to Lerias and Byrne (2003), the symptoms of Vicarious Trauma can mirror that of PTSD and include:</w:t>
      </w:r>
    </w:p>
    <w:p w14:paraId="45555D39" w14:textId="77777777" w:rsidR="00BD1BF3" w:rsidRDefault="00BD1BF3" w:rsidP="00F62762">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Re-experiencing the event: This can be emotionally, through dreams or even distress caused at things that may be reminiscent of the event.</w:t>
      </w:r>
    </w:p>
    <w:p w14:paraId="76E62BF8" w14:textId="77777777" w:rsidR="00BD1BF3" w:rsidRDefault="00BD1BF3" w:rsidP="00F62762">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Persistent avoidance: Avoidance of anything to do with the subject that may have brought about traumatisation. This can be avoidance of related stimuli or even avoidance in general in terms of activity.</w:t>
      </w:r>
    </w:p>
    <w:p w14:paraId="7731C83E" w14:textId="77777777" w:rsidR="00BD1BF3" w:rsidRDefault="00BD1BF3" w:rsidP="00F62762">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Increased Anxiety and Arousal: This can include sleep disturbance, emotional imbalance or problems with concentrating.</w:t>
      </w:r>
    </w:p>
    <w:p w14:paraId="4BDBFC2B" w14:textId="77777777" w:rsidR="00BD1BF3" w:rsidRDefault="00BD1BF3" w:rsidP="00F62762">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Impairment: The above points can have a negative effect on many aspects of the person’s life socially occupationally or in terms of functionality.</w:t>
      </w:r>
    </w:p>
    <w:p w14:paraId="5165CB05"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Compassion fatigue</w:t>
      </w:r>
    </w:p>
    <w:p w14:paraId="492A7102"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Turgoose and Maddox (2017) conducted a review of 32 different studies in order to try and determine predictors and contributing factors of Compassion Fatigue. They propose that Compassion Fatigue takes place through the use of empathy. They have suggested that empathy is core to effective use of psychotherapy, however by using it to experience the client’s world and perspective, that they might also be exposing themselves to the client’s trauma which can have potentially negative effects over time. </w:t>
      </w:r>
    </w:p>
    <w:p w14:paraId="7C3E2CA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There are multiple effects that compassion fatigue can have on a therapist as described by Babbel (2012). According to Babbel (2012) compassion fatigue can take place through heightened use of empathy and is often unconscious in nature. Carter (2014) suggested that symptoms of compassion fatigue can be:</w:t>
      </w:r>
    </w:p>
    <w:p w14:paraId="78449F3E"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Feeling burdened by others’ suffering.</w:t>
      </w:r>
    </w:p>
    <w:p w14:paraId="7B9E08ED"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Blaming of others for their suffering.</w:t>
      </w:r>
    </w:p>
    <w:p w14:paraId="78C97297"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Isolation of self.</w:t>
      </w:r>
    </w:p>
    <w:p w14:paraId="633E0CDB"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Loss of pleasure.</w:t>
      </w:r>
    </w:p>
    <w:p w14:paraId="5E800D17"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Loss of focus.</w:t>
      </w:r>
    </w:p>
    <w:p w14:paraId="71831BE5"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Insomnia.</w:t>
      </w:r>
    </w:p>
    <w:p w14:paraId="4DD219A6"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Fatigue (both physical and mental).</w:t>
      </w:r>
    </w:p>
    <w:p w14:paraId="102EE015"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Hopelessness.</w:t>
      </w:r>
    </w:p>
    <w:p w14:paraId="715732E2"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Substance abuse.</w:t>
      </w:r>
    </w:p>
    <w:p w14:paraId="3947FD37"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Denial</w:t>
      </w:r>
    </w:p>
    <w:p w14:paraId="19C9FD3A" w14:textId="77777777" w:rsidR="00BD1BF3" w:rsidRDefault="00BD1BF3" w:rsidP="00F6276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Poor self-care.</w:t>
      </w:r>
    </w:p>
    <w:p w14:paraId="7504502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Burnout</w:t>
      </w:r>
    </w:p>
    <w:p w14:paraId="41846101" w14:textId="77777777" w:rsidR="00BD1BF3" w:rsidRDefault="00BD1BF3" w:rsidP="00F62762">
      <w:pPr>
        <w:spacing w:line="480" w:lineRule="auto"/>
        <w:rPr>
          <w:rFonts w:ascii="Times New Roman" w:hAnsi="Times New Roman" w:cstheme="minorBidi"/>
          <w:sz w:val="24"/>
          <w:szCs w:val="24"/>
        </w:rPr>
      </w:pPr>
      <w:r>
        <w:rPr>
          <w:rFonts w:ascii="Times New Roman" w:hAnsi="Times New Roman"/>
          <w:sz w:val="24"/>
          <w:szCs w:val="24"/>
        </w:rPr>
        <w:t xml:space="preserve">During the course of assembling literature another term which has been used within this context has come to light and taking into account the purpose of this piece of research, must be included as to give as wide a scope on the topic as possible. The term that has been referenced here is Burnout. </w:t>
      </w:r>
    </w:p>
    <w:p w14:paraId="0E8A460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BACP (2017) put forward the notion that Burnout refers to a syndrome that may encompass depersonalisation, a lack of achievement or an emotional exhaustion particularly prevalent in work that may be people oriented, although symptoms may differ between individuals. They propose that it can stem from 7 factors which are work overload, organisational conflict, lack of control, insufficient rewards, absence of fairness, breakdown of workplace community and value conflict.</w:t>
      </w:r>
    </w:p>
    <w:p w14:paraId="69ADF64D"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They note in this instance of Compassion Fatigue being a symptom of Burnout and describe it as a loss of care towards others or self. This is also accompanied by a sense of hopelessness in the effectiveness of one’s own work or in the purpose of further participation</w:t>
      </w:r>
      <w:r>
        <w:rPr>
          <w:rFonts w:ascii="Times New Roman" w:hAnsi="Times New Roman"/>
          <w:color w:val="FF0000"/>
          <w:sz w:val="24"/>
          <w:szCs w:val="24"/>
        </w:rPr>
        <w:t xml:space="preserve">. It is worth </w:t>
      </w:r>
      <w:r>
        <w:rPr>
          <w:rFonts w:ascii="Times New Roman" w:hAnsi="Times New Roman"/>
          <w:sz w:val="24"/>
          <w:szCs w:val="24"/>
        </w:rPr>
        <w:t>noting that the BACP (2017) included compassion fatigue as part of their definition of the symptoms of Burnout.</w:t>
      </w:r>
    </w:p>
    <w:p w14:paraId="51CECDCD"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Within their study, Baird and Kracen (2006) discuss the history of Secondary Traumatic Stress and describe how the historical term for the symptoms experienced by therapists who were working with people with PTSD used to be referred to as compassion fatigue. Trippany, Kress and Wilcoxon (2004) also refer to the notion that before Vicarious Trauma was coined as a term that Counter-Transference and Burnout were used to describe many of the traumas now attributed with Vicarious Trauma. </w:t>
      </w:r>
    </w:p>
    <w:p w14:paraId="05BA058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As has been suggested there has been a history of overlap between these subject areas and one of the aims in order to answer the research question within this piece of literature is to identify the similarities and differences between these topics. One of the principles put </w:t>
      </w:r>
      <w:r>
        <w:rPr>
          <w:rFonts w:ascii="Times New Roman" w:hAnsi="Times New Roman"/>
          <w:sz w:val="24"/>
          <w:szCs w:val="24"/>
        </w:rPr>
        <w:lastRenderedPageBreak/>
        <w:t>forward by Hook (2001) as part of the method of discourse analysis is the principle of discontinuity which is to separate from what is already known and to take the discourse upon its own merit. To do this a list of similarities and differences have been noted and compared which can be accessed in Appendix A.</w:t>
      </w:r>
    </w:p>
    <w:p w14:paraId="4C7377B1"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In order to critically evaluate the literature, the four principles of critique as suggested by Hook (2001) will be applied. The assumption that has been overturned upon analysis of the topics of research is that despite having very different names with no explicably defined relationships, it appears that there are in fact many similarities between these subject matters.</w:t>
      </w:r>
    </w:p>
    <w:p w14:paraId="04C3A51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 characteristic that these subject matters seem to have in common is that they seem to originate from how the therapist may relate with a certain stimuli that takes away from their available resources left to cope and handle what is happening within the therapeutic relationship efficiently and effectively. The main initial differences noted are the differences in how each of these may try to explain how detrimental effects may take place for a therapist working with someone who may have been exposed to traumatic stimuli. </w:t>
      </w:r>
    </w:p>
    <w:p w14:paraId="60A1D48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There are many factors to take into account, which could be external issues away from the individual therapeutic relationship such as organisational tensions and workload as may be seen with Burnout. Others may be as a result of how the therapist personally relates to the traumatic stimuli or even the client themselves from their own historical perspective such as with Counter-Transference (Dass-Brailsford, 2007). Others may be onset due to being unable to effectively relate to what is being offered by the amount of resources available to the client being overwhelmed by the traumatic nature of the topics being discussed such as with Secondary Traumatic Stress, Vicarious Trauma and Compassion Fatigue. </w:t>
      </w:r>
    </w:p>
    <w:p w14:paraId="3B63F39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It is important to point out within the Second Principle of Specifity that knowledge cannot be generalised into one exact outcome (Hook, 2001) and such it is important to point out that there are other differences between the aforementioned subject areas. </w:t>
      </w:r>
    </w:p>
    <w:p w14:paraId="04850E46"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One major difference is within the length of time it takes to experience on-set within these topics. Some of these notions can take place very instantaneously like Vicarious Trauma (Trippany, Kress and Wilcoxon, 2004), Secondary Traumatic Stress (Baird and Kracen, 2006) and Counter-Transference ((Berzoff and Kita, 2010). Others may apply when there is a build-up of stimuli and thus have a longer on-set such as Burnout (ACA,2017) or Compassion Fatigue (Babbel, 2012).</w:t>
      </w:r>
    </w:p>
    <w:p w14:paraId="7F81572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suggested by Ensink et al. (2013), Counter-Transference seems to be more theoretical in principle than the other subjects and therefore more difficult to quantify than the other methods of explanation.</w:t>
      </w:r>
    </w:p>
    <w:p w14:paraId="1FF9C7E4" w14:textId="77777777" w:rsidR="00BD1BF3" w:rsidRDefault="00BD1BF3" w:rsidP="00F62762">
      <w:pPr>
        <w:spacing w:line="480" w:lineRule="auto"/>
        <w:rPr>
          <w:rFonts w:ascii="Times New Roman" w:hAnsi="Times New Roman" w:cstheme="minorBidi"/>
          <w:sz w:val="24"/>
          <w:szCs w:val="24"/>
        </w:rPr>
      </w:pPr>
      <w:r>
        <w:rPr>
          <w:rFonts w:ascii="Times New Roman" w:hAnsi="Times New Roman"/>
          <w:sz w:val="24"/>
          <w:szCs w:val="24"/>
        </w:rPr>
        <w:t>The third principle of Hook’s method that could be seen as being of great relevance here is the principle of Exteriority, that knowledge is more than the contents of its discourse and rather it’s impacts on the exterior world (Hook, 2001). As previously suggested within this piece, there is increasing demand on people working within the world of psychotherapy (Whyman, 2018) and due to increasing strain may mean more people could be included within the at-risk groups of people who may not have adequate training within the field of trauma or those with inexperience in this area already put forward by Adams and Riggs (2008). With rising pressures within the field there could be cause for more clarity within the effects of such issues within the therapeutic relationship to help to mitigate this risk to therapists and clients and therefore promote safe practice within the field (Baird and Kracen, 2006).</w:t>
      </w:r>
    </w:p>
    <w:p w14:paraId="4C764361"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Whilst these subject matters have been shown to have distinct differences, there has also been seen to be overlap in terms of their relationship with counter-transference. Whilst a lot of them can be quite symptom based, Counter-Transference is a more theoretical model (Ensink et al., 2013) and has been suggested to be applicable in a more complex way both negatively </w:t>
      </w:r>
      <w:r>
        <w:rPr>
          <w:rFonts w:ascii="Times New Roman" w:hAnsi="Times New Roman"/>
          <w:sz w:val="24"/>
          <w:szCs w:val="24"/>
        </w:rPr>
        <w:lastRenderedPageBreak/>
        <w:t>and positively. As such, second step of this piece of research is to critically evaluate the positive and negative factors of Counter-Transference within the therapeutic relationship.</w:t>
      </w:r>
    </w:p>
    <w:p w14:paraId="7003BA00"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Whilst being as impartial as possible and ignoring the history of these topics as proposed by Hook (2001) in the collation and analysis of the literature, a limitation of this research is that it is an interpretation of the similarities and differences from the perspective of the researcher and as such could be interpreted differently by others.</w:t>
      </w:r>
    </w:p>
    <w:p w14:paraId="5A038311"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The second objective that will be met to answer the research question ‘What are the positive and negative effects of the role of counter-transference on the counsellor and possible implications within the therapeutic relationship?’ will be to critically evaluate the positive and negative factors associated with the presence of Counter-Transference within the therapeutic alliance. This will be done through an introduction the importance of the topic and the various nuances involved within its definition such as the positive and negative effects of each form. This shall then be followed by analysis using the critiqued version of Foucault’s four principles of discourse analysis.</w:t>
      </w:r>
    </w:p>
    <w:p w14:paraId="53C800C3"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To give scope to the potential importance of evaluating the role that Counter-Transference may hold, it could be suggested to have an effect on more of the therapist population than the potential at-risk group put forward by Adams and Riggs (2008). Hayes et al. (1998) conducted research in the form of observation and a follow up semi-structured interview on 8 psychotherapists who were nominated as experienced in their field by peers. Though noting that they could not pass judgement over unconscious instances of Counter-Transference as a limitation of the study, they did however report finding Counter-Transference related phenomena in 80 percent of the studied sessions. They go on to suggest that because someone may have more experience, it does not make them less susceptible to the presence of Counter-Transference but rather that they may be more aware of it and thus adapt accordingly.</w:t>
      </w:r>
    </w:p>
    <w:p w14:paraId="3AD20DA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However this does not necessarily mean it is negative, as though a lot has been made of the potential risks of Counter-Transference within the therapeutic relationship Hayes, Gelso and Hummel (2001) argue that through managed reflection, that it can indeed be beneficial to the development of the therapist and therefore to the therapeutic relationship itself. This may suggest a complex phenomenon which is further emphasised through the work of Hayes et al. (1998) who report that they had to monitor Counter-Transference from a more simplistic perspective in order to help to make it more identifiable within their study.</w:t>
      </w:r>
    </w:p>
    <w:p w14:paraId="2762D78D"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In keeping with the view that this piece of research is dealing with a complex and contested phenomenon, this study shall keep with the definitions of Counter-Transference defined by Ensink et al. (2013) which consist of the Rational/Objective mode, the Reactive mode and the Reflective mode. This was done to keep consistency within this piece of literature and ensure meaningful measure and evaluation can take place.</w:t>
      </w:r>
    </w:p>
    <w:p w14:paraId="15F3F6D2" w14:textId="77777777" w:rsidR="00BD1BF3" w:rsidRDefault="00BD1BF3" w:rsidP="00F62762">
      <w:pPr>
        <w:spacing w:line="480" w:lineRule="auto"/>
        <w:rPr>
          <w:rFonts w:ascii="Times New Roman" w:hAnsi="Times New Roman"/>
          <w:sz w:val="24"/>
          <w:szCs w:val="24"/>
        </w:rPr>
      </w:pPr>
    </w:p>
    <w:p w14:paraId="4B508B6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Rational/Objective Counter-Transference</w:t>
      </w:r>
    </w:p>
    <w:p w14:paraId="6C01330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Ensink et al. (2013) defined this as hiding within the therapeutic framework and as such means the therapist is looking to adapt what is being presented by the client to what is already known by the therapist. This is taking an observational stance and seeks to generalise what is happening within the therapeutic relationship rather than participating in the client’s unique lived experience (Dubé and Normandin (2007). In this mode there is an emotional distance whilst the therapist uses their own observations and theories to assemble what they think may be happening from the client’s viewpoint (Lecours and Normandin, 1995). </w:t>
      </w:r>
    </w:p>
    <w:p w14:paraId="050F855D"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This can be positive in that it could potentially ensure that the therapist does not get too emotionally invested within the therapeutic relationship and helps to distance away from emotionally charged language which can be detrimental to the therapeutic relationship (Lecours and Normandin, 1995). </w:t>
      </w:r>
    </w:p>
    <w:p w14:paraId="3F7BF0F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 xml:space="preserve">However objectively speaking this could mean that there is the potential for things that exist within the present moment of that therapeutic relationship to be lost as a result of that distance. In this way the therapist is noting what is happening in front of themselves rather than with them as part of the dynamic and instead utilises generalisation and diagnosis (Dubé and Normandin, 2007). </w:t>
      </w:r>
      <w:r>
        <w:rPr>
          <w:rFonts w:ascii="Times New Roman" w:hAnsi="Times New Roman"/>
          <w:color w:val="FF0000"/>
          <w:sz w:val="24"/>
          <w:szCs w:val="24"/>
        </w:rPr>
        <w:t>When this approach is compared to Hook (2001) and his noting that knowledge cannot be generalised, such impartiality and inactivity could potentially point to a detrimental effect to the client or therapeutic relationship</w:t>
      </w:r>
      <w:r>
        <w:rPr>
          <w:rFonts w:ascii="Times New Roman" w:hAnsi="Times New Roman"/>
          <w:sz w:val="24"/>
          <w:szCs w:val="24"/>
        </w:rPr>
        <w:t>.</w:t>
      </w:r>
    </w:p>
    <w:p w14:paraId="10D805B5"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Reactional Counter-Transference</w:t>
      </w:r>
    </w:p>
    <w:p w14:paraId="4A5F994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Ensink et al. (2013) propose that Reactional Counter-Transference is where the therapist forms part of their perception of the client through their own emotional reactions to the client. Dubé and Normandin (2007) propose this is more similar to the classical definition of Counter-Transference and can actually mean that the therapist becomes defensive in their treatment of the client. They note that this can actually hinder the therapist developing a clear and objective perspective of the client which could be detrimental in terms of forming an effective therapeutic relationship and thus increasing risk of negative permutations to the wellbeing of one or both parties.</w:t>
      </w:r>
    </w:p>
    <w:p w14:paraId="50888FF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Lecours and Normandin (1995) make note that this more emotional response can be harder to quantify as it can exist unconsciously, however can still be deemed a possible risk as it could potentially lead to the presence of unwitting conflict within the therapeutic relationship. </w:t>
      </w:r>
    </w:p>
    <w:p w14:paraId="2208AA2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Again, due to this coming from the therapist’s own emotional response and formulation of the client’s background and situation it could potentially lead to things being missed that may be of importance in terms of supporting the client (Ensink et al., 2013). </w:t>
      </w:r>
    </w:p>
    <w:p w14:paraId="4174CB26"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Dubé and Normandin (2007) propose that the presence of Reactional Counter-Transference may not be as simplistic as the classical Counter-Transference of which it is associated. They put forward the notion that it may take place in two forms. The first of which is an activation </w:t>
      </w:r>
      <w:r>
        <w:rPr>
          <w:rFonts w:ascii="Times New Roman" w:hAnsi="Times New Roman"/>
          <w:sz w:val="24"/>
          <w:szCs w:val="24"/>
        </w:rPr>
        <w:lastRenderedPageBreak/>
        <w:t>within the therapist of mature defensive processes and impulses which can take place through regression or intellectualising. This may not be ideal within the therapeutic relationship; however, it could mean that the therapist is aware of its presence and able to adapt and reflect accordingly. The second of which is the notion of a more regressive and primitive impulse. This may take place in ways such as acting out against the client, denial or even omnipotence. As this may suggest it can be potentially damaging both in terms of the therapeutic relationship and in terms of the perceived safety of the client and therapist from possible harm within the therapeutic setting.</w:t>
      </w:r>
    </w:p>
    <w:p w14:paraId="38A24BFE"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It could be proposed that whilst this has positive aspects such as the potential of being in tune with the emotions that may be taking place in the moment in the therapeutic relationship, it also has the potential to be possibly damaging and unsafe for all parties. This is supported by the work of Ensink et al. (2013), who describe this as a high-risk and potentially high-gain form of Counter-Transference.</w:t>
      </w:r>
    </w:p>
    <w:p w14:paraId="454A2B4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Reflective Counter-Transference</w:t>
      </w:r>
    </w:p>
    <w:p w14:paraId="496B6B75"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Ensink et al. (2013) attribute this as being a form of Counter-Transference in which the therapist attempts to use their own perceptions, experience, knowledge and empathic ability in order to gain an insight into the inner workings of the client’s world. Dubé and Normandin (2007) propose that the therapist is able to subjectively participate in the interpretation and observation of their own internal reactions and use that to better identify with the client’s affects and internal world.</w:t>
      </w:r>
    </w:p>
    <w:p w14:paraId="39063C79"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 xml:space="preserve">Dubé and Normandin (2007) argue that effective implementation of this form of Counter-Transference takes place in three steps. The first of which is the Emergence stage. This is viewed as the most crucial stage and is imperative to effective implementation of this form of Counter-Transference in a beneficial manner. It is where the therapist must acknowledge and tolerate all that surfaces within themselves which could take the form of raw emotions or </w:t>
      </w:r>
      <w:r>
        <w:rPr>
          <w:rFonts w:ascii="Times New Roman" w:hAnsi="Times New Roman"/>
          <w:color w:val="FF0000"/>
          <w:sz w:val="24"/>
          <w:szCs w:val="24"/>
        </w:rPr>
        <w:lastRenderedPageBreak/>
        <w:t>thoughts, previously unconscious triggers or emotional affects. It is only through the successful absorption and containment of this intense process that the next stage can take place. The second of which is the Immersion stage. This is where the therapist is able to identify subtleties within these surfacing themes both within their present selves and more historically as new meaning may begin to emerge. This has been referred to by Dubé and Normandin (2007) as the foundation of empathy. The final stage is the Elaboration stage. This is where deeper understanding of one’s own emotional affects and experiences may lead to a fuller, more complex understanding of the client’s perceptions, motivations and inner world.</w:t>
      </w:r>
    </w:p>
    <w:p w14:paraId="3F4AC70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Dubé and Normandin (2007) suggest this type of Counter-Transference can be positive in that it allows richer understanding of the client’s inner world if the therapist is able to adapt to the stimuli and adapt accordingly. However they also note that there is a possibility if the therapist’s own raw thoughts or emotions cannot be suitably contained that this may manifest in maladaptive behaviours within the therapeutic relationship in ways such as lashing out which again could be negative in terms of supporting the client and ensuring safety of both client and therapist.</w:t>
      </w:r>
    </w:p>
    <w:p w14:paraId="32C2F013"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Lecours and Normandin (1995) propose that effective use of this form of Counter-Transference enables the therapist to be subjectively invested whilst being able to control and elaborate their own emotional responses whilst not deviating into potentially damaging, impulsive mental activity.</w:t>
      </w:r>
    </w:p>
    <w:p w14:paraId="7B80E523" w14:textId="77777777" w:rsidR="00BD1BF3" w:rsidRDefault="00BD1BF3" w:rsidP="00F62762">
      <w:pPr>
        <w:spacing w:line="480" w:lineRule="auto"/>
        <w:rPr>
          <w:rFonts w:ascii="Times New Roman" w:hAnsi="Times New Roman" w:cstheme="minorBidi"/>
          <w:sz w:val="24"/>
          <w:szCs w:val="24"/>
        </w:rPr>
      </w:pPr>
      <w:r>
        <w:rPr>
          <w:rFonts w:ascii="Times New Roman" w:hAnsi="Times New Roman"/>
          <w:sz w:val="24"/>
          <w:szCs w:val="24"/>
        </w:rPr>
        <w:t>Much in the way that the Reactive form of Counter-Transference can be high-risk and high-reward so can this the Reflective form. Ensink et al. (2013) put forward the notion that whilst its insight into a therapist’s past experiences may prove invaluable, the speed at which it is attained may also see the chances of an error occurring increase as a result and therefore this may be detrimental to the parties involved and/or the therapeutic relationship itself.</w:t>
      </w:r>
    </w:p>
    <w:p w14:paraId="1AE3608F"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As can be seen, the role of Counter-Transference within the therapeutic relationship can be very complex, with nuances that can be inhibitory or suggested by some to be essential in terms of promoting professional growth (Dubé and Normandin, 2007).</w:t>
      </w:r>
    </w:p>
    <w:p w14:paraId="1FFC16B5"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Since it’s conception, the dominant rhetoric in terms of Counter-Transference has been that of a negative nature (Hayes et al., 1998). This has changed with more of a totalitarian perspective on the subject being that which encapsulates any feelings that may originate within the therapist towards the client. </w:t>
      </w:r>
    </w:p>
    <w:p w14:paraId="24FFDF8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such it can be seen to be a very complex topic of intrigue. Staples (2014) proposed that the effective use of Counter-Transference could be beneficent within the therapeutic relationship particularly when used in conjunction with empathy in order to gain a better understanding of a client’s world when dealing with issues such as bereavement.</w:t>
      </w:r>
    </w:p>
    <w:p w14:paraId="072F9D68"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In regard to the types of Counter-Transference that have been put forward, though for example Reactive Counter-Transference can be negative in terms of its effects on the client, therapist and therapeutic relationship, there is also the possibility of it being beneficial (Ensink et al., 2013). In this sense it is the researcher’s opinion that it may be impossible to form assumptions on such a complex subject.</w:t>
      </w:r>
    </w:p>
    <w:p w14:paraId="48B66451"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Through analysis of the different types of Counter-Transference there seems to be an apparent distinction to be made that there is no single type of Counter-Transference that does not potentially offer both risk and reward (Ensink et al. 2013). </w:t>
      </w:r>
    </w:p>
    <w:p w14:paraId="1833407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Objective/Rational Counter-Transference offers the benefit of distance and the potential of diagnosis in terms of potential issues (Lecours and Normandin, 1995). This could also mean that the therapist does not become too emotionally invested in the client. </w:t>
      </w:r>
    </w:p>
    <w:p w14:paraId="013D8C5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However, there is the danger within this type of Counter-Transference of not being in the moment with what is happening with the client and becoming over reliant on diagnosis and generalisation rather than the client’s unique perspective (Dubé and Normandin, 2007).</w:t>
      </w:r>
    </w:p>
    <w:p w14:paraId="313DE7C2"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Reactional Counter-Transference can be positive in that it can be managed in such a mature way that it allows the therapist to be aware and reflect upon issues brought to the surface while allowing themselves to emotionally open up with the client (Dubé and Normandin, 2007). However, this can also be detrimental if the therapist is unable to respond in such a way and could potentially lead to conflict risking safety for both client and therapist.</w:t>
      </w:r>
    </w:p>
    <w:p w14:paraId="2EF0C483"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Due to this being quite an instinctual form of Counter-Transference it could also lead to things being missed within the therapeutic relationship as well as mistakes being made (Ensink, 2013).</w:t>
      </w:r>
    </w:p>
    <w:p w14:paraId="65AF9C0F"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 same criticism can be used of Reflective Counter-Transference. It has been suggested that the instinctual nature of this form of Counter-Transference can again lead to increased error which can be detrimental towards client, therapist and the therapeutic relationship. </w:t>
      </w:r>
    </w:p>
    <w:p w14:paraId="1D02D211"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However, if used effectively the Reflective form of Counter-Transference can be used as the foundation of empathic function (Dubé and Normandin, 2007). It can be used to not just generate a deeper understanding of a therapist’s own self, but to also enable them to use that to help gain a deeper, richer insight into the inner workings of their client’s perspectives as well as their inner world.</w:t>
      </w:r>
    </w:p>
    <w:p w14:paraId="10419378"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All of these potential outcomes can have an impact in terms of their effects. Counter-Transference has been shown to offer beneficent outcomes such as the enhanced understanding and insight that may be gained into the client’s perspective (Dubé and Normandin, 2007). One thing that stands out in terms of the negative effects of Counter-Transference as a common thread seems to be that of management. According to Hayes, Gelso and Hummel (2011) whilst conducting meta-analyses regarding the impact of Counter-Transference as well as management and client outcomes. Although their sample size only consisted of 27 studies, they did however report a significant finding that poor management of Counter-Transference on behalf of the therapist does appear to lead to negative utilisation </w:t>
      </w:r>
      <w:r>
        <w:rPr>
          <w:rFonts w:ascii="Times New Roman" w:hAnsi="Times New Roman"/>
          <w:sz w:val="24"/>
          <w:szCs w:val="24"/>
        </w:rPr>
        <w:lastRenderedPageBreak/>
        <w:t xml:space="preserve">of Counter-Transference within the therapeutic relationship which then in turn appears to result in poor client outcomes. </w:t>
      </w:r>
    </w:p>
    <w:p w14:paraId="3EC32C66"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Just upon its own merit it does appear as though Counter-Transference can be a powerful tool in order to deepen empathic understanding within the therapeutic relationship, however whilst useful, also needs to be utilised carefully in order to ensure safety for both client and therapist.</w:t>
      </w:r>
    </w:p>
    <w:p w14:paraId="608B1BA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As previously discussed, there has been shown to be a risk posed with the negative presence of Counter-Transference within the therapeutic relationship, but to who? This piece of literature shall seek to identify potential at-risk groups in terms of the negative impacts of Counter-Transference. </w:t>
      </w:r>
    </w:p>
    <w:p w14:paraId="53B16E6C"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The third objective that shall be met in order to answer the research question ‘What are the positive and negative effects of the role of counter-transference on the counsellor and possible implications within the therapeutic relationship?’ will be to highlight potential at risk groups that may be negatively affected by the subject. This will be done through collation of relevant sources and interpretation of potential at-risk groups.</w:t>
      </w:r>
    </w:p>
    <w:p w14:paraId="58E61660"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This is a complex issue in terms of the effects of Counter-Transference and the far-reaching effects of it. For example, in the study conducted by Hayes et al. (1998), despite the limited sample size, recorded instances of Counter-Transference were seen in 80 percent of sessions that were observed and that does not take into account the unconscious instances of it which were seen as being more difficult to quantify empirically.</w:t>
      </w:r>
    </w:p>
    <w:p w14:paraId="0DF5455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On top of this Pearlman and Mac Ian (1995, as cited in Canfield, 2005) reported that 62 percent of therapists in their study that were working with trauma displayed PTSD-like symptoms. </w:t>
      </w:r>
    </w:p>
    <w:p w14:paraId="15727DC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 work of Baird and Kracen (2006) suggested that without more accessible information on the subject that more therapists were at risk whilst Neumann and Gamble (1995) reported that </w:t>
      </w:r>
      <w:r>
        <w:rPr>
          <w:rFonts w:ascii="Times New Roman" w:hAnsi="Times New Roman"/>
          <w:sz w:val="24"/>
          <w:szCs w:val="24"/>
        </w:rPr>
        <w:lastRenderedPageBreak/>
        <w:t>newly qualified therapists were more likely to report symptoms such as anxiety and depression than their more experienced counterparts.</w:t>
      </w:r>
    </w:p>
    <w:p w14:paraId="64507E08"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It is important to take into account that all therapists are not the same and things such as gender and experience may have a role to play when taking into account factors of risk when working with the presence of Counter-transference. This may make a generalisation in terms of preparing a group that may be more at-risk more difficult to obtain. For example, in the study conducted by Lecours and Normandin (1995) using 40 psychologists in an effort to report the types of Counter-transference that may be used by different groups. As previously discussed through the work of Dubé and Normandin (2007), they each have their own inherent risks and rewards. They found that newly qualified therapists were more likely to adopt Reflective Counter-Transference than their more experienced colleagues. As discussed by Dubé and Normandin (2007), the Reflective mode of Counter-Transference can be a very effective tool in allowing a deeper level of understanding and empathy with the client, however it does have inherent risks if the therapist is unable to successfully tolerate and immerse themselves in whatever raw thoughts or emotions that may arise. There is not enough data to make any generalisations, but this could perhaps offer some form of explanation as to a factor towards what may contribute towards newly qualified therapists being more at risk of negative effects of the presence of Counter-Transference.</w:t>
      </w:r>
    </w:p>
    <w:p w14:paraId="7EFFD5F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Even within genders Lecours, Bouchard and Normandin (1995) suggested subtle difference. They reported that male therapists were more likely to display Objective/Rational Counter-Transference than their female counterparts. It was suggested that females may approach Counter-Transference in a more empathic way which could mean inherent risks for all groups, however it could leave the female sub-group more open to things such as Compassion Fatigue (BACP, 2017) or in more acute instances things such as Vicarious Trauma as a result of the heightened use of empathy (Trippany, Kress and Wilcoxon, 2004).</w:t>
      </w:r>
    </w:p>
    <w:p w14:paraId="37C05580"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Lecours, Bouchard and Normandin (1995) do however note that these findings can be open to interpretation. As previously reported by Ensink et al. (2013), Counter-Transference does come from a theoretical perspective and as such can be difficult to quantify which in that sense can make it difficult to know how far reaching or potentially damaging it could be.</w:t>
      </w:r>
    </w:p>
    <w:p w14:paraId="689CD136"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Despite these findings reporting some sub-groups that may be more at risk than others, it is important to make information on a potentially hazardous subject matter as understandable and easily available as possible (Baird and Kracen, 2006), as this could be something that affects all practitioners in one way or another. Gordon et al. (2016) conducted research into Counter-Transference across different modalities on the perspectives of Counter-Transference and the effects it can have on varying therapists. They proposed that there was not enough training within their studied population on the effects of Counter-Transference or how to manage the appearance of such and underlined the importance of further education on the subject and better preparation in terms of helping to prepare for ethical dilemmas that may be thrown up as a result.</w:t>
      </w:r>
    </w:p>
    <w:p w14:paraId="6312E9E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So, having acknowledged there is a suggestion for further support, what could be proposed to be done if the presence of Counter-transference should arise in the therapeutic relationship?</w:t>
      </w:r>
    </w:p>
    <w:p w14:paraId="67A4CC63" w14:textId="77777777" w:rsidR="00BD1BF3" w:rsidRDefault="00BD1BF3" w:rsidP="00F62762">
      <w:pPr>
        <w:spacing w:line="480" w:lineRule="auto"/>
        <w:rPr>
          <w:rFonts w:ascii="Times New Roman" w:hAnsi="Times New Roman"/>
          <w:color w:val="FF0000"/>
          <w:sz w:val="24"/>
          <w:szCs w:val="24"/>
        </w:rPr>
      </w:pPr>
      <w:r>
        <w:rPr>
          <w:rFonts w:ascii="Times New Roman" w:hAnsi="Times New Roman"/>
          <w:color w:val="FF0000"/>
          <w:sz w:val="24"/>
          <w:szCs w:val="24"/>
        </w:rPr>
        <w:t>The final objective that will be met in order to assist in answering the research question ‘what are the positive and negative effects of the role of counter-transference on the counsellor and possible implications within the therapeutic relationship?’ is to consider the application of the critiqued research. This will take the shape of recommendations in order to enhance the safety of all parties within the therapeutic alliance and to perhaps create comprehensive understanding of how this may be utilised beneficently within future practice. This will be taken into consideration, then culminating with the attempted introduction of s more understandable, universal definition based on the previous literature and recommendations.</w:t>
      </w:r>
    </w:p>
    <w:p w14:paraId="3841E102"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Hayes et al. (2018) conducted research into the effects that Counter-transference may have within the therapeutic relationship. They concluded that whilst merely reacting to instances of Counter-Transference may be potentially harmful within the therapeutic relationship, that management of these emotions could actually lead to more positive client outcomes.</w:t>
      </w:r>
    </w:p>
    <w:p w14:paraId="5261EAE8"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They proposed a number of guidelines in order to help therapists to minimise the impact of Counter-Transference which have been adapted for use within this piece of literature. These are:</w:t>
      </w:r>
    </w:p>
    <w:p w14:paraId="117DB6AD"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Ensuring that therapists work towards minimising acting out on feelings that may stem from instances of Counter-Transference.</w:t>
      </w:r>
    </w:p>
    <w:p w14:paraId="1ED5D002"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Taking steps to ensure that they try and discover all aspects of themselves as possible through self-insight, as it is often the unknown that can have a negative effect on the therapeutic relationship.</w:t>
      </w:r>
    </w:p>
    <w:p w14:paraId="0B99A94F"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Practising being able to look at themselves through an unbiased and honest lens. It is often the things that a therapist may choose not to face or to admit to that may become a hinderance to the support of others.</w:t>
      </w:r>
    </w:p>
    <w:p w14:paraId="2100E13E"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The therapist should adopt set boundaries with their clients.</w:t>
      </w:r>
    </w:p>
    <w:p w14:paraId="39CDBB13"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Therapists should place emphasis on maintaining their own mental well-being including effective use of one’s own therapy either continually as a maintenance tool or at very minimum when any symptom of any of the aforementioned topics such a Counter-Transference, Compassion Fatigue, Secondary Traumatic Stress, burnout, or Vicarious Trauma should present itself.</w:t>
      </w:r>
    </w:p>
    <w:p w14:paraId="248EA08B"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Rigorous and fully honest use of Supervision should be utilised. Honesty should be used on behalf of both therapist and Supervisor as both a maintenance tool and to potentially understand any instances of Counter-Transference should they arise as </w:t>
      </w:r>
      <w:r>
        <w:rPr>
          <w:rFonts w:ascii="Times New Roman" w:hAnsi="Times New Roman" w:cs="Times New Roman"/>
          <w:sz w:val="24"/>
          <w:szCs w:val="24"/>
        </w:rPr>
        <w:lastRenderedPageBreak/>
        <w:t>they can be a valuable tool in effective psychotherapy (Hayes, Gelso and Hummel, 2001).</w:t>
      </w:r>
    </w:p>
    <w:p w14:paraId="0EB1C9C5"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Away from the Supervisory relationship inner reflection must be utilised should any instances of Counter-Transference appear. Through self-reflection on where the Counter-Transference may have come from or how it has arisen, it can lead to a deeper understanding of the self as well as greater empathic understanding of what may be happening in the client’s own inner world (</w:t>
      </w:r>
      <w:r>
        <w:rPr>
          <w:rFonts w:ascii="Times New Roman" w:hAnsi="Times New Roman"/>
          <w:sz w:val="24"/>
          <w:szCs w:val="24"/>
        </w:rPr>
        <w:t>Dub</w:t>
      </w:r>
      <w:r>
        <w:rPr>
          <w:rFonts w:ascii="Times New Roman" w:hAnsi="Times New Roman" w:cs="Times New Roman"/>
          <w:sz w:val="24"/>
          <w:szCs w:val="24"/>
        </w:rPr>
        <w:t>é and Normandin, 2007).</w:t>
      </w:r>
    </w:p>
    <w:p w14:paraId="559632CD"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Particular attention must be paid to issues within the therapist that may create inner conflict which can take place through noticing areas of anxiety or frustration that may arise.</w:t>
      </w:r>
    </w:p>
    <w:p w14:paraId="7E27D110" w14:textId="77777777" w:rsidR="00BD1BF3" w:rsidRDefault="00BD1BF3" w:rsidP="00F6276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therapist should pay particular attention to their own self-care of which poor self-care can limit resources and one’s own ability to cope with what may be happening within the therapeutic relationship. This may inhibit the therapist’s ability to contain what may be happening for them which may lead to things such as Reactive Counter-Transference </w:t>
      </w:r>
      <w:r>
        <w:rPr>
          <w:rFonts w:ascii="Times New Roman" w:hAnsi="Times New Roman"/>
          <w:sz w:val="24"/>
          <w:szCs w:val="24"/>
        </w:rPr>
        <w:t>Dub</w:t>
      </w:r>
      <w:r>
        <w:rPr>
          <w:rFonts w:ascii="Times New Roman" w:hAnsi="Times New Roman" w:cs="Times New Roman"/>
          <w:sz w:val="24"/>
          <w:szCs w:val="24"/>
        </w:rPr>
        <w:t>é and Normandin (2007). This could also have a negative impact in the event of an external stimuli in which case the therapist may become overwhelmed by material that they may hear which in turn could progress into issues such as Vicarious Trauma (Babbel, 2012) or Compassion fatigue (BACP, 2017).</w:t>
      </w:r>
    </w:p>
    <w:p w14:paraId="588C56E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previously suggested by Baird and Kracen (2006), the potentially confusing nature in terms of the overlap between subjects such as Counter-Transference, Vicarious Trauma, Secondary Traumatic Stress, Compassion fatigue and Burnout could be potentially detrimental in terms of enabling therapists or in particular therapists who may be seen as more at risk from potentially gaining insight or direction to protect them from issues that may arise from instances such as these taking place within the therapeutic relationship.</w:t>
      </w:r>
    </w:p>
    <w:p w14:paraId="1AEF0B7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 xml:space="preserve">To help to make it easier to understand and more accessible, this piece of literature shall seek to amalgamate this information whilst being careful to protect against generalisation as much as possible. </w:t>
      </w:r>
    </w:p>
    <w:p w14:paraId="5F981133"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previously discussed in terms of how subjects such as Counter-transference, Vicarious Trauma, Secondary Traumatic Stress, Burnout and Compassion fatigue take place, it seems to stem from how the therapist may react to their relation towards something that may affect the therapeutic relationship versus their resources and ability to cope. The previous recommendations may help to increase resources available to other therapists as well as ways of mitigating against the potential of damaging instances of these arising and increasing the likelihood of more beneficial forms taking place instead.</w:t>
      </w:r>
    </w:p>
    <w:p w14:paraId="67D8AF1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In terms of the literature, this piece of research has further recommendations to put forward in order to make the topic area more understandable for those who may be seen to be at risk.</w:t>
      </w:r>
    </w:p>
    <w:p w14:paraId="7EC2C05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Based on the work of Normandin and Bouchard (1993, as cited in Lecours, Bouchard and Normandin, 1995) the CRS system has shown that it can be utilised as a way of mapping out different elements whilst also providing some degree of quantitative visibility. However, though it discusses theoretically what may happen as a result of the negative implications coming to fruition, there is very little in terms of real-world effects or symptomology.</w:t>
      </w:r>
    </w:p>
    <w:p w14:paraId="105A2E3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alluded to previously, the more symptomatic issues such as Compassion Fatigue, Vicarious Trauma and Burnout are very good at identification once negative symptomology has occurred despite their overlaps with the subject of Counter-Transference (Trippany, Kress and Wilcoxon, 2004).</w:t>
      </w:r>
    </w:p>
    <w:p w14:paraId="6EABAEA6"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What is proposed is the following to amalgamate what has been discussed. What is proposed is that issues regarding things that may elicit a reaction based on a therapist’s relationship with a presented stimulus will be referred to as Relational Reactivity.</w:t>
      </w:r>
    </w:p>
    <w:p w14:paraId="4B57F8C3"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This can take place in a number of ways and have numerously different outcomes. Exterior Relational Reactivity refers to the outside influences that may take away from a therapist’s own existing resources. This can be things such as tension in one’s personal life, workplace tension of conflicts that may occupy the therapist’s mind to the point symptoms such as anxiety, frustration, restlessness, hopelessness or a feeling of being overwhelmed may occur. Within the therapeutic setting this may manifest as lashing out, being unable to offer empathy, or being disinterested or distracted. The purpose for the introduction of this is as a noticeable precursor which can link Counter-Transference like symptoms with Burnout which can take place as a result of numerous external pressures exceeding capacity to cope. The hope is that by identifying a process before Burnout takes place, that it may enable deterrent from further potential harm.</w:t>
      </w:r>
    </w:p>
    <w:p w14:paraId="08EF1E65"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Therapist-Originated Relational Reactivity shares its counter-part with classical Counter-Transference. What is meant by this is that this is where topics may arise within the therapeutic relationship or the client’s own presence may present feelings or thoughts that may inhibit the therapeutic relationship on behalf of the therapist.</w:t>
      </w:r>
    </w:p>
    <w:p w14:paraId="586DBC1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These can trigger defence mechanisms similar to those seen with Vicarious Trauma such as Persistent Avoidance (which could take place in the therapeutic relationship through avoidance of emotions and over-reliance on theoretical methodology), Uncomfortable Re-Experiencing of the event, Increased Anxiety or Impairment of the therapist’s normal function either inside or outside of the therapeutic relationship. If the source of this Therapist-Originated Relational Reactivity is based in trauma, then it can lead to a re-traumatising of the event. </w:t>
      </w:r>
    </w:p>
    <w:p w14:paraId="04D5AF6D"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 final form of Relational Reactivity is Client-Originated Relational Reactivity. This takes place when the content of what the client/clients bring within the therapeutic relationship </w:t>
      </w:r>
      <w:r>
        <w:rPr>
          <w:rFonts w:ascii="Times New Roman" w:hAnsi="Times New Roman"/>
          <w:sz w:val="24"/>
          <w:szCs w:val="24"/>
        </w:rPr>
        <w:lastRenderedPageBreak/>
        <w:t xml:space="preserve">exceed the capacity of the therapist to cope. This can be in two different categories which are Acute and Chronic. </w:t>
      </w:r>
    </w:p>
    <w:p w14:paraId="14B79FBF"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Acute Client-Originated Relational Reactivity refers to instances when the content of a session may be too much for the therapist to cope with and they may be negatively impacted as a result. They may start to exhibit one of the previously mentioned defence mechanisms (Persistent Avoidance, Impairment, Uncomfortable Re-Experiencing of the event and increased Anxiety). If this is not dealt with through the aforementioned recommendations, then Acute Client-Originated Relational Reactivity has the potential to very quickly become Vicarious Trauma or Secondary Traumatic Stress.</w:t>
      </w:r>
    </w:p>
    <w:p w14:paraId="6378303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Chronic Client-Originated Relational Reactivity refers to a therapist’s resources being overwhelmed slowly, from numerous sources, over time. This can take the form of apathy, disinterest, difficulty to empathise, feeling helpless and feeling overwhelmed. If left unattended to, this can develop into Compassion Fatigue, in which one’s ability to empathise has been to an extent fully saturated. </w:t>
      </w:r>
    </w:p>
    <w:p w14:paraId="14DF6370"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That is not to say that these cannot be used in a positive way. Much like with the work proposed by Dubé and Normandin (2007), if the therapist notices these emotions and thoughts developing then with self-insight and support from things such as their own therapy and supervision, then they can be used to allow a deeper level of depth within their empathic understanding. </w:t>
      </w:r>
    </w:p>
    <w:p w14:paraId="58F679E8" w14:textId="77777777" w:rsidR="00BD1BF3" w:rsidRDefault="00BD1BF3" w:rsidP="00F62762">
      <w:pPr>
        <w:spacing w:line="480" w:lineRule="auto"/>
        <w:rPr>
          <w:rFonts w:ascii="Times New Roman" w:hAnsi="Times New Roman"/>
          <w:sz w:val="24"/>
          <w:szCs w:val="24"/>
        </w:rPr>
      </w:pPr>
      <w:r>
        <w:rPr>
          <w:rFonts w:ascii="Times New Roman" w:hAnsi="Times New Roman"/>
          <w:color w:val="FF0000"/>
          <w:sz w:val="24"/>
          <w:szCs w:val="24"/>
        </w:rPr>
        <w:t xml:space="preserve">In terms the proposed definitions, </w:t>
      </w:r>
      <w:r>
        <w:rPr>
          <w:rFonts w:ascii="Times New Roman" w:hAnsi="Times New Roman"/>
          <w:sz w:val="24"/>
          <w:szCs w:val="24"/>
        </w:rPr>
        <w:t xml:space="preserve">Therapist-Originated Relational Reactivity </w:t>
      </w:r>
      <w:r>
        <w:rPr>
          <w:rFonts w:ascii="Times New Roman" w:hAnsi="Times New Roman"/>
          <w:color w:val="FF0000"/>
          <w:sz w:val="24"/>
          <w:szCs w:val="24"/>
        </w:rPr>
        <w:t>can be used in such a way that</w:t>
      </w:r>
      <w:r>
        <w:rPr>
          <w:rFonts w:ascii="Times New Roman" w:hAnsi="Times New Roman"/>
          <w:sz w:val="24"/>
          <w:szCs w:val="24"/>
        </w:rPr>
        <w:t xml:space="preserve"> the therapist may be able to use their own experience to better understand what is going on inside themselves and develop these insights as a tool to supporting clients. Client-Originated Relational Reactivity can be used to empathise what a client may be experiencing without becoming overwhelmed by the trauma themselves.  External Relational </w:t>
      </w:r>
      <w:r>
        <w:rPr>
          <w:rFonts w:ascii="Times New Roman" w:hAnsi="Times New Roman"/>
          <w:sz w:val="24"/>
          <w:szCs w:val="24"/>
        </w:rPr>
        <w:lastRenderedPageBreak/>
        <w:t xml:space="preserve">Reactivity can also be used to understand when, how and why a limit may be approaching for the therapist and that changes need to be made before things such as Burnout can occur. </w:t>
      </w:r>
    </w:p>
    <w:p w14:paraId="02AF984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As the name suggests the reason for the introduction of this terminology is that a lot of problems can arise from how the therapist relates to potential stressors, however, with these recommendations and clearer effects as the result of its presence, the aim is to create the potential to give the therapist adequate resources and guidance in order to adjust how they react to such stimuli.</w:t>
      </w:r>
    </w:p>
    <w:p w14:paraId="25723503" w14:textId="29687DAC" w:rsidR="00BD1BF3" w:rsidRDefault="00BD1BF3" w:rsidP="00F62762">
      <w:pPr>
        <w:spacing w:line="480" w:lineRule="auto"/>
        <w:rPr>
          <w:rFonts w:ascii="Times New Roman" w:hAnsi="Times New Roman"/>
          <w:color w:val="FF0000"/>
          <w:sz w:val="24"/>
          <w:szCs w:val="24"/>
        </w:rPr>
      </w:pPr>
      <w:r>
        <w:rPr>
          <w:rFonts w:ascii="Times New Roman" w:hAnsi="Times New Roman"/>
          <w:sz w:val="24"/>
          <w:szCs w:val="24"/>
        </w:rPr>
        <w:t xml:space="preserve">This Chapter has evaluated the current information available on counter-transference, vicarious trauma, Secondary Traumatic Stress and Compassion Fatigue whilst identifying potential overlaps and areas for growth within the subject area. This chapter has also sought to use recommendations from the collated literature to propose areas for growth in terms of increasing safety within the field. </w:t>
      </w:r>
      <w:r>
        <w:rPr>
          <w:rFonts w:ascii="Times New Roman" w:hAnsi="Times New Roman"/>
          <w:color w:val="FF0000"/>
          <w:sz w:val="24"/>
          <w:szCs w:val="24"/>
        </w:rPr>
        <w:t>The next chapter will collate and evaluate what has been critically discussed within this piece of research and answer the research question ‘What are the positive and negative effects of the role of counter-transference on the counsellor and possible implications within the therapeutic relationship?’.</w:t>
      </w:r>
    </w:p>
    <w:p w14:paraId="28AA0834" w14:textId="1E0968C4" w:rsidR="00BD1BF3" w:rsidRDefault="00BD1BF3" w:rsidP="00F62762">
      <w:pPr>
        <w:spacing w:line="480" w:lineRule="auto"/>
        <w:rPr>
          <w:rFonts w:ascii="Times New Roman" w:hAnsi="Times New Roman"/>
          <w:color w:val="FF0000"/>
          <w:sz w:val="24"/>
          <w:szCs w:val="24"/>
        </w:rPr>
      </w:pPr>
    </w:p>
    <w:p w14:paraId="472B56F0" w14:textId="77777777" w:rsidR="00BD1BF3" w:rsidRDefault="00BD1BF3" w:rsidP="00F62762">
      <w:pPr>
        <w:spacing w:line="480" w:lineRule="auto"/>
        <w:jc w:val="center"/>
        <w:rPr>
          <w:rFonts w:ascii="Times New Roman" w:hAnsi="Times New Roman"/>
          <w:sz w:val="24"/>
          <w:szCs w:val="24"/>
        </w:rPr>
      </w:pPr>
      <w:r>
        <w:rPr>
          <w:rFonts w:ascii="Times New Roman" w:hAnsi="Times New Roman"/>
          <w:sz w:val="24"/>
          <w:szCs w:val="24"/>
        </w:rPr>
        <w:t>Conclusion</w:t>
      </w:r>
    </w:p>
    <w:p w14:paraId="64B3225C" w14:textId="77777777" w:rsidR="00BD1BF3" w:rsidRPr="00A148C7" w:rsidRDefault="00BD1BF3" w:rsidP="00F62762">
      <w:pPr>
        <w:spacing w:line="480" w:lineRule="auto"/>
        <w:rPr>
          <w:rFonts w:ascii="Times New Roman" w:hAnsi="Times New Roman"/>
          <w:sz w:val="24"/>
          <w:szCs w:val="24"/>
        </w:rPr>
      </w:pPr>
      <w:r w:rsidRPr="00A148C7">
        <w:rPr>
          <w:rFonts w:ascii="Times New Roman" w:hAnsi="Times New Roman"/>
          <w:sz w:val="24"/>
          <w:szCs w:val="24"/>
        </w:rPr>
        <w:t>Th</w:t>
      </w:r>
      <w:r>
        <w:rPr>
          <w:rFonts w:ascii="Times New Roman" w:hAnsi="Times New Roman"/>
          <w:sz w:val="24"/>
          <w:szCs w:val="24"/>
        </w:rPr>
        <w:t>is chapter</w:t>
      </w:r>
      <w:r w:rsidRPr="00A148C7">
        <w:rPr>
          <w:rFonts w:ascii="Times New Roman" w:hAnsi="Times New Roman"/>
          <w:sz w:val="24"/>
          <w:szCs w:val="24"/>
        </w:rPr>
        <w:t xml:space="preserve"> will collate and evaluate what has been critically discussed within this piece of research and answer the research question ‘What are the positive and negative effects of the role of </w:t>
      </w:r>
      <w:r>
        <w:rPr>
          <w:rFonts w:ascii="Times New Roman" w:hAnsi="Times New Roman"/>
          <w:sz w:val="24"/>
          <w:szCs w:val="24"/>
        </w:rPr>
        <w:t>C</w:t>
      </w:r>
      <w:r w:rsidRPr="00A148C7">
        <w:rPr>
          <w:rFonts w:ascii="Times New Roman" w:hAnsi="Times New Roman"/>
          <w:sz w:val="24"/>
          <w:szCs w:val="24"/>
        </w:rPr>
        <w:t>ounter-</w:t>
      </w:r>
      <w:r>
        <w:rPr>
          <w:rFonts w:ascii="Times New Roman" w:hAnsi="Times New Roman"/>
          <w:sz w:val="24"/>
          <w:szCs w:val="24"/>
        </w:rPr>
        <w:t>T</w:t>
      </w:r>
      <w:r w:rsidRPr="00A148C7">
        <w:rPr>
          <w:rFonts w:ascii="Times New Roman" w:hAnsi="Times New Roman"/>
          <w:sz w:val="24"/>
          <w:szCs w:val="24"/>
        </w:rPr>
        <w:t>ransference on the counsellor and possible implications within the therapeutic relationship?’.</w:t>
      </w:r>
    </w:p>
    <w:p w14:paraId="473A06D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In order to answer this question, four objectives were set in terms of investigation into the phenomena. </w:t>
      </w:r>
    </w:p>
    <w:p w14:paraId="1825B476" w14:textId="77777777" w:rsidR="00BD1BF3" w:rsidRDefault="00BD1BF3" w:rsidP="00F62762">
      <w:pPr>
        <w:spacing w:line="480" w:lineRule="auto"/>
        <w:rPr>
          <w:rFonts w:ascii="Times New Roman" w:hAnsi="Times New Roman"/>
          <w:sz w:val="24"/>
          <w:szCs w:val="24"/>
        </w:rPr>
      </w:pPr>
      <w:r w:rsidRPr="00B078EA">
        <w:rPr>
          <w:rFonts w:ascii="Times New Roman" w:hAnsi="Times New Roman"/>
          <w:sz w:val="24"/>
          <w:szCs w:val="24"/>
        </w:rPr>
        <w:t>Firstly,</w:t>
      </w:r>
      <w:r>
        <w:rPr>
          <w:rFonts w:ascii="Times New Roman" w:hAnsi="Times New Roman"/>
          <w:sz w:val="24"/>
          <w:szCs w:val="24"/>
        </w:rPr>
        <w:t xml:space="preserve"> was</w:t>
      </w:r>
      <w:r w:rsidRPr="00B078EA">
        <w:rPr>
          <w:rFonts w:ascii="Times New Roman" w:hAnsi="Times New Roman"/>
          <w:sz w:val="24"/>
          <w:szCs w:val="24"/>
        </w:rPr>
        <w:t xml:space="preserve"> to examine overlap within areas such as </w:t>
      </w:r>
      <w:r>
        <w:rPr>
          <w:rFonts w:ascii="Times New Roman" w:hAnsi="Times New Roman"/>
          <w:sz w:val="24"/>
          <w:szCs w:val="24"/>
        </w:rPr>
        <w:t>C</w:t>
      </w:r>
      <w:r w:rsidRPr="00B078EA">
        <w:rPr>
          <w:rFonts w:ascii="Times New Roman" w:hAnsi="Times New Roman"/>
          <w:sz w:val="24"/>
          <w:szCs w:val="24"/>
        </w:rPr>
        <w:t>ounter-</w:t>
      </w:r>
      <w:r>
        <w:rPr>
          <w:rFonts w:ascii="Times New Roman" w:hAnsi="Times New Roman"/>
          <w:sz w:val="24"/>
          <w:szCs w:val="24"/>
        </w:rPr>
        <w:t>T</w:t>
      </w:r>
      <w:r w:rsidRPr="00B078EA">
        <w:rPr>
          <w:rFonts w:ascii="Times New Roman" w:hAnsi="Times New Roman"/>
          <w:sz w:val="24"/>
          <w:szCs w:val="24"/>
        </w:rPr>
        <w:t xml:space="preserve">ransference, Secondary </w:t>
      </w:r>
      <w:r>
        <w:rPr>
          <w:rFonts w:ascii="Times New Roman" w:hAnsi="Times New Roman"/>
          <w:sz w:val="24"/>
          <w:szCs w:val="24"/>
        </w:rPr>
        <w:t>T</w:t>
      </w:r>
      <w:r w:rsidRPr="00B078EA">
        <w:rPr>
          <w:rFonts w:ascii="Times New Roman" w:hAnsi="Times New Roman"/>
          <w:sz w:val="24"/>
          <w:szCs w:val="24"/>
        </w:rPr>
        <w:t xml:space="preserve">raumatic </w:t>
      </w:r>
      <w:r>
        <w:rPr>
          <w:rFonts w:ascii="Times New Roman" w:hAnsi="Times New Roman"/>
          <w:sz w:val="24"/>
          <w:szCs w:val="24"/>
        </w:rPr>
        <w:t>S</w:t>
      </w:r>
      <w:r w:rsidRPr="00B078EA">
        <w:rPr>
          <w:rFonts w:ascii="Times New Roman" w:hAnsi="Times New Roman"/>
          <w:sz w:val="24"/>
          <w:szCs w:val="24"/>
        </w:rPr>
        <w:t xml:space="preserve">tress, </w:t>
      </w:r>
      <w:r>
        <w:rPr>
          <w:rFonts w:ascii="Times New Roman" w:hAnsi="Times New Roman"/>
          <w:sz w:val="24"/>
          <w:szCs w:val="24"/>
        </w:rPr>
        <w:t>V</w:t>
      </w:r>
      <w:r w:rsidRPr="00B078EA">
        <w:rPr>
          <w:rFonts w:ascii="Times New Roman" w:hAnsi="Times New Roman"/>
          <w:sz w:val="24"/>
          <w:szCs w:val="24"/>
        </w:rPr>
        <w:t xml:space="preserve">icarious </w:t>
      </w:r>
      <w:r>
        <w:rPr>
          <w:rFonts w:ascii="Times New Roman" w:hAnsi="Times New Roman"/>
          <w:sz w:val="24"/>
          <w:szCs w:val="24"/>
        </w:rPr>
        <w:t>T</w:t>
      </w:r>
      <w:r w:rsidRPr="00B078EA">
        <w:rPr>
          <w:rFonts w:ascii="Times New Roman" w:hAnsi="Times New Roman"/>
          <w:sz w:val="24"/>
          <w:szCs w:val="24"/>
        </w:rPr>
        <w:t>rauma</w:t>
      </w:r>
      <w:r>
        <w:rPr>
          <w:rFonts w:ascii="Times New Roman" w:hAnsi="Times New Roman"/>
          <w:sz w:val="24"/>
          <w:szCs w:val="24"/>
        </w:rPr>
        <w:t>, Burnout</w:t>
      </w:r>
      <w:r w:rsidRPr="00B078EA">
        <w:rPr>
          <w:rFonts w:ascii="Times New Roman" w:hAnsi="Times New Roman"/>
          <w:sz w:val="24"/>
          <w:szCs w:val="24"/>
        </w:rPr>
        <w:t xml:space="preserve"> and </w:t>
      </w:r>
      <w:r>
        <w:rPr>
          <w:rFonts w:ascii="Times New Roman" w:hAnsi="Times New Roman"/>
          <w:sz w:val="24"/>
          <w:szCs w:val="24"/>
        </w:rPr>
        <w:t>C</w:t>
      </w:r>
      <w:r w:rsidRPr="00B078EA">
        <w:rPr>
          <w:rFonts w:ascii="Times New Roman" w:hAnsi="Times New Roman"/>
          <w:sz w:val="24"/>
          <w:szCs w:val="24"/>
        </w:rPr>
        <w:t xml:space="preserve">ompassion </w:t>
      </w:r>
      <w:r>
        <w:rPr>
          <w:rFonts w:ascii="Times New Roman" w:hAnsi="Times New Roman"/>
          <w:sz w:val="24"/>
          <w:szCs w:val="24"/>
        </w:rPr>
        <w:t>F</w:t>
      </w:r>
      <w:r w:rsidRPr="00B078EA">
        <w:rPr>
          <w:rFonts w:ascii="Times New Roman" w:hAnsi="Times New Roman"/>
          <w:sz w:val="24"/>
          <w:szCs w:val="24"/>
        </w:rPr>
        <w:t xml:space="preserve">atigue to create a more </w:t>
      </w:r>
      <w:r w:rsidRPr="00B078EA">
        <w:rPr>
          <w:rFonts w:ascii="Times New Roman" w:hAnsi="Times New Roman"/>
          <w:sz w:val="24"/>
          <w:szCs w:val="24"/>
        </w:rPr>
        <w:lastRenderedPageBreak/>
        <w:t>understandable and universal definition of the negative effects associated with their presence within the therapeutic alliance.</w:t>
      </w:r>
      <w:r>
        <w:rPr>
          <w:rFonts w:ascii="Times New Roman" w:hAnsi="Times New Roman"/>
          <w:sz w:val="24"/>
          <w:szCs w:val="24"/>
        </w:rPr>
        <w:t xml:space="preserve"> What was found was that there were many areas of overlap between Vicarious Trauma, Compassion Fatigue, Secondary Traumatic Stress, Burnout and Counter-Transference. Utilising a critiqued version of the four principles of Foucauldian discourse analysis as put forward by Hook (2001), the initial finding was that despite having very different names with no explicably defined relationships, it appears that there were in fact many similarities between these subject matters. The predominant characteristic found upon examination of these phenomenon was that they seemed to originate from how the therapist may relate with a certain stimuli that takes away from their available resources left to cope and handle what is happening within the therapeutic relationship efficiently and effectively. This effectively meant that they were left unable manage with what was happening within the therapeutic relationship which left it very open for potentially negative issues such as Counter-Transference, Vicarious Trauma, Secondary Traumatic Stress, Compassion Fatigue and Burnout to occur. </w:t>
      </w:r>
    </w:p>
    <w:p w14:paraId="7988CF7B"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A major difference was suggested to be how these issues arose. For example, Compassion Fatigue is very accumulative in nature (Babbel, 2012) whereas Vicarious Trauma can be an instantaneous event (Trippany, Kress and Wilcoxon, 2004). Others may be described as being a theoretical phenomenon such as Counter-Transference (Ensink et al. 2013) whereas others may be based more within their physical or mental symptomology Burnout (ACA, 2017). </w:t>
      </w:r>
    </w:p>
    <w:p w14:paraId="108C9FDE"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There were found to be many overlaps between the aforementioned subjects with some even sharing history such as Secondary Traumatic Stress being a more specified term emanating from clients that used to be described with having suffered Burnout (Baird and Kracen, 2006). However, all of these subjects were found to stem from an instant or prolonged exposure to taxing stimuli (predominantly from within the therapeutic setting) and Counter-Transference seemed to offer the most theoretical notion as to why or how. Counter-</w:t>
      </w:r>
      <w:r>
        <w:rPr>
          <w:rFonts w:ascii="Times New Roman" w:hAnsi="Times New Roman"/>
          <w:sz w:val="24"/>
          <w:szCs w:val="24"/>
        </w:rPr>
        <w:lastRenderedPageBreak/>
        <w:t>Transference was also found to be the only subject that offered both positive and negative outcomes based on management (Hayes, Gelso and Hummel, 2010) despite the areas of overlap between subjects.</w:t>
      </w:r>
    </w:p>
    <w:p w14:paraId="7DDDB6A0"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 second objective put forward to help to answer the research question </w:t>
      </w:r>
      <w:r w:rsidRPr="00497B6C">
        <w:rPr>
          <w:rFonts w:ascii="Times New Roman" w:hAnsi="Times New Roman"/>
          <w:sz w:val="24"/>
          <w:szCs w:val="24"/>
        </w:rPr>
        <w:t>w</w:t>
      </w:r>
      <w:r>
        <w:rPr>
          <w:rFonts w:ascii="Times New Roman" w:hAnsi="Times New Roman"/>
          <w:sz w:val="24"/>
          <w:szCs w:val="24"/>
        </w:rPr>
        <w:t>as</w:t>
      </w:r>
      <w:r w:rsidRPr="00497B6C">
        <w:rPr>
          <w:rFonts w:ascii="Times New Roman" w:hAnsi="Times New Roman"/>
          <w:sz w:val="24"/>
          <w:szCs w:val="24"/>
        </w:rPr>
        <w:t xml:space="preserve"> to critically evaluate the positive and negative factors associated with the presence of Counter-Transference within the therapeutic alliance.</w:t>
      </w:r>
      <w:r>
        <w:rPr>
          <w:rFonts w:ascii="Times New Roman" w:hAnsi="Times New Roman"/>
          <w:sz w:val="24"/>
          <w:szCs w:val="24"/>
        </w:rPr>
        <w:t xml:space="preserve"> It is important to point out that this is a contested area in terms of the various explanations of the phenomena of Counter-Transference and as such a decision was made to choose one that seemed more explanatory of the various impacts this can have in the therapeutic relationship in keeping with the </w:t>
      </w:r>
    </w:p>
    <w:p w14:paraId="3DB4140F"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Hayes, Gelso and Hummel (2001) argue that through managed reflection, Counter-Transference can be beneficial to the development of the therapist and therefore to the therapeutic relationship itself. Whilst noting that Counter-Transference can be positive, there were also found to be different types with different characteristics. </w:t>
      </w:r>
    </w:p>
    <w:p w14:paraId="407247B6"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Within Rational/Objective Counter-Transference a proposed positive is that focusing on the framework rather than becoming too emotionally involved in the activity within the therapeutic relationship can mean that the therapist is helped to distance away from emotionally charged language which can be detrimental to the therapeutic relationship (Lecours and Normandin, 1995). However, it was also suggested that in this way the therapist is noting what is happening in front of themselves rather than taking part as part of the dynamic and instead may utilise things such as generalisation or diagnosis (Dubé and Normandin, 2007).</w:t>
      </w:r>
    </w:p>
    <w:p w14:paraId="7B35D6CC" w14:textId="77777777" w:rsidR="00BD1BF3" w:rsidRDefault="00BD1BF3" w:rsidP="00F62762">
      <w:pPr>
        <w:spacing w:line="480" w:lineRule="auto"/>
        <w:rPr>
          <w:rFonts w:ascii="Times New Roman" w:hAnsi="Times New Roman"/>
          <w:sz w:val="24"/>
          <w:szCs w:val="24"/>
        </w:rPr>
      </w:pPr>
      <w:r w:rsidRPr="003A4C5B">
        <w:rPr>
          <w:rFonts w:ascii="Times New Roman" w:hAnsi="Times New Roman"/>
          <w:sz w:val="24"/>
          <w:szCs w:val="24"/>
        </w:rPr>
        <w:t>Dubé and Normandin (2007)</w:t>
      </w:r>
      <w:r>
        <w:rPr>
          <w:rFonts w:ascii="Times New Roman" w:hAnsi="Times New Roman"/>
          <w:sz w:val="24"/>
          <w:szCs w:val="24"/>
        </w:rPr>
        <w:t xml:space="preserve"> propose that Reactional Counter-Transference can be dyadic merely in its nature. They argue that an </w:t>
      </w:r>
      <w:r w:rsidRPr="003A4C5B">
        <w:rPr>
          <w:rFonts w:ascii="Times New Roman" w:hAnsi="Times New Roman"/>
          <w:sz w:val="24"/>
          <w:szCs w:val="24"/>
        </w:rPr>
        <w:t>activation within the therapist of mature defensive processes and impulses</w:t>
      </w:r>
      <w:r>
        <w:rPr>
          <w:rFonts w:ascii="Times New Roman" w:hAnsi="Times New Roman"/>
          <w:sz w:val="24"/>
          <w:szCs w:val="24"/>
        </w:rPr>
        <w:t xml:space="preserve"> </w:t>
      </w:r>
      <w:r w:rsidRPr="003A4C5B">
        <w:rPr>
          <w:rFonts w:ascii="Times New Roman" w:hAnsi="Times New Roman"/>
          <w:sz w:val="24"/>
          <w:szCs w:val="24"/>
        </w:rPr>
        <w:t xml:space="preserve">can take place through regression or intellectualising. This may not be ideal within the therapeutic relationship; however, it could mean that the therapist is aware </w:t>
      </w:r>
      <w:r w:rsidRPr="003A4C5B">
        <w:rPr>
          <w:rFonts w:ascii="Times New Roman" w:hAnsi="Times New Roman"/>
          <w:sz w:val="24"/>
          <w:szCs w:val="24"/>
        </w:rPr>
        <w:lastRenderedPageBreak/>
        <w:t>of its presence and able to adapt and reflect accordingly</w:t>
      </w:r>
      <w:r>
        <w:rPr>
          <w:rFonts w:ascii="Times New Roman" w:hAnsi="Times New Roman"/>
          <w:sz w:val="24"/>
          <w:szCs w:val="24"/>
        </w:rPr>
        <w:t xml:space="preserve"> and therefore may have a positive impact on the therapeutic relationship</w:t>
      </w:r>
      <w:r w:rsidRPr="003A4C5B">
        <w:rPr>
          <w:rFonts w:ascii="Times New Roman" w:hAnsi="Times New Roman"/>
          <w:sz w:val="24"/>
          <w:szCs w:val="24"/>
        </w:rPr>
        <w:t>.</w:t>
      </w:r>
      <w:r>
        <w:rPr>
          <w:rFonts w:ascii="Times New Roman" w:hAnsi="Times New Roman"/>
          <w:sz w:val="24"/>
          <w:szCs w:val="24"/>
        </w:rPr>
        <w:t xml:space="preserve"> However, if this does not take place then there could be the presentation of </w:t>
      </w:r>
      <w:r w:rsidRPr="003A4C5B">
        <w:rPr>
          <w:rFonts w:ascii="Times New Roman" w:hAnsi="Times New Roman"/>
          <w:sz w:val="24"/>
          <w:szCs w:val="24"/>
        </w:rPr>
        <w:t>a more regressive and primitive impulse. This may take place in ways such as acting out against the client, denial or even omnipotence</w:t>
      </w:r>
      <w:r>
        <w:rPr>
          <w:rFonts w:ascii="Times New Roman" w:hAnsi="Times New Roman"/>
          <w:sz w:val="24"/>
          <w:szCs w:val="24"/>
        </w:rPr>
        <w:t xml:space="preserve"> which can lead to conflict within the therapeutic relationship or potential harm being experienced on behalf of client or therapist. Ensink et al. (2013) describe this as a high-risk and potentially high-gain form of Counter-Transference.</w:t>
      </w:r>
    </w:p>
    <w:p w14:paraId="5B7E4D77"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Dubé and Normandin (2007) suggest reflective Counter-Transference can be positive in that it allows richer understanding of the client’s inner world if the therapist is able to adapt to the stimuli and adapt accordingly. Lecours and Normandin (1995) support this notion by proposing that effective use of this form of Counter-Transference enables the therapist to be subjectively invested whilst being able to control and elaborate their own emotional responses. However, with the use of reflection consuming the therapist’s available resources there is also the chance of a negative consequence through possibly something vital happening within the therapeutic relationship at that time being missed (Ensink et al. 2013).</w:t>
      </w:r>
    </w:p>
    <w:p w14:paraId="176EA3BA"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It was found that the role of Counter-Transference within the therapeutic relationship can be that can be both inhibitory or in some cases a very valuable tool in terms of promoting professional growth (Dubé and Normandin, 2007). </w:t>
      </w:r>
    </w:p>
    <w:p w14:paraId="0A8BD3B7" w14:textId="77777777" w:rsidR="00BD1BF3" w:rsidRDefault="00BD1BF3" w:rsidP="00F62762">
      <w:pPr>
        <w:spacing w:line="480" w:lineRule="auto"/>
        <w:rPr>
          <w:rFonts w:ascii="Times New Roman" w:hAnsi="Times New Roman"/>
          <w:sz w:val="24"/>
          <w:szCs w:val="24"/>
        </w:rPr>
      </w:pPr>
      <w:r w:rsidRPr="001D6715">
        <w:rPr>
          <w:rFonts w:ascii="Times New Roman" w:hAnsi="Times New Roman"/>
          <w:sz w:val="24"/>
          <w:szCs w:val="24"/>
        </w:rPr>
        <w:t xml:space="preserve">The third objective </w:t>
      </w:r>
      <w:r>
        <w:rPr>
          <w:rFonts w:ascii="Times New Roman" w:hAnsi="Times New Roman"/>
          <w:sz w:val="24"/>
          <w:szCs w:val="24"/>
        </w:rPr>
        <w:t>was</w:t>
      </w:r>
      <w:r w:rsidRPr="001D6715">
        <w:rPr>
          <w:rFonts w:ascii="Times New Roman" w:hAnsi="Times New Roman"/>
          <w:sz w:val="24"/>
          <w:szCs w:val="24"/>
        </w:rPr>
        <w:t xml:space="preserve"> to highlight potential at risk groups that may be negatively affected by the subject.</w:t>
      </w:r>
      <w:r>
        <w:rPr>
          <w:rFonts w:ascii="Times New Roman" w:hAnsi="Times New Roman"/>
          <w:sz w:val="24"/>
          <w:szCs w:val="24"/>
        </w:rPr>
        <w:t xml:space="preserve"> Therapists were found to be at varying degrees of risk but particularly when working with empathically intense subjects such as trauma. Pearlman and Mac Ian (1995, as cited in Canfield, 2005) reported that 62 percent of therapists in their study that were working with trauma displayed PTSD-like symptoms. </w:t>
      </w:r>
    </w:p>
    <w:p w14:paraId="3145CF5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 work of Baird and Kracen (2006) suggested that without more accessible information on the subject that more therapists were at risk whilst Neumann and Gamble (1995) reported that </w:t>
      </w:r>
      <w:r>
        <w:rPr>
          <w:rFonts w:ascii="Times New Roman" w:hAnsi="Times New Roman"/>
          <w:sz w:val="24"/>
          <w:szCs w:val="24"/>
        </w:rPr>
        <w:lastRenderedPageBreak/>
        <w:t>newly qualified therapists could be a potential at-risk group as they were more likely to report symptoms such as anxiety and depression than their more experienced counterparts.</w:t>
      </w:r>
    </w:p>
    <w:p w14:paraId="5E306831" w14:textId="14AF70EB"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These issues were found to be more complex than initially theorised and thus it is difficult to make generalisations as although every type of Counter-Transference recorded has </w:t>
      </w:r>
      <w:r>
        <w:rPr>
          <w:rFonts w:ascii="Times New Roman" w:hAnsi="Times New Roman"/>
          <w:sz w:val="24"/>
          <w:szCs w:val="24"/>
        </w:rPr>
        <w:t>its</w:t>
      </w:r>
      <w:r>
        <w:rPr>
          <w:rFonts w:ascii="Times New Roman" w:hAnsi="Times New Roman"/>
          <w:sz w:val="24"/>
          <w:szCs w:val="24"/>
        </w:rPr>
        <w:t xml:space="preserve"> own positive and negative effects, the type of Counter-Transference presented could have increased likelihoods even depending on variables such as gender and experience (Lecours, Bouchard and Normandin, 1995).</w:t>
      </w:r>
    </w:p>
    <w:p w14:paraId="0219F7FF"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Gordon et al. (2016) conducted research into Counter-Transference across different modalities on the perspectives of Counter-Transference and the effects it can have on varying therapists. They proposed that there was not enough training within their studied population on the effects of Counter-Transference or how to manage the appearance of such. They proposed that more needed to be done in terms of further training to raise awareness on the issue of Counter-Transference as well as increasing knowledge around management of the phenomena if it arose. </w:t>
      </w:r>
    </w:p>
    <w:p w14:paraId="394B9D19" w14:textId="77777777" w:rsidR="00BD1BF3" w:rsidRDefault="00BD1BF3" w:rsidP="00F62762">
      <w:pPr>
        <w:spacing w:line="480" w:lineRule="auto"/>
        <w:rPr>
          <w:rFonts w:ascii="Times New Roman" w:hAnsi="Times New Roman"/>
          <w:sz w:val="24"/>
          <w:szCs w:val="24"/>
        </w:rPr>
      </w:pPr>
      <w:r w:rsidRPr="00373D40">
        <w:rPr>
          <w:rFonts w:ascii="Times New Roman" w:hAnsi="Times New Roman"/>
          <w:sz w:val="24"/>
          <w:szCs w:val="24"/>
        </w:rPr>
        <w:t xml:space="preserve">The final objective </w:t>
      </w:r>
      <w:r>
        <w:rPr>
          <w:rFonts w:ascii="Times New Roman" w:hAnsi="Times New Roman"/>
          <w:sz w:val="24"/>
          <w:szCs w:val="24"/>
        </w:rPr>
        <w:t xml:space="preserve">was </w:t>
      </w:r>
      <w:r w:rsidRPr="00373D40">
        <w:rPr>
          <w:rFonts w:ascii="Times New Roman" w:hAnsi="Times New Roman"/>
          <w:sz w:val="24"/>
          <w:szCs w:val="24"/>
        </w:rPr>
        <w:t>to consider the application of the critiqued research. This t</w:t>
      </w:r>
      <w:r>
        <w:rPr>
          <w:rFonts w:ascii="Times New Roman" w:hAnsi="Times New Roman"/>
          <w:sz w:val="24"/>
          <w:szCs w:val="24"/>
        </w:rPr>
        <w:t>ook</w:t>
      </w:r>
      <w:r w:rsidRPr="00373D40">
        <w:rPr>
          <w:rFonts w:ascii="Times New Roman" w:hAnsi="Times New Roman"/>
          <w:sz w:val="24"/>
          <w:szCs w:val="24"/>
        </w:rPr>
        <w:t xml:space="preserve"> </w:t>
      </w:r>
      <w:r>
        <w:rPr>
          <w:rFonts w:ascii="Times New Roman" w:hAnsi="Times New Roman"/>
          <w:sz w:val="24"/>
          <w:szCs w:val="24"/>
        </w:rPr>
        <w:t xml:space="preserve">place through </w:t>
      </w:r>
      <w:r w:rsidRPr="00373D40">
        <w:rPr>
          <w:rFonts w:ascii="Times New Roman" w:hAnsi="Times New Roman"/>
          <w:sz w:val="24"/>
          <w:szCs w:val="24"/>
        </w:rPr>
        <w:t xml:space="preserve">recommendations in order to enhance the safety of all parties within the therapeutic alliance </w:t>
      </w:r>
      <w:r>
        <w:rPr>
          <w:rFonts w:ascii="Times New Roman" w:hAnsi="Times New Roman"/>
          <w:sz w:val="24"/>
          <w:szCs w:val="24"/>
        </w:rPr>
        <w:t>whilst aiming to</w:t>
      </w:r>
      <w:r w:rsidRPr="00373D40">
        <w:rPr>
          <w:rFonts w:ascii="Times New Roman" w:hAnsi="Times New Roman"/>
          <w:sz w:val="24"/>
          <w:szCs w:val="24"/>
        </w:rPr>
        <w:t xml:space="preserve"> create </w:t>
      </w:r>
      <w:r>
        <w:rPr>
          <w:rFonts w:ascii="Times New Roman" w:hAnsi="Times New Roman"/>
          <w:sz w:val="24"/>
          <w:szCs w:val="24"/>
        </w:rPr>
        <w:t xml:space="preserve">a </w:t>
      </w:r>
      <w:r w:rsidRPr="00373D40">
        <w:rPr>
          <w:rFonts w:ascii="Times New Roman" w:hAnsi="Times New Roman"/>
          <w:sz w:val="24"/>
          <w:szCs w:val="24"/>
        </w:rPr>
        <w:t>comprehensive understanding of how this may be utilised beneficently within future practice.</w:t>
      </w:r>
    </w:p>
    <w:p w14:paraId="24D6890D"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Hayes et al. (2018) suggested that whilst merely reacting to instances of Counter-Transference may be potentially harmful within the therapeutic relationship, that management of these emotions could actually lead to more positive client outcomes.</w:t>
      </w:r>
    </w:p>
    <w:p w14:paraId="55546E58"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In the interest of promoting safety within the therapeutic relationship for both therapist and client, Hayes et al. (2018) proposed guidelines which have been adapted to incorporate the overlapping issues within the field of psychotherapy that have been discussed within this piece of research. These are:</w:t>
      </w:r>
    </w:p>
    <w:p w14:paraId="231A0FC5"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Ensuring that therapists work towards minimising acting out on feelings that may stem from instances of Counter-Transference.</w:t>
      </w:r>
    </w:p>
    <w:p w14:paraId="39DBBE53"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Taking steps to ensure that they try and discover all aspects of themselves as possible through self-insight, as it is often the unknown that can have a negative effect on the therapeutic relationship.</w:t>
      </w:r>
    </w:p>
    <w:p w14:paraId="3E21541D"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Practising being able to look at themselves through an unbiased and honest lens. It is often the things that a therapist may choose not to face or to admit to that may become a hinderance to the support of others.</w:t>
      </w:r>
    </w:p>
    <w:p w14:paraId="1FA4ADD6"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The therapist should adopt set boundaries with their clients.</w:t>
      </w:r>
    </w:p>
    <w:p w14:paraId="0BADA14B"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Therapists should place emphasis on maintaining their own mental well-being including effective use of one’s own therapy either continually as a maintenance tool or at very minimum when any symptom of any of the aforementioned topics such as Counter-Transference, Compassion Fatigue, Secondary Traumatic Stress, burnout, or Vicarious Trauma should present itself.</w:t>
      </w:r>
    </w:p>
    <w:p w14:paraId="1F1176B7"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Rigorous and fully honest use of Supervision should be utilised. Honesty should be used on behalf of both therapist and Supervisor as both a maintenance tool and to potentially understand any instances of Counter-Transference should they arise.</w:t>
      </w:r>
    </w:p>
    <w:p w14:paraId="7C04145B"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Away from the Supervisory relationship inner reflection must be utilised should any instances of Counter-Transference appear. </w:t>
      </w:r>
    </w:p>
    <w:p w14:paraId="438DEB02"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Particular attention must be paid to issues within the therapist that may create inner conflict which can take place through noticing areas of anxiety or frustration that may arise.</w:t>
      </w:r>
    </w:p>
    <w:p w14:paraId="367D809F" w14:textId="77777777" w:rsidR="00BD1BF3" w:rsidRDefault="00BD1BF3" w:rsidP="00F62762">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therapist should pay particular attention to their own self-care of which poor self-care can limit resources and one’s own ability to cope with what may be happening within the therapeutic relationship. </w:t>
      </w:r>
    </w:p>
    <w:p w14:paraId="07BC25E3"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lastRenderedPageBreak/>
        <w:t>The aim of promoting these guidelines is to help to inform others of areas that could be utilised in order to create clarity and dispel confusion when areas of Counter-Transference may arise within the therapeutic relationship.</w:t>
      </w:r>
    </w:p>
    <w:p w14:paraId="58062BF0"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To answer the research question of </w:t>
      </w:r>
      <w:r w:rsidRPr="00B078EA">
        <w:rPr>
          <w:rFonts w:ascii="Times New Roman" w:hAnsi="Times New Roman"/>
          <w:sz w:val="24"/>
          <w:szCs w:val="24"/>
        </w:rPr>
        <w:t xml:space="preserve">‘What are the positive and negative effects of the role of </w:t>
      </w:r>
      <w:r>
        <w:rPr>
          <w:rFonts w:ascii="Times New Roman" w:hAnsi="Times New Roman"/>
          <w:sz w:val="24"/>
          <w:szCs w:val="24"/>
        </w:rPr>
        <w:t>C</w:t>
      </w:r>
      <w:r w:rsidRPr="00B078EA">
        <w:rPr>
          <w:rFonts w:ascii="Times New Roman" w:hAnsi="Times New Roman"/>
          <w:sz w:val="24"/>
          <w:szCs w:val="24"/>
        </w:rPr>
        <w:t>ounter-</w:t>
      </w:r>
      <w:r>
        <w:rPr>
          <w:rFonts w:ascii="Times New Roman" w:hAnsi="Times New Roman"/>
          <w:sz w:val="24"/>
          <w:szCs w:val="24"/>
        </w:rPr>
        <w:t>T</w:t>
      </w:r>
      <w:r w:rsidRPr="00B078EA">
        <w:rPr>
          <w:rFonts w:ascii="Times New Roman" w:hAnsi="Times New Roman"/>
          <w:sz w:val="24"/>
          <w:szCs w:val="24"/>
        </w:rPr>
        <w:t>ransference on the counsellor and possible implications within the therapeutic relationship?’</w:t>
      </w:r>
      <w:r>
        <w:rPr>
          <w:rFonts w:ascii="Times New Roman" w:hAnsi="Times New Roman"/>
          <w:sz w:val="24"/>
          <w:szCs w:val="24"/>
        </w:rPr>
        <w:t>. The answer to the question is there a multitude of effects that the effects of Counter-Transference can have within the therapeutic relationship.</w:t>
      </w:r>
    </w:p>
    <w:p w14:paraId="7FD0720C"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They can be negative and acute in onset such as with the development of issues such as Vicarious Trauma (Trippany, Kress and Wilcoxon, 2004). They can also be negative and have a more accumulative, chronic onset such as in the instance of Compassion Fatigue (Babbel, 2012). These negative effects can have damaging implications on client outcome and the therapeutic relationship (Dubé and Normandin, 2007)</w:t>
      </w:r>
    </w:p>
    <w:p w14:paraId="7AB42AB8"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However, they can also be positive regardless how they may initially manifest (Ensink et al. 2013). It is about how these issues are managed and the resources and support that are in place which can lead to positive effects on the therapeutic relationship (Staples, 2014) and positive client outcomes (Hayes et al. 2018).</w:t>
      </w:r>
    </w:p>
    <w:p w14:paraId="6CD7D87E"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There are however limitations to this piece of research to be mindful of. As Hook (2001) suggests it is important to be mindful that the role of perception is key. The sources used when researching may be viewed differently by others. Another limitation is that the concept of Counter-Transference is unquantifiable. It is a theoretical and at times unconscious phenomenon and as such difficult to both generalise (Ensink et al. 2013) and to actively gauge (Lecours, Bouchard and Normandin, 1995).</w:t>
      </w:r>
    </w:p>
    <w:p w14:paraId="2F993929" w14:textId="77777777" w:rsidR="00BD1BF3" w:rsidRDefault="00BD1BF3" w:rsidP="00F62762">
      <w:pPr>
        <w:spacing w:line="480" w:lineRule="auto"/>
        <w:rPr>
          <w:rFonts w:ascii="Times New Roman" w:hAnsi="Times New Roman"/>
          <w:sz w:val="24"/>
          <w:szCs w:val="24"/>
        </w:rPr>
      </w:pPr>
      <w:r>
        <w:rPr>
          <w:rFonts w:ascii="Times New Roman" w:hAnsi="Times New Roman"/>
          <w:sz w:val="24"/>
          <w:szCs w:val="24"/>
        </w:rPr>
        <w:t xml:space="preserve">Baird and Kracen (2006) proposed that there was much confusion surrounding the topic of Counter-Transference which could potentially put therapists at risk. This was further supported by Gordon et al. (2016) who suggested that further training and awareness was </w:t>
      </w:r>
      <w:r>
        <w:rPr>
          <w:rFonts w:ascii="Times New Roman" w:hAnsi="Times New Roman"/>
          <w:sz w:val="24"/>
          <w:szCs w:val="24"/>
        </w:rPr>
        <w:lastRenderedPageBreak/>
        <w:t>needed within this area of the field. It is suggested that through the guidelines proposed within this research and with the underpinning of the proposed new definition of this phenomena put forward within this study, that this may serve to be an area of information in regards not just to what these issues are but how they happen and how they may potentially be explained to interconnect. The aim in terms of advancing the current knowledge within the field is that this serves to simplify a very saturated area of literature in order to support therapists and help to ensure that clients can receive better outcomes whilst keeping the client and therapist safe from the potentially negative and damaging issues raised within this research.</w:t>
      </w:r>
    </w:p>
    <w:p w14:paraId="24329637" w14:textId="142C5F78" w:rsidR="00BD1BF3" w:rsidRDefault="00BD1BF3" w:rsidP="00F62762">
      <w:pPr>
        <w:spacing w:line="480" w:lineRule="auto"/>
        <w:rPr>
          <w:rFonts w:ascii="Times New Roman" w:hAnsi="Times New Roman"/>
          <w:sz w:val="24"/>
          <w:szCs w:val="24"/>
        </w:rPr>
      </w:pPr>
      <w:r>
        <w:rPr>
          <w:rFonts w:ascii="Times New Roman" w:hAnsi="Times New Roman"/>
          <w:sz w:val="24"/>
          <w:szCs w:val="24"/>
        </w:rPr>
        <w:t>Areas for future research will be suggested to be to investigate how this new terminology might be utilised within the therapeutic field if at all. It will also to be to encourage further clarification and an increase across this contested and potentially dangerous issue to ensure the best likelihood of positive outcomes and safety for all parties, particularly across the aforementioned at-risk groups.</w:t>
      </w:r>
    </w:p>
    <w:p w14:paraId="05572B7B" w14:textId="7C2BB997" w:rsidR="00F62762" w:rsidRDefault="00F62762" w:rsidP="00F62762">
      <w:pPr>
        <w:spacing w:line="480" w:lineRule="auto"/>
        <w:rPr>
          <w:rFonts w:ascii="Times New Roman" w:hAnsi="Times New Roman"/>
          <w:sz w:val="24"/>
          <w:szCs w:val="24"/>
        </w:rPr>
      </w:pPr>
    </w:p>
    <w:p w14:paraId="347BC0A1" w14:textId="0A99B430" w:rsidR="00F62762" w:rsidRDefault="00F62762" w:rsidP="00F62762">
      <w:pPr>
        <w:spacing w:line="480" w:lineRule="auto"/>
        <w:rPr>
          <w:rFonts w:ascii="Times New Roman" w:hAnsi="Times New Roman"/>
          <w:sz w:val="24"/>
          <w:szCs w:val="24"/>
        </w:rPr>
      </w:pPr>
    </w:p>
    <w:p w14:paraId="45A244CB" w14:textId="7D35F1CA" w:rsidR="00F62762" w:rsidRDefault="00F62762" w:rsidP="00F62762">
      <w:pPr>
        <w:spacing w:line="480" w:lineRule="auto"/>
        <w:rPr>
          <w:rFonts w:ascii="Times New Roman" w:hAnsi="Times New Roman"/>
          <w:sz w:val="24"/>
          <w:szCs w:val="24"/>
        </w:rPr>
      </w:pPr>
    </w:p>
    <w:p w14:paraId="1989CE9E" w14:textId="56C83D2B" w:rsidR="00F62762" w:rsidRDefault="00F62762" w:rsidP="00F62762">
      <w:pPr>
        <w:spacing w:line="480" w:lineRule="auto"/>
        <w:rPr>
          <w:rFonts w:ascii="Times New Roman" w:hAnsi="Times New Roman"/>
          <w:sz w:val="24"/>
          <w:szCs w:val="24"/>
        </w:rPr>
      </w:pPr>
    </w:p>
    <w:p w14:paraId="5ADF762F" w14:textId="49C5C190" w:rsidR="00F62762" w:rsidRDefault="00F62762" w:rsidP="00F62762">
      <w:pPr>
        <w:spacing w:line="480" w:lineRule="auto"/>
        <w:rPr>
          <w:rFonts w:ascii="Times New Roman" w:hAnsi="Times New Roman"/>
          <w:sz w:val="24"/>
          <w:szCs w:val="24"/>
        </w:rPr>
      </w:pPr>
    </w:p>
    <w:p w14:paraId="429F9F02" w14:textId="00A3E693" w:rsidR="00F62762" w:rsidRDefault="00F62762" w:rsidP="00F62762">
      <w:pPr>
        <w:spacing w:line="480" w:lineRule="auto"/>
        <w:rPr>
          <w:rFonts w:ascii="Times New Roman" w:hAnsi="Times New Roman"/>
          <w:sz w:val="24"/>
          <w:szCs w:val="24"/>
        </w:rPr>
      </w:pPr>
    </w:p>
    <w:p w14:paraId="2AD13686" w14:textId="37257119" w:rsidR="00F62762" w:rsidRDefault="00F62762" w:rsidP="00F62762">
      <w:pPr>
        <w:spacing w:line="480" w:lineRule="auto"/>
        <w:rPr>
          <w:rFonts w:ascii="Times New Roman" w:hAnsi="Times New Roman"/>
          <w:sz w:val="24"/>
          <w:szCs w:val="24"/>
        </w:rPr>
      </w:pPr>
    </w:p>
    <w:p w14:paraId="327096D3" w14:textId="2456EA6E" w:rsidR="00F62762" w:rsidRDefault="00F62762" w:rsidP="00F62762">
      <w:pPr>
        <w:spacing w:line="480" w:lineRule="auto"/>
        <w:rPr>
          <w:rFonts w:ascii="Times New Roman" w:hAnsi="Times New Roman"/>
          <w:sz w:val="24"/>
          <w:szCs w:val="24"/>
        </w:rPr>
      </w:pPr>
    </w:p>
    <w:p w14:paraId="356C4645" w14:textId="15D08369" w:rsidR="00F62762" w:rsidRDefault="00F62762" w:rsidP="00F62762">
      <w:pPr>
        <w:spacing w:line="480" w:lineRule="auto"/>
        <w:rPr>
          <w:rFonts w:ascii="Times New Roman" w:hAnsi="Times New Roman"/>
          <w:sz w:val="24"/>
          <w:szCs w:val="24"/>
        </w:rPr>
      </w:pPr>
    </w:p>
    <w:p w14:paraId="7B4E0B6A" w14:textId="7C18CB27" w:rsidR="00F62762" w:rsidRDefault="00F62762" w:rsidP="00F62762">
      <w:pPr>
        <w:spacing w:line="480" w:lineRule="auto"/>
        <w:rPr>
          <w:rFonts w:ascii="Times New Roman" w:hAnsi="Times New Roman"/>
          <w:sz w:val="24"/>
          <w:szCs w:val="24"/>
        </w:rPr>
      </w:pPr>
    </w:p>
    <w:p w14:paraId="1631A658" w14:textId="3E05F8D8" w:rsidR="00F62762" w:rsidRDefault="00F62762" w:rsidP="00F62762">
      <w:pPr>
        <w:spacing w:line="480" w:lineRule="auto"/>
        <w:rPr>
          <w:rFonts w:ascii="Times New Roman" w:hAnsi="Times New Roman"/>
          <w:sz w:val="24"/>
          <w:szCs w:val="24"/>
        </w:rPr>
      </w:pPr>
    </w:p>
    <w:p w14:paraId="14A8CEBD"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lastRenderedPageBreak/>
        <w:t>References</w:t>
      </w:r>
    </w:p>
    <w:p w14:paraId="2B0FEE7F"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shd w:val="clear" w:color="auto" w:fill="FFFFFF"/>
        </w:rPr>
        <w:t xml:space="preserve">ADA. (2019) </w:t>
      </w:r>
      <w:r w:rsidRPr="00637852">
        <w:rPr>
          <w:rFonts w:ascii="Times New Roman" w:hAnsi="Times New Roman"/>
          <w:i/>
          <w:iCs/>
          <w:sz w:val="24"/>
          <w:szCs w:val="24"/>
          <w:shd w:val="clear" w:color="auto" w:fill="FFFFFF"/>
        </w:rPr>
        <w:t>Signs of Burnout</w:t>
      </w:r>
      <w:r w:rsidRPr="00637852">
        <w:rPr>
          <w:rFonts w:ascii="Times New Roman" w:hAnsi="Times New Roman"/>
          <w:sz w:val="24"/>
          <w:szCs w:val="24"/>
          <w:shd w:val="clear" w:color="auto" w:fill="FFFFFF"/>
        </w:rPr>
        <w:t xml:space="preserve">. Available at: </w:t>
      </w:r>
      <w:hyperlink r:id="rId5" w:history="1">
        <w:r w:rsidRPr="00637852">
          <w:rPr>
            <w:rStyle w:val="Hyperlink"/>
            <w:rFonts w:ascii="Times New Roman" w:hAnsi="Times New Roman"/>
            <w:color w:val="auto"/>
            <w:sz w:val="24"/>
            <w:szCs w:val="24"/>
            <w:u w:val="none"/>
          </w:rPr>
          <w:t>https://ada.com/signs-of-burnout/</w:t>
        </w:r>
      </w:hyperlink>
      <w:r w:rsidRPr="00637852">
        <w:rPr>
          <w:rFonts w:ascii="Times New Roman" w:hAnsi="Times New Roman"/>
          <w:sz w:val="24"/>
          <w:szCs w:val="24"/>
        </w:rPr>
        <w:t xml:space="preserve"> (Accessed: September 1</w:t>
      </w:r>
      <w:r w:rsidRPr="00637852">
        <w:rPr>
          <w:rFonts w:ascii="Times New Roman" w:hAnsi="Times New Roman"/>
          <w:sz w:val="24"/>
          <w:szCs w:val="24"/>
          <w:vertAlign w:val="superscript"/>
        </w:rPr>
        <w:t>st</w:t>
      </w:r>
      <w:r w:rsidRPr="00637852">
        <w:rPr>
          <w:rFonts w:ascii="Times New Roman" w:hAnsi="Times New Roman"/>
          <w:sz w:val="24"/>
          <w:szCs w:val="24"/>
        </w:rPr>
        <w:t xml:space="preserve"> 2019).</w:t>
      </w:r>
    </w:p>
    <w:p w14:paraId="1D3D3CB4"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shd w:val="clear" w:color="auto" w:fill="FFFFFF"/>
        </w:rPr>
        <w:t xml:space="preserve">Adams, S. A. and Riggs, S. A. (2008) ‘An Exploratory study of Vicarious Trauma Among Therapist Trainees’, </w:t>
      </w:r>
      <w:r w:rsidRPr="00637852">
        <w:rPr>
          <w:rFonts w:ascii="Times New Roman" w:hAnsi="Times New Roman"/>
          <w:i/>
          <w:iCs/>
          <w:sz w:val="24"/>
          <w:szCs w:val="24"/>
          <w:shd w:val="clear" w:color="auto" w:fill="FFFFFF"/>
        </w:rPr>
        <w:t>Training and Education in Professional Psychology</w:t>
      </w:r>
      <w:r w:rsidRPr="00637852">
        <w:rPr>
          <w:rFonts w:ascii="Times New Roman" w:hAnsi="Times New Roman"/>
          <w:sz w:val="24"/>
          <w:szCs w:val="24"/>
          <w:shd w:val="clear" w:color="auto" w:fill="FFFFFF"/>
        </w:rPr>
        <w:t xml:space="preserve">, 2 (1), pp. 26-34. DOI: </w:t>
      </w:r>
      <w:r w:rsidRPr="00637852">
        <w:rPr>
          <w:rFonts w:ascii="Times New Roman" w:hAnsi="Times New Roman"/>
          <w:sz w:val="24"/>
          <w:szCs w:val="24"/>
        </w:rPr>
        <w:t>10.1037/1931-3918.2.1.26.</w:t>
      </w:r>
    </w:p>
    <w:p w14:paraId="514E9291"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Australian Institute of Family Studies (2007) </w:t>
      </w:r>
      <w:r w:rsidRPr="00637852">
        <w:rPr>
          <w:rFonts w:ascii="Times New Roman" w:hAnsi="Times New Roman"/>
          <w:i/>
          <w:iCs/>
          <w:sz w:val="24"/>
          <w:szCs w:val="24"/>
        </w:rPr>
        <w:t>“Feeling Heavy”</w:t>
      </w:r>
      <w:r w:rsidRPr="00637852">
        <w:rPr>
          <w:rFonts w:ascii="Times New Roman" w:hAnsi="Times New Roman"/>
          <w:sz w:val="24"/>
          <w:szCs w:val="24"/>
        </w:rPr>
        <w:t xml:space="preserve"> </w:t>
      </w:r>
      <w:r w:rsidRPr="00637852">
        <w:rPr>
          <w:rFonts w:ascii="Times New Roman" w:hAnsi="Times New Roman"/>
          <w:i/>
          <w:iCs/>
          <w:sz w:val="24"/>
          <w:szCs w:val="24"/>
        </w:rPr>
        <w:t>Vicarious Trauma and Other Issues Facing Those Who Work in the Sexual Assault Field</w:t>
      </w:r>
      <w:r w:rsidRPr="00637852">
        <w:rPr>
          <w:rFonts w:ascii="Times New Roman" w:hAnsi="Times New Roman"/>
          <w:sz w:val="24"/>
          <w:szCs w:val="24"/>
        </w:rPr>
        <w:t xml:space="preserve">. Available at: </w:t>
      </w:r>
      <w:hyperlink r:id="rId6" w:history="1">
        <w:r w:rsidRPr="00637852">
          <w:rPr>
            <w:rStyle w:val="Hyperlink"/>
            <w:rFonts w:ascii="Times New Roman" w:hAnsi="Times New Roman"/>
            <w:color w:val="auto"/>
            <w:sz w:val="24"/>
            <w:szCs w:val="24"/>
            <w:u w:val="none"/>
          </w:rPr>
          <w:t>https://aifs.gov.au/publications/feeling-heavy/what-vicarious-trauma</w:t>
        </w:r>
      </w:hyperlink>
    </w:p>
    <w:p w14:paraId="4E59A1F6"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shd w:val="clear" w:color="auto" w:fill="FFFFFF"/>
        </w:rPr>
        <w:t xml:space="preserve">Babbel, S. (2012) ‘Compassion Fatigue: Bodily Symptoms of Empathy’, </w:t>
      </w:r>
      <w:r w:rsidRPr="00637852">
        <w:rPr>
          <w:rFonts w:ascii="Times New Roman" w:hAnsi="Times New Roman"/>
          <w:i/>
          <w:iCs/>
          <w:sz w:val="24"/>
          <w:szCs w:val="24"/>
          <w:shd w:val="clear" w:color="auto" w:fill="FFFFFF"/>
        </w:rPr>
        <w:t>Psychology Today</w:t>
      </w:r>
      <w:r w:rsidRPr="00637852">
        <w:rPr>
          <w:rFonts w:ascii="Times New Roman" w:hAnsi="Times New Roman"/>
          <w:sz w:val="24"/>
          <w:szCs w:val="24"/>
          <w:shd w:val="clear" w:color="auto" w:fill="FFFFFF"/>
        </w:rPr>
        <w:t xml:space="preserve">. Available at: </w:t>
      </w:r>
      <w:hyperlink r:id="rId7" w:history="1">
        <w:r w:rsidRPr="00637852">
          <w:rPr>
            <w:rStyle w:val="Hyperlink"/>
            <w:rFonts w:ascii="Times New Roman" w:hAnsi="Times New Roman"/>
            <w:color w:val="auto"/>
            <w:sz w:val="24"/>
            <w:szCs w:val="24"/>
            <w:u w:val="none"/>
          </w:rPr>
          <w:t>https://www.psychologytoday.com/gb/blog/somatic-psychology/201207/compassion-fatigue</w:t>
        </w:r>
      </w:hyperlink>
      <w:r w:rsidRPr="00637852">
        <w:rPr>
          <w:rFonts w:ascii="Times New Roman" w:hAnsi="Times New Roman"/>
          <w:sz w:val="24"/>
          <w:szCs w:val="24"/>
        </w:rPr>
        <w:t xml:space="preserve"> (Accessed 1st September 2019).</w:t>
      </w:r>
    </w:p>
    <w:p w14:paraId="5FA739AD"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BACP. (2017) ‘Burnout…The High Cost of Caring?’, </w:t>
      </w:r>
      <w:r w:rsidRPr="00637852">
        <w:rPr>
          <w:rFonts w:ascii="Times New Roman" w:hAnsi="Times New Roman"/>
          <w:i/>
          <w:iCs/>
          <w:sz w:val="24"/>
          <w:szCs w:val="24"/>
        </w:rPr>
        <w:t>Therapy Today</w:t>
      </w:r>
      <w:r w:rsidRPr="00637852">
        <w:rPr>
          <w:rFonts w:ascii="Times New Roman" w:hAnsi="Times New Roman"/>
          <w:sz w:val="24"/>
          <w:szCs w:val="24"/>
        </w:rPr>
        <w:t xml:space="preserve">, 28(9). Available at: </w:t>
      </w:r>
      <w:hyperlink r:id="rId8" w:history="1">
        <w:r w:rsidRPr="00637852">
          <w:rPr>
            <w:rStyle w:val="Hyperlink"/>
            <w:rFonts w:ascii="Times New Roman" w:hAnsi="Times New Roman"/>
            <w:color w:val="auto"/>
            <w:sz w:val="24"/>
            <w:szCs w:val="24"/>
            <w:u w:val="none"/>
          </w:rPr>
          <w:t>https://www.bacp.co.uk/bacp-journals/therapy-today/2017/november-2017/burnout/</w:t>
        </w:r>
      </w:hyperlink>
      <w:r w:rsidRPr="00637852">
        <w:rPr>
          <w:rFonts w:ascii="Times New Roman" w:hAnsi="Times New Roman"/>
          <w:sz w:val="24"/>
          <w:szCs w:val="24"/>
        </w:rPr>
        <w:t xml:space="preserve"> (Accessed: 1</w:t>
      </w:r>
      <w:r w:rsidRPr="00637852">
        <w:rPr>
          <w:rFonts w:ascii="Times New Roman" w:hAnsi="Times New Roman"/>
          <w:sz w:val="24"/>
          <w:szCs w:val="24"/>
          <w:vertAlign w:val="superscript"/>
        </w:rPr>
        <w:t>st</w:t>
      </w:r>
      <w:r w:rsidRPr="00637852">
        <w:rPr>
          <w:rFonts w:ascii="Times New Roman" w:hAnsi="Times New Roman"/>
          <w:sz w:val="24"/>
          <w:szCs w:val="24"/>
        </w:rPr>
        <w:t xml:space="preserve"> September 2019).</w:t>
      </w:r>
    </w:p>
    <w:p w14:paraId="2D5C7D7D"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rPr>
        <w:t xml:space="preserve">BACP. (2018) </w:t>
      </w:r>
      <w:r w:rsidRPr="00637852">
        <w:rPr>
          <w:rFonts w:ascii="Times New Roman" w:hAnsi="Times New Roman"/>
          <w:i/>
          <w:iCs/>
          <w:sz w:val="24"/>
          <w:szCs w:val="24"/>
        </w:rPr>
        <w:t>Ethical Framework for the Counselling Professions</w:t>
      </w:r>
      <w:r w:rsidRPr="00637852">
        <w:rPr>
          <w:rFonts w:ascii="Times New Roman" w:hAnsi="Times New Roman"/>
          <w:sz w:val="24"/>
          <w:szCs w:val="24"/>
        </w:rPr>
        <w:t xml:space="preserve">. Available at: </w:t>
      </w:r>
      <w:hyperlink r:id="rId9" w:history="1">
        <w:r w:rsidRPr="00637852">
          <w:rPr>
            <w:rStyle w:val="Hyperlink"/>
            <w:rFonts w:ascii="Times New Roman" w:hAnsi="Times New Roman"/>
            <w:color w:val="auto"/>
            <w:sz w:val="24"/>
            <w:szCs w:val="24"/>
            <w:u w:val="none"/>
          </w:rPr>
          <w:t>https://www.bacp.co.uk/media/3103/bacp-ethical-framework-for-the-counselling-professions-2018.pdf</w:t>
        </w:r>
      </w:hyperlink>
      <w:r w:rsidRPr="00637852">
        <w:rPr>
          <w:rFonts w:ascii="Times New Roman" w:hAnsi="Times New Roman"/>
          <w:sz w:val="24"/>
          <w:szCs w:val="24"/>
        </w:rPr>
        <w:t xml:space="preserve"> (Accessed 14th September 2019).</w:t>
      </w:r>
    </w:p>
    <w:p w14:paraId="5046DD81"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shd w:val="clear" w:color="auto" w:fill="FFFFFF"/>
        </w:rPr>
        <w:t xml:space="preserve">Baird, K. and Kracen, A. C. (2006) ‘Vicarious Trauma and Secondary Traumatic Stress: A Research Synthesis’, </w:t>
      </w:r>
      <w:r w:rsidRPr="00637852">
        <w:rPr>
          <w:rFonts w:ascii="Times New Roman" w:hAnsi="Times New Roman"/>
          <w:i/>
          <w:iCs/>
          <w:sz w:val="24"/>
          <w:szCs w:val="24"/>
          <w:shd w:val="clear" w:color="auto" w:fill="FFFFFF"/>
        </w:rPr>
        <w:t>Counselling Psychology Quarterly</w:t>
      </w:r>
      <w:r w:rsidRPr="00637852">
        <w:rPr>
          <w:rFonts w:ascii="Times New Roman" w:hAnsi="Times New Roman"/>
          <w:sz w:val="24"/>
          <w:szCs w:val="24"/>
          <w:shd w:val="clear" w:color="auto" w:fill="FFFFFF"/>
        </w:rPr>
        <w:t>, 19(2), pp. 181-188.</w:t>
      </w:r>
    </w:p>
    <w:p w14:paraId="49AC8770"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shd w:val="clear" w:color="auto" w:fill="FFFFFF"/>
        </w:rPr>
        <w:t xml:space="preserve">Barnett, M. (2007) ‘What Brings You Here? An Exploration of the Unconscious Motivations of Those who Choose to Train and Work as Psychotherapists and Counsellors’, </w:t>
      </w:r>
      <w:r w:rsidRPr="00637852">
        <w:rPr>
          <w:rFonts w:ascii="Times New Roman" w:hAnsi="Times New Roman"/>
          <w:i/>
          <w:iCs/>
          <w:sz w:val="24"/>
          <w:szCs w:val="24"/>
          <w:shd w:val="clear" w:color="auto" w:fill="FFFFFF"/>
        </w:rPr>
        <w:t>Psychodynamic Practice</w:t>
      </w:r>
      <w:r w:rsidRPr="00637852">
        <w:rPr>
          <w:rFonts w:ascii="Times New Roman" w:hAnsi="Times New Roman"/>
          <w:sz w:val="24"/>
          <w:szCs w:val="24"/>
          <w:shd w:val="clear" w:color="auto" w:fill="FFFFFF"/>
        </w:rPr>
        <w:t xml:space="preserve">, 13 (3), pp. 257-274. DOI: </w:t>
      </w:r>
      <w:r w:rsidRPr="00637852">
        <w:rPr>
          <w:rFonts w:ascii="Times New Roman" w:hAnsi="Times New Roman"/>
          <w:sz w:val="24"/>
          <w:szCs w:val="24"/>
        </w:rPr>
        <w:t>10.1080/14753630701455796.</w:t>
      </w:r>
    </w:p>
    <w:p w14:paraId="7AD4AAE7"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shd w:val="clear" w:color="auto" w:fill="FFFFFF"/>
        </w:rPr>
        <w:t xml:space="preserve">Berzoff, J. and Kita, E. (2010) ‘Compassion Fatigue and Countertransference: Two Different Concepts’, </w:t>
      </w:r>
      <w:r w:rsidRPr="00637852">
        <w:rPr>
          <w:rFonts w:ascii="Times New Roman" w:hAnsi="Times New Roman"/>
          <w:i/>
          <w:iCs/>
          <w:sz w:val="24"/>
          <w:szCs w:val="24"/>
          <w:shd w:val="clear" w:color="auto" w:fill="FFFFFF"/>
        </w:rPr>
        <w:t>Clinical Social Work Journal</w:t>
      </w:r>
      <w:r w:rsidRPr="00637852">
        <w:rPr>
          <w:rFonts w:ascii="Times New Roman" w:hAnsi="Times New Roman"/>
          <w:sz w:val="24"/>
          <w:szCs w:val="24"/>
          <w:shd w:val="clear" w:color="auto" w:fill="FFFFFF"/>
        </w:rPr>
        <w:t xml:space="preserve">, 38(3), pp. 341-349. Available at: </w:t>
      </w:r>
      <w:hyperlink r:id="rId10" w:history="1">
        <w:r w:rsidRPr="00637852">
          <w:rPr>
            <w:rStyle w:val="Hyperlink"/>
            <w:rFonts w:ascii="Times New Roman" w:hAnsi="Times New Roman"/>
            <w:color w:val="auto"/>
            <w:sz w:val="24"/>
            <w:szCs w:val="24"/>
            <w:u w:val="none"/>
          </w:rPr>
          <w:t>https://link.springer.com/article/10.1007/s10615-010-0271-8</w:t>
        </w:r>
      </w:hyperlink>
      <w:r w:rsidRPr="00637852">
        <w:rPr>
          <w:rFonts w:ascii="Times New Roman" w:hAnsi="Times New Roman"/>
          <w:sz w:val="24"/>
          <w:szCs w:val="24"/>
        </w:rPr>
        <w:t xml:space="preserve"> (Accessed: 4</w:t>
      </w:r>
      <w:r w:rsidRPr="00637852">
        <w:rPr>
          <w:rFonts w:ascii="Times New Roman" w:hAnsi="Times New Roman"/>
          <w:sz w:val="24"/>
          <w:szCs w:val="24"/>
          <w:vertAlign w:val="superscript"/>
        </w:rPr>
        <w:t>th</w:t>
      </w:r>
      <w:r w:rsidRPr="00637852">
        <w:rPr>
          <w:rFonts w:ascii="Times New Roman" w:hAnsi="Times New Roman"/>
          <w:sz w:val="24"/>
          <w:szCs w:val="24"/>
        </w:rPr>
        <w:t xml:space="preserve"> September 2019).</w:t>
      </w:r>
    </w:p>
    <w:p w14:paraId="4BAD4A3E"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shd w:val="clear" w:color="auto" w:fill="FFFFFF"/>
        </w:rPr>
        <w:t>Canfield, J. (2005) ‘Secondary Traumatization, Burnout, and Vicarious Traumatization: A Review of the Literature as It Relates to Therapists Who Treat Trauma’, </w:t>
      </w:r>
      <w:r w:rsidRPr="00637852">
        <w:rPr>
          <w:rFonts w:ascii="Times New Roman" w:hAnsi="Times New Roman"/>
          <w:i/>
          <w:iCs/>
          <w:sz w:val="24"/>
          <w:szCs w:val="24"/>
          <w:shd w:val="clear" w:color="auto" w:fill="FFFFFF"/>
        </w:rPr>
        <w:t>Smith College Studies in Social Work, </w:t>
      </w:r>
      <w:r w:rsidRPr="00637852">
        <w:rPr>
          <w:rFonts w:ascii="Times New Roman" w:hAnsi="Times New Roman"/>
          <w:bCs/>
          <w:sz w:val="24"/>
          <w:szCs w:val="24"/>
          <w:shd w:val="clear" w:color="auto" w:fill="FFFFFF"/>
        </w:rPr>
        <w:t>75</w:t>
      </w:r>
      <w:r w:rsidRPr="00637852">
        <w:rPr>
          <w:rFonts w:ascii="Times New Roman" w:hAnsi="Times New Roman"/>
          <w:sz w:val="24"/>
          <w:szCs w:val="24"/>
          <w:shd w:val="clear" w:color="auto" w:fill="FFFFFF"/>
        </w:rPr>
        <w:t>(2), pp. 81-101.</w:t>
      </w:r>
    </w:p>
    <w:p w14:paraId="5205FCC5"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shd w:val="clear" w:color="auto" w:fill="FFFFFF"/>
        </w:rPr>
        <w:t xml:space="preserve">Carter, S. B. (2014) ‘Are You Suffering Compassion Fatigue? What to do When Feeling Compassion Feels Like A Burden’, </w:t>
      </w:r>
      <w:r w:rsidRPr="00637852">
        <w:rPr>
          <w:rFonts w:ascii="Times New Roman" w:hAnsi="Times New Roman"/>
          <w:i/>
          <w:iCs/>
          <w:sz w:val="24"/>
          <w:szCs w:val="24"/>
          <w:shd w:val="clear" w:color="auto" w:fill="FFFFFF"/>
        </w:rPr>
        <w:t>Psychology Today</w:t>
      </w:r>
      <w:r w:rsidRPr="00637852">
        <w:rPr>
          <w:rFonts w:ascii="Times New Roman" w:hAnsi="Times New Roman"/>
          <w:sz w:val="24"/>
          <w:szCs w:val="24"/>
          <w:shd w:val="clear" w:color="auto" w:fill="FFFFFF"/>
        </w:rPr>
        <w:t xml:space="preserve">. Available at: </w:t>
      </w:r>
      <w:hyperlink r:id="rId11" w:history="1">
        <w:r w:rsidRPr="00637852">
          <w:rPr>
            <w:rStyle w:val="Hyperlink"/>
            <w:rFonts w:ascii="Times New Roman" w:hAnsi="Times New Roman"/>
            <w:color w:val="auto"/>
            <w:sz w:val="24"/>
            <w:szCs w:val="24"/>
            <w:u w:val="none"/>
          </w:rPr>
          <w:t>https://www.psychologytoday.com/gb/blog/high-octane-women/201407/are-you-suffering-compassion-fatigue</w:t>
        </w:r>
      </w:hyperlink>
      <w:r w:rsidRPr="00637852">
        <w:rPr>
          <w:rFonts w:ascii="Times New Roman" w:hAnsi="Times New Roman"/>
          <w:sz w:val="24"/>
          <w:szCs w:val="24"/>
        </w:rPr>
        <w:t xml:space="preserve"> (Accessed: 31</w:t>
      </w:r>
      <w:r w:rsidRPr="00637852">
        <w:rPr>
          <w:rFonts w:ascii="Times New Roman" w:hAnsi="Times New Roman"/>
          <w:sz w:val="24"/>
          <w:szCs w:val="24"/>
          <w:vertAlign w:val="superscript"/>
        </w:rPr>
        <w:t>st</w:t>
      </w:r>
      <w:r w:rsidRPr="00637852">
        <w:rPr>
          <w:rFonts w:ascii="Times New Roman" w:hAnsi="Times New Roman"/>
          <w:sz w:val="24"/>
          <w:szCs w:val="24"/>
        </w:rPr>
        <w:t xml:space="preserve"> August 2019).</w:t>
      </w:r>
    </w:p>
    <w:p w14:paraId="4ABF0003"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shd w:val="clear" w:color="auto" w:fill="FFFFFF"/>
        </w:rPr>
        <w:t xml:space="preserve">Dass-Brailsford, P. (2007) </w:t>
      </w:r>
      <w:r w:rsidRPr="00637852">
        <w:rPr>
          <w:rFonts w:ascii="Times New Roman" w:hAnsi="Times New Roman"/>
          <w:i/>
          <w:iCs/>
          <w:sz w:val="24"/>
          <w:szCs w:val="24"/>
          <w:shd w:val="clear" w:color="auto" w:fill="FFFFFF"/>
        </w:rPr>
        <w:t>A Practical Approach to Trauma: Empowering Interventions</w:t>
      </w:r>
      <w:r w:rsidRPr="00637852">
        <w:rPr>
          <w:rFonts w:ascii="Times New Roman" w:hAnsi="Times New Roman"/>
          <w:sz w:val="24"/>
          <w:szCs w:val="24"/>
          <w:shd w:val="clear" w:color="auto" w:fill="FFFFFF"/>
        </w:rPr>
        <w:t>. London: SAGE.</w:t>
      </w:r>
    </w:p>
    <w:p w14:paraId="1C7042E4" w14:textId="77777777" w:rsidR="00D078EC" w:rsidRPr="00637852" w:rsidRDefault="00D078EC" w:rsidP="00D078EC">
      <w:pPr>
        <w:rPr>
          <w:rFonts w:ascii="Times New Roman" w:hAnsi="Times New Roman"/>
          <w:sz w:val="24"/>
          <w:szCs w:val="24"/>
          <w:shd w:val="clear" w:color="auto" w:fill="FFFFFF"/>
        </w:rPr>
      </w:pPr>
      <w:r w:rsidRPr="00637852">
        <w:rPr>
          <w:rFonts w:ascii="Times New Roman" w:hAnsi="Times New Roman"/>
          <w:sz w:val="24"/>
          <w:szCs w:val="24"/>
        </w:rPr>
        <w:t xml:space="preserve">Dubé, J. E. and Normandin, L. (2007) ‘Mental Activity and Referential Activity of Beginning Therapists: A Construct Validity Study of the Countertransference Rating System (CRS)’, </w:t>
      </w:r>
      <w:r w:rsidRPr="00637852">
        <w:rPr>
          <w:rFonts w:ascii="Times New Roman" w:hAnsi="Times New Roman"/>
          <w:i/>
          <w:iCs/>
          <w:sz w:val="24"/>
          <w:szCs w:val="24"/>
        </w:rPr>
        <w:t>The American Journal of Psychotherapy</w:t>
      </w:r>
      <w:r w:rsidRPr="00637852">
        <w:rPr>
          <w:rFonts w:ascii="Times New Roman" w:hAnsi="Times New Roman"/>
          <w:sz w:val="24"/>
          <w:szCs w:val="24"/>
        </w:rPr>
        <w:t xml:space="preserve">, 61(4), pp. 351-374. DOI: </w:t>
      </w:r>
      <w:hyperlink r:id="rId12" w:history="1">
        <w:r w:rsidRPr="00637852">
          <w:rPr>
            <w:rStyle w:val="Hyperlink"/>
            <w:rFonts w:ascii="Times New Roman" w:hAnsi="Times New Roman"/>
            <w:color w:val="auto"/>
            <w:sz w:val="24"/>
            <w:szCs w:val="24"/>
            <w:u w:val="none"/>
            <w:shd w:val="clear" w:color="auto" w:fill="FFFFFF"/>
          </w:rPr>
          <w:t>https://doi.org/10.1176/appi.psychotherapy.2007.61.4.351</w:t>
        </w:r>
      </w:hyperlink>
    </w:p>
    <w:p w14:paraId="19C2E977"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shd w:val="clear" w:color="auto" w:fill="FFFFFF"/>
        </w:rPr>
        <w:t xml:space="preserve">Ensink, K., Maheux, J., Normandin, L., Sabourin, S., Diguer, L., Berthelot, N., &amp; Parent. K. (2013) ‘The Impact of Mentalization Training on the Reflective Function of Novice Therapists: A Randomised Controlled Trial’ </w:t>
      </w:r>
      <w:r w:rsidRPr="00637852">
        <w:rPr>
          <w:rFonts w:ascii="Times New Roman" w:hAnsi="Times New Roman"/>
          <w:i/>
          <w:iCs/>
          <w:sz w:val="24"/>
          <w:szCs w:val="24"/>
          <w:shd w:val="clear" w:color="auto" w:fill="FFFFFF"/>
        </w:rPr>
        <w:t>Psychotherapy Research</w:t>
      </w:r>
      <w:r w:rsidRPr="00637852">
        <w:rPr>
          <w:rFonts w:ascii="Times New Roman" w:hAnsi="Times New Roman"/>
          <w:sz w:val="24"/>
          <w:szCs w:val="24"/>
          <w:shd w:val="clear" w:color="auto" w:fill="FFFFFF"/>
        </w:rPr>
        <w:t>, 23, pp. 526-538. DOI: 10503307.2013.800950.</w:t>
      </w:r>
    </w:p>
    <w:p w14:paraId="65833C64"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Everall, R. D. and Paulson, B. L. (2016) ‘Burnout and Secondary Traumatic Stress: Impact on Ethical Behaviour’ </w:t>
      </w:r>
      <w:r w:rsidRPr="00637852">
        <w:rPr>
          <w:rFonts w:ascii="Times New Roman" w:hAnsi="Times New Roman"/>
          <w:i/>
          <w:iCs/>
          <w:sz w:val="24"/>
          <w:szCs w:val="24"/>
        </w:rPr>
        <w:t>Canadian Journal of Counselling</w:t>
      </w:r>
      <w:r w:rsidRPr="00637852">
        <w:rPr>
          <w:rFonts w:ascii="Times New Roman" w:hAnsi="Times New Roman"/>
          <w:sz w:val="24"/>
          <w:szCs w:val="24"/>
        </w:rPr>
        <w:t>, 38(1), pp. 25-35.</w:t>
      </w:r>
    </w:p>
    <w:p w14:paraId="76B0B113"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Falchi, V. &amp; Nawal, R. (2009) ‘Transference, Countertransference and Interpretation: The Current Debate’ </w:t>
      </w:r>
      <w:r w:rsidRPr="00637852">
        <w:rPr>
          <w:rFonts w:ascii="Times New Roman" w:hAnsi="Times New Roman"/>
          <w:i/>
          <w:iCs/>
          <w:sz w:val="24"/>
          <w:szCs w:val="24"/>
        </w:rPr>
        <w:t>European Journal of Clinical Hypnosis</w:t>
      </w:r>
      <w:r w:rsidRPr="00637852">
        <w:rPr>
          <w:rFonts w:ascii="Times New Roman" w:hAnsi="Times New Roman"/>
          <w:sz w:val="24"/>
          <w:szCs w:val="24"/>
        </w:rPr>
        <w:t>, 9(1), pp.11-18.</w:t>
      </w:r>
    </w:p>
    <w:p w14:paraId="7386238E"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Gordon, R. M., Gazillo, F., Blake, A., Bornstein, R.F., Etzi, J., Lingiardi, V., McWilliams, N., Rothery, C. and Tasso, A. F. (2016) ‘The Relationship Between Theoretical Orientations  And Countertransference Expectations: Implications for Ethical Dilemmas and Risk </w:t>
      </w:r>
      <w:r w:rsidRPr="00637852">
        <w:rPr>
          <w:rFonts w:ascii="Times New Roman" w:hAnsi="Times New Roman"/>
          <w:sz w:val="24"/>
          <w:szCs w:val="24"/>
        </w:rPr>
        <w:lastRenderedPageBreak/>
        <w:t xml:space="preserve">Management’, </w:t>
      </w:r>
      <w:r w:rsidRPr="00637852">
        <w:rPr>
          <w:rFonts w:ascii="Times New Roman" w:hAnsi="Times New Roman"/>
          <w:i/>
          <w:iCs/>
          <w:sz w:val="24"/>
          <w:szCs w:val="24"/>
        </w:rPr>
        <w:t xml:space="preserve">Clinical Psychology and Psychotherapy, </w:t>
      </w:r>
      <w:r w:rsidRPr="00637852">
        <w:rPr>
          <w:rFonts w:ascii="Times New Roman" w:hAnsi="Times New Roman"/>
          <w:sz w:val="24"/>
          <w:szCs w:val="24"/>
        </w:rPr>
        <w:t xml:space="preserve">23, pp. 236-245. DOI: </w:t>
      </w:r>
      <w:r w:rsidRPr="00637852">
        <w:rPr>
          <w:rStyle w:val="ws45"/>
          <w:rFonts w:ascii="Times New Roman" w:hAnsi="Times New Roman"/>
          <w:sz w:val="24"/>
          <w:szCs w:val="24"/>
          <w:shd w:val="clear" w:color="auto" w:fill="FFFFFF"/>
        </w:rPr>
        <w:t>10.1002/cpp.1951</w:t>
      </w:r>
    </w:p>
    <w:p w14:paraId="7C0EEFF3"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Hayes, J. A., Gelso, C. A. and Hummel, A. M., 2010. Managing countertransference. In: Norcroft, J. C. (eds.) </w:t>
      </w:r>
      <w:r w:rsidRPr="00637852">
        <w:rPr>
          <w:rFonts w:ascii="Times New Roman" w:hAnsi="Times New Roman"/>
          <w:i/>
          <w:iCs/>
          <w:sz w:val="24"/>
          <w:szCs w:val="24"/>
        </w:rPr>
        <w:t>Evidence Based Therapy Relationships</w:t>
      </w:r>
      <w:r w:rsidRPr="00637852">
        <w:rPr>
          <w:rFonts w:ascii="Times New Roman" w:hAnsi="Times New Roman"/>
          <w:sz w:val="24"/>
          <w:szCs w:val="24"/>
        </w:rPr>
        <w:t>. pp. 25-26.</w:t>
      </w:r>
    </w:p>
    <w:p w14:paraId="641836BC"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Hayes, J. A., McCracken, J. E., McClanahan, M. K., Hill, C. E., Harp, J. S., Carozzoni, P. (1998) ‘Therapist Perspectives on Counter-Transference: Qualitative Data in Search of a Theory’, </w:t>
      </w:r>
      <w:r w:rsidRPr="00637852">
        <w:rPr>
          <w:rFonts w:ascii="Times New Roman" w:hAnsi="Times New Roman"/>
          <w:i/>
          <w:iCs/>
          <w:sz w:val="24"/>
          <w:szCs w:val="24"/>
        </w:rPr>
        <w:t>Journal of Counselling Psychology</w:t>
      </w:r>
      <w:r w:rsidRPr="00637852">
        <w:rPr>
          <w:rFonts w:ascii="Times New Roman" w:hAnsi="Times New Roman"/>
          <w:sz w:val="24"/>
          <w:szCs w:val="24"/>
        </w:rPr>
        <w:t xml:space="preserve">, 45(4), pp. 468-482. </w:t>
      </w:r>
    </w:p>
    <w:p w14:paraId="0FF8B513"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House of Commons Library (2018) </w:t>
      </w:r>
      <w:r w:rsidRPr="00637852">
        <w:rPr>
          <w:rFonts w:ascii="Times New Roman" w:hAnsi="Times New Roman"/>
          <w:i/>
          <w:iCs/>
          <w:sz w:val="24"/>
          <w:szCs w:val="24"/>
        </w:rPr>
        <w:t>Mental Health Statistics for England</w:t>
      </w:r>
      <w:r w:rsidRPr="00637852">
        <w:rPr>
          <w:rFonts w:ascii="Times New Roman" w:hAnsi="Times New Roman"/>
          <w:sz w:val="24"/>
          <w:szCs w:val="24"/>
        </w:rPr>
        <w:t xml:space="preserve">: </w:t>
      </w:r>
      <w:r w:rsidRPr="00637852">
        <w:rPr>
          <w:rFonts w:ascii="Times New Roman" w:hAnsi="Times New Roman"/>
          <w:i/>
          <w:iCs/>
          <w:sz w:val="24"/>
          <w:szCs w:val="24"/>
        </w:rPr>
        <w:t>Prevalence, Services and Funding</w:t>
      </w:r>
      <w:r w:rsidRPr="00637852">
        <w:rPr>
          <w:rFonts w:ascii="Times New Roman" w:hAnsi="Times New Roman"/>
          <w:sz w:val="24"/>
          <w:szCs w:val="24"/>
        </w:rPr>
        <w:t xml:space="preserve">. Available at: </w:t>
      </w:r>
      <w:hyperlink r:id="rId13" w:history="1">
        <w:r w:rsidRPr="00637852">
          <w:rPr>
            <w:rStyle w:val="Hyperlink"/>
            <w:rFonts w:ascii="Times New Roman" w:hAnsi="Times New Roman"/>
            <w:color w:val="auto"/>
            <w:sz w:val="24"/>
            <w:szCs w:val="24"/>
            <w:u w:val="none"/>
          </w:rPr>
          <w:t>https://researchbriefings.parliament.uk/ResearchBriefing/Summary/SN06988</w:t>
        </w:r>
      </w:hyperlink>
      <w:r w:rsidRPr="00637852">
        <w:rPr>
          <w:rFonts w:ascii="Times New Roman" w:hAnsi="Times New Roman"/>
          <w:sz w:val="24"/>
          <w:szCs w:val="24"/>
        </w:rPr>
        <w:t xml:space="preserve"> (Accessed: 5</w:t>
      </w:r>
      <w:r w:rsidRPr="00637852">
        <w:rPr>
          <w:rFonts w:ascii="Times New Roman" w:hAnsi="Times New Roman"/>
          <w:sz w:val="24"/>
          <w:szCs w:val="24"/>
          <w:vertAlign w:val="superscript"/>
        </w:rPr>
        <w:t>th</w:t>
      </w:r>
      <w:r w:rsidRPr="00637852">
        <w:rPr>
          <w:rFonts w:ascii="Times New Roman" w:hAnsi="Times New Roman"/>
          <w:sz w:val="24"/>
          <w:szCs w:val="24"/>
        </w:rPr>
        <w:t xml:space="preserve"> September 2019).</w:t>
      </w:r>
    </w:p>
    <w:p w14:paraId="53474728"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Hook, D. (2001). ‘Discourse, knowledge, materiality, history: Foucault and discourse analysis’, </w:t>
      </w:r>
      <w:r w:rsidRPr="00637852">
        <w:rPr>
          <w:rFonts w:ascii="Times New Roman" w:hAnsi="Times New Roman"/>
          <w:i/>
          <w:iCs/>
          <w:sz w:val="24"/>
          <w:szCs w:val="24"/>
        </w:rPr>
        <w:t>Theory and Psychology</w:t>
      </w:r>
      <w:r w:rsidRPr="00637852">
        <w:rPr>
          <w:rFonts w:ascii="Times New Roman" w:hAnsi="Times New Roman"/>
          <w:sz w:val="24"/>
          <w:szCs w:val="24"/>
        </w:rPr>
        <w:t xml:space="preserve">, 11(4), pp. 521-547. Available at: </w:t>
      </w:r>
      <w:hyperlink r:id="rId14" w:history="1">
        <w:r w:rsidRPr="00637852">
          <w:rPr>
            <w:rStyle w:val="Hyperlink"/>
            <w:rFonts w:ascii="Times New Roman" w:hAnsi="Times New Roman"/>
            <w:color w:val="auto"/>
            <w:sz w:val="24"/>
            <w:szCs w:val="24"/>
            <w:u w:val="none"/>
            <w:shd w:val="clear" w:color="auto" w:fill="FFFFFF"/>
          </w:rPr>
          <w:t>https://doi.org/10.1177/0959354301114006</w:t>
        </w:r>
      </w:hyperlink>
      <w:r w:rsidRPr="00637852">
        <w:rPr>
          <w:rFonts w:ascii="Times New Roman" w:hAnsi="Times New Roman"/>
          <w:sz w:val="24"/>
          <w:szCs w:val="24"/>
        </w:rPr>
        <w:t xml:space="preserve"> [Accessed 17 Apr. 2019].</w:t>
      </w:r>
    </w:p>
    <w:p w14:paraId="7081BEA4"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Lecours, S., Bouchard, M. and Normandin, L. (1995) ‘Countertransference as the therapist's mental activity: Experience and gender differences among psychoanalytically oriented psychologists’, </w:t>
      </w:r>
      <w:r w:rsidRPr="00637852">
        <w:rPr>
          <w:rFonts w:ascii="Times New Roman" w:hAnsi="Times New Roman"/>
          <w:i/>
          <w:iCs/>
          <w:sz w:val="24"/>
          <w:szCs w:val="24"/>
        </w:rPr>
        <w:t>Psychoanalytic Psychology</w:t>
      </w:r>
      <w:r w:rsidRPr="00637852">
        <w:rPr>
          <w:rFonts w:ascii="Times New Roman" w:hAnsi="Times New Roman"/>
          <w:sz w:val="24"/>
          <w:szCs w:val="24"/>
        </w:rPr>
        <w:t>, 12(2), pp.259-279.</w:t>
      </w:r>
    </w:p>
    <w:p w14:paraId="3C7B961C"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Lewis, S. J., Arseneault, L., Caspi, A., Fisher, H. L., Matthews, T., Moffitt, T. E., Odgers, C. L., Stahl, D., Teng, J. Y. and Danese, A. (2019) ‘The Epidemiology of Trauma and Post-Traumatic Stress Disorder in a Representative Cohort of Young People in England and Wales’, </w:t>
      </w:r>
      <w:r w:rsidRPr="00637852">
        <w:rPr>
          <w:rFonts w:ascii="Times New Roman" w:hAnsi="Times New Roman"/>
          <w:i/>
          <w:iCs/>
          <w:sz w:val="24"/>
          <w:szCs w:val="24"/>
        </w:rPr>
        <w:t>The Lancet Psychiatry</w:t>
      </w:r>
      <w:r w:rsidRPr="00637852">
        <w:rPr>
          <w:rFonts w:ascii="Times New Roman" w:hAnsi="Times New Roman"/>
          <w:sz w:val="24"/>
          <w:szCs w:val="24"/>
        </w:rPr>
        <w:t>, 6(3), pp. 247-256. DOI: 10.1016/S2215-0366(19)30031-8</w:t>
      </w:r>
    </w:p>
    <w:p w14:paraId="6C3A85D0"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Lerias, D. and Byrne, M. K. (2003) ‘Vicarious Traumatisation: Symptoms and Predictors’, </w:t>
      </w:r>
      <w:r w:rsidRPr="00637852">
        <w:rPr>
          <w:rFonts w:ascii="Times New Roman" w:hAnsi="Times New Roman"/>
          <w:i/>
          <w:iCs/>
          <w:sz w:val="24"/>
          <w:szCs w:val="24"/>
        </w:rPr>
        <w:t>Stress and Health</w:t>
      </w:r>
      <w:r w:rsidRPr="00637852">
        <w:rPr>
          <w:rFonts w:ascii="Times New Roman" w:hAnsi="Times New Roman"/>
          <w:sz w:val="24"/>
          <w:szCs w:val="24"/>
        </w:rPr>
        <w:t xml:space="preserve">, 19(3), pp.129-138. DOI: </w:t>
      </w:r>
      <w:hyperlink r:id="rId15" w:history="1">
        <w:r w:rsidRPr="00637852">
          <w:rPr>
            <w:rStyle w:val="Hyperlink"/>
            <w:rFonts w:ascii="Times New Roman" w:hAnsi="Times New Roman"/>
            <w:color w:val="auto"/>
            <w:sz w:val="24"/>
            <w:szCs w:val="24"/>
            <w:u w:val="none"/>
            <w:shd w:val="clear" w:color="auto" w:fill="FFFFFF"/>
          </w:rPr>
          <w:t>https://doi.org/10.1002/smi.969</w:t>
        </w:r>
      </w:hyperlink>
      <w:r w:rsidRPr="00637852">
        <w:rPr>
          <w:rFonts w:ascii="Times New Roman" w:hAnsi="Times New Roman"/>
          <w:sz w:val="24"/>
          <w:szCs w:val="24"/>
        </w:rPr>
        <w:t xml:space="preserve"> (Accessed: 1</w:t>
      </w:r>
      <w:r w:rsidRPr="00637852">
        <w:rPr>
          <w:rFonts w:ascii="Times New Roman" w:hAnsi="Times New Roman"/>
          <w:sz w:val="24"/>
          <w:szCs w:val="24"/>
          <w:vertAlign w:val="superscript"/>
        </w:rPr>
        <w:t>st</w:t>
      </w:r>
      <w:r w:rsidRPr="00637852">
        <w:rPr>
          <w:rFonts w:ascii="Times New Roman" w:hAnsi="Times New Roman"/>
          <w:sz w:val="24"/>
          <w:szCs w:val="24"/>
        </w:rPr>
        <w:t xml:space="preserve"> September 2019).</w:t>
      </w:r>
    </w:p>
    <w:p w14:paraId="1C2C6E02"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Macmillan (2018) </w:t>
      </w:r>
      <w:r w:rsidRPr="00637852">
        <w:rPr>
          <w:rFonts w:ascii="Times New Roman" w:hAnsi="Times New Roman"/>
          <w:i/>
          <w:iCs/>
          <w:sz w:val="24"/>
          <w:szCs w:val="24"/>
        </w:rPr>
        <w:t>How Grief Can Affect You</w:t>
      </w:r>
      <w:r w:rsidRPr="00637852">
        <w:rPr>
          <w:rFonts w:ascii="Times New Roman" w:hAnsi="Times New Roman"/>
          <w:sz w:val="24"/>
          <w:szCs w:val="24"/>
        </w:rPr>
        <w:t xml:space="preserve">. Available at: </w:t>
      </w:r>
      <w:hyperlink r:id="rId16" w:history="1">
        <w:r w:rsidRPr="00637852">
          <w:rPr>
            <w:rStyle w:val="Hyperlink"/>
            <w:rFonts w:ascii="Times New Roman" w:hAnsi="Times New Roman"/>
            <w:color w:val="auto"/>
            <w:sz w:val="24"/>
            <w:szCs w:val="24"/>
            <w:u w:val="none"/>
          </w:rPr>
          <w:t>https://www.macmillan.org.uk/information-and-support/coping/at-the-end-of-life/coping-with-bereavement/symptoms-of-grief.html</w:t>
        </w:r>
      </w:hyperlink>
      <w:r w:rsidRPr="00637852">
        <w:rPr>
          <w:rFonts w:ascii="Times New Roman" w:hAnsi="Times New Roman"/>
          <w:sz w:val="24"/>
          <w:szCs w:val="24"/>
        </w:rPr>
        <w:t xml:space="preserve"> (Accessed: June 28th 2019).</w:t>
      </w:r>
    </w:p>
    <w:p w14:paraId="6F84F680"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shd w:val="clear" w:color="auto" w:fill="FFFFFF"/>
        </w:rPr>
        <w:t xml:space="preserve">Neumann, D. A. &amp; Gamble, S. J. (1995) ‘Issues in the professional development of psychotherapists: Countertransference and vicarious traumatization in the new trauma therapist’, </w:t>
      </w:r>
      <w:r w:rsidRPr="00637852">
        <w:rPr>
          <w:rStyle w:val="Emphasis"/>
          <w:rFonts w:ascii="Times New Roman" w:hAnsi="Times New Roman"/>
          <w:sz w:val="24"/>
          <w:szCs w:val="24"/>
          <w:shd w:val="clear" w:color="auto" w:fill="FFFFFF"/>
        </w:rPr>
        <w:t>Psychotherapy: Theory, Research, Practice, Training, 32</w:t>
      </w:r>
      <w:r w:rsidRPr="00637852">
        <w:rPr>
          <w:rFonts w:ascii="Times New Roman" w:hAnsi="Times New Roman"/>
          <w:sz w:val="24"/>
          <w:szCs w:val="24"/>
          <w:shd w:val="clear" w:color="auto" w:fill="FFFFFF"/>
        </w:rPr>
        <w:t>(2), pp.341-347.</w:t>
      </w:r>
    </w:p>
    <w:p w14:paraId="5AF17A0B"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shd w:val="clear" w:color="auto" w:fill="FFFFFF"/>
        </w:rPr>
        <w:t xml:space="preserve">Pautasso, M. (2013) ‘Ten Simple Rules for Writing a Literature Review’ </w:t>
      </w:r>
      <w:r w:rsidRPr="00637852">
        <w:rPr>
          <w:rFonts w:ascii="Times New Roman" w:hAnsi="Times New Roman"/>
          <w:i/>
          <w:iCs/>
          <w:sz w:val="24"/>
          <w:szCs w:val="24"/>
          <w:shd w:val="clear" w:color="auto" w:fill="FFFFFF"/>
        </w:rPr>
        <w:t>PLoS Computational Biology,</w:t>
      </w:r>
      <w:r w:rsidRPr="00637852">
        <w:rPr>
          <w:rFonts w:ascii="Times New Roman" w:hAnsi="Times New Roman"/>
          <w:sz w:val="24"/>
          <w:szCs w:val="24"/>
          <w:shd w:val="clear" w:color="auto" w:fill="FFFFFF"/>
        </w:rPr>
        <w:t xml:space="preserve"> 9(7). DOI: </w:t>
      </w:r>
      <w:hyperlink r:id="rId17" w:history="1">
        <w:r w:rsidRPr="00637852">
          <w:rPr>
            <w:rStyle w:val="Hyperlink"/>
            <w:rFonts w:ascii="Times New Roman" w:hAnsi="Times New Roman"/>
            <w:color w:val="auto"/>
            <w:sz w:val="24"/>
            <w:szCs w:val="24"/>
            <w:u w:val="none"/>
            <w:shd w:val="clear" w:color="auto" w:fill="FFFFFF"/>
          </w:rPr>
          <w:t>https://doi.org/10.1371/journal.pcbi.1003149</w:t>
        </w:r>
      </w:hyperlink>
      <w:r w:rsidRPr="00637852">
        <w:rPr>
          <w:rFonts w:ascii="Times New Roman" w:hAnsi="Times New Roman"/>
          <w:sz w:val="24"/>
          <w:szCs w:val="24"/>
          <w:shd w:val="clear" w:color="auto" w:fill="FFFFFF"/>
        </w:rPr>
        <w:t xml:space="preserve"> </w:t>
      </w:r>
    </w:p>
    <w:p w14:paraId="7CE3E769"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Potter, P., Deshields, T., Divanbeigi, J., Berger, J., Cipriano, J., Norris, L. and Olsen, S. (2010) ‘Compassion Fatigue and Burnout: Prevalence Among Oncology Nurses’, </w:t>
      </w:r>
      <w:r w:rsidRPr="00637852">
        <w:rPr>
          <w:rFonts w:ascii="Times New Roman" w:hAnsi="Times New Roman"/>
          <w:i/>
          <w:iCs/>
          <w:sz w:val="24"/>
          <w:szCs w:val="24"/>
        </w:rPr>
        <w:t>Clinical Journal of Oncology Nursing</w:t>
      </w:r>
      <w:r w:rsidRPr="00637852">
        <w:rPr>
          <w:rFonts w:ascii="Times New Roman" w:hAnsi="Times New Roman"/>
          <w:sz w:val="24"/>
          <w:szCs w:val="24"/>
        </w:rPr>
        <w:t>, 14(5), pp. 56-62. DOI: 10.1188/10.CJON.E56-E62</w:t>
      </w:r>
    </w:p>
    <w:p w14:paraId="4E31AB2B"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Prasko, J., Diveky, T., Grambel, A., Kamaradova, D., Mozny, P., Sigmundova, Z., Slepecky, M. and Vyskocilova, J. (2010) ‘Transference and Countertransference in Cognitive Behavioural Therapy’, </w:t>
      </w:r>
      <w:r w:rsidRPr="00637852">
        <w:rPr>
          <w:rFonts w:ascii="Times New Roman" w:hAnsi="Times New Roman"/>
          <w:i/>
          <w:iCs/>
          <w:sz w:val="24"/>
          <w:szCs w:val="24"/>
        </w:rPr>
        <w:t>Biomedical Papers</w:t>
      </w:r>
      <w:r w:rsidRPr="00637852">
        <w:rPr>
          <w:rFonts w:ascii="Times New Roman" w:hAnsi="Times New Roman"/>
          <w:sz w:val="24"/>
          <w:szCs w:val="24"/>
        </w:rPr>
        <w:t xml:space="preserve">, 154(3), pp. 189-198. </w:t>
      </w:r>
    </w:p>
    <w:p w14:paraId="62806C8E"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Saunders, M. N. K, &amp; Rojon, C. (2011) ‘On the Attributes of a Critical Literature Review’, </w:t>
      </w:r>
      <w:r w:rsidRPr="00637852">
        <w:rPr>
          <w:rFonts w:ascii="Times New Roman" w:hAnsi="Times New Roman"/>
          <w:i/>
          <w:sz w:val="24"/>
          <w:szCs w:val="24"/>
        </w:rPr>
        <w:t>Coaching: An International Journal of Theory, Research and Practice</w:t>
      </w:r>
      <w:r w:rsidRPr="00637852">
        <w:rPr>
          <w:rFonts w:ascii="Times New Roman" w:hAnsi="Times New Roman"/>
          <w:sz w:val="24"/>
          <w:szCs w:val="24"/>
        </w:rPr>
        <w:t>, 4(2), pp. 156-162.</w:t>
      </w:r>
    </w:p>
    <w:p w14:paraId="73D17EEA"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Staples, T. (2014) </w:t>
      </w:r>
      <w:r w:rsidRPr="00637852">
        <w:rPr>
          <w:rFonts w:ascii="Times New Roman" w:hAnsi="Times New Roman"/>
          <w:i/>
          <w:iCs/>
          <w:sz w:val="24"/>
          <w:szCs w:val="24"/>
        </w:rPr>
        <w:t>Wounded Healers</w:t>
      </w:r>
      <w:r w:rsidRPr="00637852">
        <w:rPr>
          <w:rFonts w:ascii="Times New Roman" w:hAnsi="Times New Roman"/>
          <w:sz w:val="24"/>
          <w:szCs w:val="24"/>
        </w:rPr>
        <w:t>. Available at: https://www.cruse.org.uk/sites/default/files/default_images/pdf/Events/Wounded%20healerspdf [Accessed 28 Apr. 2018].</w:t>
      </w:r>
    </w:p>
    <w:p w14:paraId="46FED676"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Tishby, O. and Wiseman, H. (2014) ‘Types of Countertransference Dynamics: An Exploration of Their Impact on the Client-Therapist Relationship’, </w:t>
      </w:r>
      <w:r w:rsidRPr="00637852">
        <w:rPr>
          <w:rFonts w:ascii="Times New Roman" w:hAnsi="Times New Roman"/>
          <w:i/>
          <w:iCs/>
          <w:sz w:val="24"/>
          <w:szCs w:val="24"/>
        </w:rPr>
        <w:t>Psychotherapy Research</w:t>
      </w:r>
      <w:r w:rsidRPr="00637852">
        <w:rPr>
          <w:rFonts w:ascii="Times New Roman" w:hAnsi="Times New Roman"/>
          <w:sz w:val="24"/>
          <w:szCs w:val="24"/>
        </w:rPr>
        <w:t xml:space="preserve">, 24(3), pp. 360-375. DOI: </w:t>
      </w:r>
      <w:hyperlink r:id="rId18" w:history="1">
        <w:r w:rsidRPr="00637852">
          <w:rPr>
            <w:rStyle w:val="Hyperlink"/>
            <w:rFonts w:ascii="Times New Roman" w:hAnsi="Times New Roman"/>
            <w:color w:val="auto"/>
            <w:sz w:val="24"/>
            <w:szCs w:val="24"/>
            <w:u w:val="none"/>
          </w:rPr>
          <w:t>https://doi.org/10.1080/10503307.2014.893068</w:t>
        </w:r>
      </w:hyperlink>
    </w:p>
    <w:p w14:paraId="397645A8"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Trippany, R. L., Kress, V. E. W. and Wilcoxon, S. A. (2004) ‘Preventing Vicarious Trauma: What Counsellors Should Know When Working With Trauma Survivors’, </w:t>
      </w:r>
      <w:r w:rsidRPr="00637852">
        <w:rPr>
          <w:rFonts w:ascii="Times New Roman" w:hAnsi="Times New Roman"/>
          <w:i/>
          <w:iCs/>
          <w:sz w:val="24"/>
          <w:szCs w:val="24"/>
        </w:rPr>
        <w:t>Journal of Counselling and Development</w:t>
      </w:r>
      <w:r w:rsidRPr="00637852">
        <w:rPr>
          <w:rFonts w:ascii="Times New Roman" w:hAnsi="Times New Roman"/>
          <w:sz w:val="24"/>
          <w:szCs w:val="24"/>
        </w:rPr>
        <w:t xml:space="preserve">, 82(1), pp.31-37. DOI: </w:t>
      </w:r>
      <w:hyperlink r:id="rId19" w:history="1">
        <w:r w:rsidRPr="00637852">
          <w:rPr>
            <w:rStyle w:val="Hyperlink"/>
            <w:rFonts w:ascii="Times New Roman" w:hAnsi="Times New Roman"/>
            <w:color w:val="auto"/>
            <w:sz w:val="24"/>
            <w:szCs w:val="24"/>
            <w:u w:val="none"/>
            <w:shd w:val="clear" w:color="auto" w:fill="FFFFFF"/>
          </w:rPr>
          <w:t>https://doi.org/10.1002/j.1556-6678.2004.tb00283.x</w:t>
        </w:r>
      </w:hyperlink>
      <w:r w:rsidRPr="00637852">
        <w:rPr>
          <w:rFonts w:ascii="Times New Roman" w:hAnsi="Times New Roman"/>
          <w:sz w:val="24"/>
          <w:szCs w:val="24"/>
        </w:rPr>
        <w:t xml:space="preserve"> (Accessed 21st August 2019).</w:t>
      </w:r>
    </w:p>
    <w:p w14:paraId="095B213D"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lastRenderedPageBreak/>
        <w:t xml:space="preserve">Turgoose, D. and Maddox, L. (2017) ‘Predictors of Compassion Fatigue in Mental Health Professionals: A Narrative Review’, </w:t>
      </w:r>
      <w:r w:rsidRPr="00637852">
        <w:rPr>
          <w:rFonts w:ascii="Times New Roman" w:hAnsi="Times New Roman"/>
          <w:i/>
          <w:iCs/>
          <w:sz w:val="24"/>
          <w:szCs w:val="24"/>
        </w:rPr>
        <w:t>Traumatology</w:t>
      </w:r>
      <w:r w:rsidRPr="00637852">
        <w:rPr>
          <w:rFonts w:ascii="Times New Roman" w:hAnsi="Times New Roman"/>
          <w:sz w:val="24"/>
          <w:szCs w:val="24"/>
        </w:rPr>
        <w:t>, 23(2), pp. 172-185. DOI:</w:t>
      </w:r>
      <w:r w:rsidRPr="00637852">
        <w:rPr>
          <w:rFonts w:ascii="Times New Roman" w:hAnsi="Times New Roman"/>
          <w:sz w:val="24"/>
          <w:szCs w:val="24"/>
          <w:shd w:val="clear" w:color="auto" w:fill="FFFFFF"/>
        </w:rPr>
        <w:t> </w:t>
      </w:r>
      <w:hyperlink r:id="rId20" w:tgtFrame="_blank" w:history="1">
        <w:r w:rsidRPr="00637852">
          <w:rPr>
            <w:rStyle w:val="Hyperlink"/>
            <w:rFonts w:ascii="Times New Roman" w:hAnsi="Times New Roman"/>
            <w:color w:val="auto"/>
            <w:sz w:val="24"/>
            <w:szCs w:val="24"/>
            <w:u w:val="none"/>
            <w:shd w:val="clear" w:color="auto" w:fill="FFFFFF"/>
          </w:rPr>
          <w:t>https://doi.org/10.1037/trm0000116</w:t>
        </w:r>
      </w:hyperlink>
      <w:r w:rsidRPr="00637852">
        <w:rPr>
          <w:rFonts w:ascii="Times New Roman" w:hAnsi="Times New Roman"/>
          <w:sz w:val="24"/>
          <w:szCs w:val="24"/>
        </w:rPr>
        <w:t xml:space="preserve"> (Accessed: 25</w:t>
      </w:r>
      <w:r w:rsidRPr="00637852">
        <w:rPr>
          <w:rFonts w:ascii="Times New Roman" w:hAnsi="Times New Roman"/>
          <w:sz w:val="24"/>
          <w:szCs w:val="24"/>
          <w:vertAlign w:val="superscript"/>
        </w:rPr>
        <w:t>th</w:t>
      </w:r>
      <w:r w:rsidRPr="00637852">
        <w:rPr>
          <w:rFonts w:ascii="Times New Roman" w:hAnsi="Times New Roman"/>
          <w:sz w:val="24"/>
          <w:szCs w:val="24"/>
        </w:rPr>
        <w:t xml:space="preserve"> August 2019).</w:t>
      </w:r>
    </w:p>
    <w:p w14:paraId="0816E786" w14:textId="77777777" w:rsidR="00D078EC" w:rsidRPr="00637852" w:rsidRDefault="00D078EC" w:rsidP="00D078EC">
      <w:pPr>
        <w:rPr>
          <w:rFonts w:ascii="Times New Roman" w:hAnsi="Times New Roman"/>
          <w:sz w:val="24"/>
          <w:szCs w:val="24"/>
        </w:rPr>
      </w:pPr>
      <w:r w:rsidRPr="00637852">
        <w:rPr>
          <w:rFonts w:ascii="Times New Roman" w:hAnsi="Times New Roman"/>
          <w:sz w:val="24"/>
          <w:szCs w:val="24"/>
        </w:rPr>
        <w:t xml:space="preserve">Whyman, C. (2018) </w:t>
      </w:r>
      <w:r w:rsidRPr="00637852">
        <w:rPr>
          <w:rFonts w:ascii="Times New Roman" w:hAnsi="Times New Roman"/>
          <w:i/>
          <w:iCs/>
          <w:sz w:val="24"/>
          <w:szCs w:val="24"/>
        </w:rPr>
        <w:t>Rise in Demand for Private Counsellors as Patients say NHS Waiting Lists are too Long</w:t>
      </w:r>
      <w:r w:rsidRPr="00637852">
        <w:rPr>
          <w:rFonts w:ascii="Times New Roman" w:hAnsi="Times New Roman"/>
          <w:sz w:val="24"/>
          <w:szCs w:val="24"/>
        </w:rPr>
        <w:t xml:space="preserve">. Available at: </w:t>
      </w:r>
      <w:hyperlink r:id="rId21" w:history="1">
        <w:r w:rsidRPr="00637852">
          <w:rPr>
            <w:rStyle w:val="Hyperlink"/>
            <w:rFonts w:ascii="Times New Roman" w:hAnsi="Times New Roman"/>
            <w:color w:val="auto"/>
            <w:sz w:val="24"/>
            <w:szCs w:val="24"/>
            <w:u w:val="none"/>
          </w:rPr>
          <w:t>https://www.mentalhealthtoday.co.uk/news/awareness/rise-in-demand-for-private-counsellors-as-patients-say-nhs-waiting-lists-are-too-long</w:t>
        </w:r>
      </w:hyperlink>
      <w:r w:rsidRPr="00637852">
        <w:rPr>
          <w:rFonts w:ascii="Times New Roman" w:hAnsi="Times New Roman"/>
          <w:sz w:val="24"/>
          <w:szCs w:val="24"/>
        </w:rPr>
        <w:t xml:space="preserve"> (Accessed: 21</w:t>
      </w:r>
      <w:r w:rsidRPr="00637852">
        <w:rPr>
          <w:rFonts w:ascii="Times New Roman" w:hAnsi="Times New Roman"/>
          <w:sz w:val="24"/>
          <w:szCs w:val="24"/>
          <w:vertAlign w:val="superscript"/>
        </w:rPr>
        <w:t>st</w:t>
      </w:r>
      <w:r w:rsidRPr="00637852">
        <w:rPr>
          <w:rFonts w:ascii="Times New Roman" w:hAnsi="Times New Roman"/>
          <w:sz w:val="24"/>
          <w:szCs w:val="24"/>
        </w:rPr>
        <w:t xml:space="preserve"> August 2019).</w:t>
      </w:r>
    </w:p>
    <w:p w14:paraId="06285050" w14:textId="71BCA24B" w:rsidR="00F62762" w:rsidRDefault="00F62762" w:rsidP="00F62762">
      <w:pPr>
        <w:spacing w:line="480" w:lineRule="auto"/>
        <w:rPr>
          <w:rFonts w:ascii="Times New Roman" w:hAnsi="Times New Roman"/>
          <w:sz w:val="24"/>
          <w:szCs w:val="24"/>
        </w:rPr>
      </w:pPr>
    </w:p>
    <w:p w14:paraId="6CAB144D" w14:textId="7A36ADF4" w:rsidR="00D078EC" w:rsidRDefault="00D078EC" w:rsidP="00F62762">
      <w:pPr>
        <w:spacing w:line="480" w:lineRule="auto"/>
        <w:rPr>
          <w:rFonts w:ascii="Times New Roman" w:hAnsi="Times New Roman"/>
          <w:sz w:val="24"/>
          <w:szCs w:val="24"/>
        </w:rPr>
      </w:pPr>
    </w:p>
    <w:p w14:paraId="1EBC5DB5" w14:textId="3B63AA2B" w:rsidR="00D078EC" w:rsidRDefault="00D078EC" w:rsidP="00F62762">
      <w:pPr>
        <w:spacing w:line="480" w:lineRule="auto"/>
        <w:rPr>
          <w:rFonts w:ascii="Times New Roman" w:hAnsi="Times New Roman"/>
          <w:sz w:val="24"/>
          <w:szCs w:val="24"/>
        </w:rPr>
      </w:pPr>
    </w:p>
    <w:p w14:paraId="7983FD0C" w14:textId="578FB5DC" w:rsidR="00D078EC" w:rsidRDefault="00D078EC" w:rsidP="00F62762">
      <w:pPr>
        <w:spacing w:line="480" w:lineRule="auto"/>
        <w:rPr>
          <w:rFonts w:ascii="Times New Roman" w:hAnsi="Times New Roman"/>
          <w:sz w:val="24"/>
          <w:szCs w:val="24"/>
        </w:rPr>
      </w:pPr>
    </w:p>
    <w:p w14:paraId="3F40A68B" w14:textId="2E41F25F" w:rsidR="00D078EC" w:rsidRDefault="00D078EC" w:rsidP="00F62762">
      <w:pPr>
        <w:spacing w:line="480" w:lineRule="auto"/>
        <w:rPr>
          <w:rFonts w:ascii="Times New Roman" w:hAnsi="Times New Roman"/>
          <w:sz w:val="24"/>
          <w:szCs w:val="24"/>
        </w:rPr>
      </w:pPr>
    </w:p>
    <w:p w14:paraId="32FBF21E" w14:textId="068426F1" w:rsidR="00D078EC" w:rsidRDefault="00D078EC" w:rsidP="00F62762">
      <w:pPr>
        <w:spacing w:line="480" w:lineRule="auto"/>
        <w:rPr>
          <w:rFonts w:ascii="Times New Roman" w:hAnsi="Times New Roman"/>
          <w:sz w:val="24"/>
          <w:szCs w:val="24"/>
        </w:rPr>
      </w:pPr>
    </w:p>
    <w:p w14:paraId="16D6AE51" w14:textId="44EA06D5" w:rsidR="00D078EC" w:rsidRDefault="00D078EC" w:rsidP="00F62762">
      <w:pPr>
        <w:spacing w:line="480" w:lineRule="auto"/>
        <w:rPr>
          <w:rFonts w:ascii="Times New Roman" w:hAnsi="Times New Roman"/>
          <w:sz w:val="24"/>
          <w:szCs w:val="24"/>
        </w:rPr>
      </w:pPr>
    </w:p>
    <w:p w14:paraId="6114F610" w14:textId="7C30B819" w:rsidR="00D078EC" w:rsidRDefault="00D078EC" w:rsidP="00F62762">
      <w:pPr>
        <w:spacing w:line="480" w:lineRule="auto"/>
        <w:rPr>
          <w:rFonts w:ascii="Times New Roman" w:hAnsi="Times New Roman"/>
          <w:sz w:val="24"/>
          <w:szCs w:val="24"/>
        </w:rPr>
      </w:pPr>
    </w:p>
    <w:p w14:paraId="741393AF" w14:textId="2E15A37A" w:rsidR="00D078EC" w:rsidRDefault="00D078EC" w:rsidP="00F62762">
      <w:pPr>
        <w:spacing w:line="480" w:lineRule="auto"/>
        <w:rPr>
          <w:rFonts w:ascii="Times New Roman" w:hAnsi="Times New Roman"/>
          <w:sz w:val="24"/>
          <w:szCs w:val="24"/>
        </w:rPr>
      </w:pPr>
    </w:p>
    <w:p w14:paraId="0F2D3F63" w14:textId="55E5780E" w:rsidR="00D078EC" w:rsidRDefault="00D078EC" w:rsidP="00F62762">
      <w:pPr>
        <w:spacing w:line="480" w:lineRule="auto"/>
        <w:rPr>
          <w:rFonts w:ascii="Times New Roman" w:hAnsi="Times New Roman"/>
          <w:sz w:val="24"/>
          <w:szCs w:val="24"/>
        </w:rPr>
      </w:pPr>
    </w:p>
    <w:p w14:paraId="5F3B88AD" w14:textId="09F73BA7" w:rsidR="00D078EC" w:rsidRDefault="00D078EC" w:rsidP="00F62762">
      <w:pPr>
        <w:spacing w:line="480" w:lineRule="auto"/>
        <w:rPr>
          <w:rFonts w:ascii="Times New Roman" w:hAnsi="Times New Roman"/>
          <w:sz w:val="24"/>
          <w:szCs w:val="24"/>
        </w:rPr>
      </w:pPr>
    </w:p>
    <w:p w14:paraId="6CB8313C" w14:textId="7145B425" w:rsidR="00D078EC" w:rsidRDefault="00D078EC" w:rsidP="00F62762">
      <w:pPr>
        <w:spacing w:line="480" w:lineRule="auto"/>
        <w:rPr>
          <w:rFonts w:ascii="Times New Roman" w:hAnsi="Times New Roman"/>
          <w:sz w:val="24"/>
          <w:szCs w:val="24"/>
        </w:rPr>
      </w:pPr>
    </w:p>
    <w:p w14:paraId="1A1CD845" w14:textId="5FA18709" w:rsidR="00D078EC" w:rsidRDefault="00D078EC" w:rsidP="00F62762">
      <w:pPr>
        <w:spacing w:line="480" w:lineRule="auto"/>
        <w:rPr>
          <w:rFonts w:ascii="Times New Roman" w:hAnsi="Times New Roman"/>
          <w:sz w:val="24"/>
          <w:szCs w:val="24"/>
        </w:rPr>
      </w:pPr>
    </w:p>
    <w:p w14:paraId="52C65868" w14:textId="1E3A7C74" w:rsidR="00D078EC" w:rsidRDefault="00D078EC" w:rsidP="00F62762">
      <w:pPr>
        <w:spacing w:line="480" w:lineRule="auto"/>
        <w:rPr>
          <w:rFonts w:ascii="Times New Roman" w:hAnsi="Times New Roman"/>
          <w:sz w:val="24"/>
          <w:szCs w:val="24"/>
        </w:rPr>
      </w:pPr>
    </w:p>
    <w:p w14:paraId="44C52C7B" w14:textId="5B484951" w:rsidR="00D078EC" w:rsidRDefault="00D078EC" w:rsidP="00F62762">
      <w:pPr>
        <w:spacing w:line="480" w:lineRule="auto"/>
        <w:rPr>
          <w:rFonts w:ascii="Times New Roman" w:hAnsi="Times New Roman"/>
          <w:sz w:val="24"/>
          <w:szCs w:val="24"/>
        </w:rPr>
      </w:pPr>
    </w:p>
    <w:p w14:paraId="7F319212" w14:textId="2BBDC117" w:rsidR="00D078EC" w:rsidRDefault="00D078EC" w:rsidP="00F62762">
      <w:pPr>
        <w:spacing w:line="480" w:lineRule="auto"/>
        <w:rPr>
          <w:rFonts w:ascii="Times New Roman" w:hAnsi="Times New Roman"/>
          <w:sz w:val="24"/>
          <w:szCs w:val="24"/>
        </w:rPr>
      </w:pPr>
    </w:p>
    <w:p w14:paraId="29A54F45" w14:textId="45DEE195" w:rsidR="00D078EC" w:rsidRDefault="00D078EC" w:rsidP="00F62762">
      <w:pPr>
        <w:spacing w:line="480" w:lineRule="auto"/>
        <w:rPr>
          <w:rFonts w:ascii="Times New Roman" w:hAnsi="Times New Roman"/>
          <w:sz w:val="24"/>
          <w:szCs w:val="24"/>
        </w:rPr>
      </w:pPr>
    </w:p>
    <w:p w14:paraId="1280F0F7" w14:textId="77A8F36B" w:rsidR="00D078EC" w:rsidRDefault="00D078EC" w:rsidP="00F62762">
      <w:pPr>
        <w:spacing w:line="480" w:lineRule="auto"/>
        <w:rPr>
          <w:rFonts w:ascii="Times New Roman" w:hAnsi="Times New Roman"/>
          <w:sz w:val="24"/>
          <w:szCs w:val="24"/>
        </w:rPr>
      </w:pPr>
    </w:p>
    <w:p w14:paraId="278F38D9" w14:textId="3C84A2BE" w:rsidR="00D078EC" w:rsidRDefault="00D078EC" w:rsidP="00F62762">
      <w:pPr>
        <w:spacing w:line="480" w:lineRule="auto"/>
        <w:rPr>
          <w:rFonts w:ascii="Times New Roman" w:hAnsi="Times New Roman"/>
          <w:sz w:val="24"/>
          <w:szCs w:val="24"/>
        </w:rPr>
      </w:pPr>
    </w:p>
    <w:p w14:paraId="4764188F" w14:textId="660EEF01" w:rsidR="00D078EC" w:rsidRDefault="00D078EC" w:rsidP="00F62762">
      <w:pPr>
        <w:spacing w:line="480" w:lineRule="auto"/>
        <w:rPr>
          <w:rFonts w:ascii="Times New Roman" w:hAnsi="Times New Roman"/>
          <w:sz w:val="24"/>
          <w:szCs w:val="24"/>
        </w:rPr>
      </w:pPr>
    </w:p>
    <w:p w14:paraId="65F3D706" w14:textId="568CDCF7" w:rsidR="00D078EC" w:rsidRDefault="00D078EC" w:rsidP="00F62762">
      <w:pPr>
        <w:spacing w:line="480" w:lineRule="auto"/>
        <w:rPr>
          <w:rFonts w:ascii="Times New Roman" w:hAnsi="Times New Roman"/>
          <w:sz w:val="24"/>
          <w:szCs w:val="24"/>
        </w:rPr>
      </w:pPr>
    </w:p>
    <w:p w14:paraId="59AC79F6" w14:textId="7CE404DC" w:rsidR="00D078EC" w:rsidRDefault="00D078EC" w:rsidP="00F62762">
      <w:pPr>
        <w:spacing w:line="480" w:lineRule="auto"/>
        <w:rPr>
          <w:rFonts w:ascii="Times New Roman" w:hAnsi="Times New Roman"/>
          <w:sz w:val="24"/>
          <w:szCs w:val="24"/>
        </w:rPr>
      </w:pPr>
    </w:p>
    <w:p w14:paraId="5AD43045" w14:textId="77777777" w:rsidR="002835EF" w:rsidRDefault="002835EF" w:rsidP="002835EF">
      <w:pPr>
        <w:rPr>
          <w:rFonts w:ascii="Times New Roman" w:hAnsi="Times New Roman"/>
          <w:sz w:val="24"/>
          <w:szCs w:val="24"/>
        </w:rPr>
      </w:pPr>
      <w:r>
        <w:rPr>
          <w:rFonts w:ascii="Times New Roman" w:hAnsi="Times New Roman"/>
          <w:sz w:val="24"/>
          <w:szCs w:val="24"/>
        </w:rPr>
        <w:lastRenderedPageBreak/>
        <w:t>Appendix A:</w:t>
      </w:r>
    </w:p>
    <w:p w14:paraId="194CADB9" w14:textId="77777777" w:rsidR="002835EF" w:rsidRDefault="002835EF" w:rsidP="002835EF">
      <w:pPr>
        <w:jc w:val="center"/>
        <w:rPr>
          <w:rFonts w:ascii="Times New Roman" w:hAnsi="Times New Roman"/>
          <w:sz w:val="24"/>
          <w:szCs w:val="24"/>
        </w:rPr>
      </w:pPr>
      <w:r>
        <w:rPr>
          <w:rFonts w:ascii="Times New Roman" w:hAnsi="Times New Roman"/>
          <w:sz w:val="24"/>
          <w:szCs w:val="24"/>
        </w:rPr>
        <w:t>Similarities:</w:t>
      </w:r>
    </w:p>
    <w:p w14:paraId="2DB13FD7" w14:textId="77777777" w:rsidR="002835EF" w:rsidRDefault="002835EF" w:rsidP="002835EF">
      <w:pPr>
        <w:rPr>
          <w:rFonts w:ascii="Times New Roman" w:hAnsi="Times New Roman"/>
          <w:sz w:val="24"/>
          <w:szCs w:val="24"/>
        </w:rPr>
      </w:pPr>
      <w:r>
        <w:rPr>
          <w:rFonts w:ascii="Times New Roman" w:hAnsi="Times New Roman"/>
          <w:sz w:val="24"/>
          <w:szCs w:val="24"/>
        </w:rPr>
        <w:t>Counter-transference:</w:t>
      </w:r>
    </w:p>
    <w:p w14:paraId="03EAE656" w14:textId="77777777" w:rsidR="002835EF" w:rsidRDefault="002835EF" w:rsidP="002835EF">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Secondary Traumatic stress: A result of becoming traumatised by working with someone who has experienced trauma (Baird and Kracen, 2006), which could be argued to be reactive transference or allowing such traumatic exposure to negatively impact emotional reaction (Ensink et al. (2013).</w:t>
      </w:r>
    </w:p>
    <w:p w14:paraId="659332CD" w14:textId="77777777" w:rsidR="002835EF" w:rsidRDefault="002835EF" w:rsidP="002835EF">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Vicarious Trauma: This can be traumatic reaction to client presented information which (Trippany, Kress and Wilcoxon, 2004), which again could be argued to be a result of Reactive Transference.</w:t>
      </w:r>
    </w:p>
    <w:p w14:paraId="5B10E033" w14:textId="77777777" w:rsidR="002835EF" w:rsidRDefault="002835EF" w:rsidP="002835EF">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Compassion fatigue: This is where through use of empathy the therapist is exposing themselves to the trauma which can whittle down resources over time (Babbel, 2012) which could be argued to stem from an unhealthy use of Reflective Counter-Transference. Both take time to onset.</w:t>
      </w:r>
    </w:p>
    <w:p w14:paraId="3175FCCA" w14:textId="77777777" w:rsidR="002835EF" w:rsidRDefault="002835EF" w:rsidP="002835EF">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Burnout: Both take time to onset.</w:t>
      </w:r>
    </w:p>
    <w:p w14:paraId="166F9951" w14:textId="77777777" w:rsidR="002835EF" w:rsidRDefault="002835EF" w:rsidP="002835EF">
      <w:pPr>
        <w:rPr>
          <w:rFonts w:ascii="Times New Roman" w:hAnsi="Times New Roman"/>
          <w:sz w:val="24"/>
          <w:szCs w:val="24"/>
        </w:rPr>
      </w:pPr>
      <w:r>
        <w:rPr>
          <w:rFonts w:ascii="Times New Roman" w:hAnsi="Times New Roman"/>
          <w:sz w:val="24"/>
          <w:szCs w:val="24"/>
        </w:rPr>
        <w:t>Secondary Traumatic Stress:</w:t>
      </w:r>
    </w:p>
    <w:p w14:paraId="52597A49" w14:textId="77777777" w:rsidR="002835EF" w:rsidRDefault="002835EF" w:rsidP="002835E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Vicarious Trauma: They both involve becoming traumatised through a client that has experienced trauma (Trippany, Kress and Wilcoxon, 2004; Baird and Kracen, 2006). Both can have an almost instantaneous onset. Both exhibit symptoms similar to that of PTSD (Baird and Kracen, 2006; Lerias and Byrne 2013). </w:t>
      </w:r>
    </w:p>
    <w:p w14:paraId="4DB535C2" w14:textId="77777777" w:rsidR="002835EF" w:rsidRDefault="002835EF" w:rsidP="002835E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Compassion fatigue: Exposure to traumatic material detrimentally affects therapist (Babbel, 2012; Baird and Kracen, 2006). Symptoms very similar in terms of sleep disruption, avoidance of activities, feeling helpless, withdrawal and fatigue (Carter, 2014; ACF, 2006). </w:t>
      </w:r>
    </w:p>
    <w:p w14:paraId="3BDC3B41" w14:textId="77777777" w:rsidR="002835EF" w:rsidRDefault="002835EF" w:rsidP="002835E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Burnout: The symptoms would appear to be similar with depersonalisation and lack of achievement that could be described as being quite apathetic with emotional exhaustion already well documented in this literature as a symptom of Secondary Traumatic Stress (BACP, 2017; ACF, 2006).</w:t>
      </w:r>
    </w:p>
    <w:p w14:paraId="0AD9F60C" w14:textId="77777777" w:rsidR="002835EF" w:rsidRDefault="002835EF" w:rsidP="002835EF">
      <w:pPr>
        <w:rPr>
          <w:rFonts w:ascii="Times New Roman" w:hAnsi="Times New Roman"/>
          <w:sz w:val="24"/>
          <w:szCs w:val="24"/>
        </w:rPr>
      </w:pPr>
      <w:r>
        <w:rPr>
          <w:rFonts w:ascii="Times New Roman" w:hAnsi="Times New Roman"/>
          <w:sz w:val="24"/>
          <w:szCs w:val="24"/>
        </w:rPr>
        <w:t>Vicarious Trauma:</w:t>
      </w:r>
    </w:p>
    <w:p w14:paraId="66C0DE22" w14:textId="77777777" w:rsidR="002835EF" w:rsidRDefault="002835EF" w:rsidP="002835EF">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Compassion Fatigue: Exposure to traumatic material detrimentally affects therapist (Babbel, 2012; Trippany, Kress and Wilcoxon, 2004). Symptoms such as avoidance both emotionally an in terms of activities and increased anxiety and arousal which includes sleep deprivation and lack of focus (Lerias and Byrne, 2003; Carter, 2014).</w:t>
      </w:r>
    </w:p>
    <w:p w14:paraId="1016ABE6" w14:textId="77777777" w:rsidR="002835EF" w:rsidRDefault="002835EF" w:rsidP="002835EF">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Burnout: The symptoms could be described as sharing similar characteristics. In this case depersonalisation can be a way of avoiding stimuli that may trigger the reliving of a specific trauma, very similar to what may occur to someone who has PTSD (BACP, 2017; Lerias and Byrne, 2003). Lack of achievement and the depersonalisation may also be impairing towards a therapist’s everyday functioning which again would fall under a similarity in terms of the two terms symptomology (BACP, 2017; Lerias and Byrne, 2003). Both could be argued to have similar predictors such as loss of control, trust needs (through organisational conflict) and esteem needs which could stem from a lack of suitable reward or reassurance.</w:t>
      </w:r>
    </w:p>
    <w:p w14:paraId="50CD5F76" w14:textId="77777777" w:rsidR="002835EF" w:rsidRDefault="002835EF" w:rsidP="002835EF">
      <w:pPr>
        <w:rPr>
          <w:rFonts w:ascii="Times New Roman" w:hAnsi="Times New Roman"/>
          <w:sz w:val="24"/>
          <w:szCs w:val="24"/>
        </w:rPr>
      </w:pPr>
      <w:r>
        <w:rPr>
          <w:rFonts w:ascii="Times New Roman" w:hAnsi="Times New Roman"/>
          <w:sz w:val="24"/>
          <w:szCs w:val="24"/>
        </w:rPr>
        <w:t>Compassion Fatigue</w:t>
      </w:r>
    </w:p>
    <w:p w14:paraId="71D40197" w14:textId="77777777" w:rsidR="002835EF" w:rsidRDefault="002835EF" w:rsidP="002835EF">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Burnout: Both are accumulative in nature in terms of exposure exceeding the therapist’s resources to cope (BACP, 2017; Babbel, 2012). In terms of symptomology </w:t>
      </w:r>
      <w:r>
        <w:rPr>
          <w:rFonts w:ascii="Times New Roman" w:hAnsi="Times New Roman" w:cs="Times New Roman"/>
          <w:sz w:val="24"/>
          <w:szCs w:val="24"/>
        </w:rPr>
        <w:lastRenderedPageBreak/>
        <w:t>there are similarities in terms of mental and physical exhaustion, hopelessness (which could come from a perception of having a lack of achievement) and depersonalisation which could take the form of unhealthy perceptions of the client from the perspective of the therapist (Lerias and Byrne, 2003; BACP, 2017).</w:t>
      </w:r>
    </w:p>
    <w:p w14:paraId="6D4DE1E2" w14:textId="77777777" w:rsidR="002835EF" w:rsidRDefault="002835EF" w:rsidP="002835EF">
      <w:pPr>
        <w:jc w:val="center"/>
        <w:rPr>
          <w:rFonts w:ascii="Times New Roman" w:hAnsi="Times New Roman"/>
          <w:sz w:val="24"/>
          <w:szCs w:val="24"/>
        </w:rPr>
      </w:pPr>
      <w:r>
        <w:rPr>
          <w:rFonts w:ascii="Times New Roman" w:hAnsi="Times New Roman"/>
          <w:sz w:val="24"/>
          <w:szCs w:val="24"/>
        </w:rPr>
        <w:t>Differences</w:t>
      </w:r>
    </w:p>
    <w:p w14:paraId="5FDF87D2" w14:textId="77777777" w:rsidR="002835EF" w:rsidRDefault="002835EF" w:rsidP="002835EF">
      <w:pPr>
        <w:rPr>
          <w:rFonts w:ascii="Times New Roman" w:hAnsi="Times New Roman"/>
          <w:sz w:val="24"/>
          <w:szCs w:val="24"/>
        </w:rPr>
      </w:pPr>
      <w:r>
        <w:rPr>
          <w:rFonts w:ascii="Times New Roman" w:hAnsi="Times New Roman"/>
          <w:sz w:val="24"/>
          <w:szCs w:val="24"/>
        </w:rPr>
        <w:t>Counter-Transference:</w:t>
      </w:r>
    </w:p>
    <w:p w14:paraId="1D6A72B6" w14:textId="77777777" w:rsidR="002835EF" w:rsidRDefault="002835EF" w:rsidP="002835EF">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Secondary Traumatic Stress: Counter-Transference is more theoretical in nature and thus difficult to quantify empirically (Ensink et al., 2013). Counter-Transference can have the potential to be used effectively within the therapeutic relationship. Secondary Traumatic Stress is more identifiable through symptomology (Baird and Kracen, 2006). Counter-Transference can be seen as a process rather than a result. Counter-Transference can take place as a result of unresolved issues whereas traumatisation can be just an exposure to traumatic stimuli (Dass-Brailsford, 2007).</w:t>
      </w:r>
    </w:p>
    <w:p w14:paraId="17BF676B" w14:textId="77777777" w:rsidR="002835EF" w:rsidRDefault="002835EF" w:rsidP="002835EF">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Vicarious trauma: Again Counter-Transference if more theoretical in nature and difficult to quantify empirically (Ensink et al., 2013). Counter-Transference can be used effectively within the therapeutic relationship. Vicarious trauma has a more identifiable symptomology (Trippany, Kress and Wilcoxon, 2004). Counter-Transference can be seen as a process rather than a result.</w:t>
      </w:r>
    </w:p>
    <w:p w14:paraId="24EF294C" w14:textId="77777777" w:rsidR="002835EF" w:rsidRDefault="002835EF" w:rsidP="002835EF">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Compassion Fatigue: Counter-Transference more theoretical in nature with empirical issues (Ensink et al., 2013). Counter-Transference can theoretically be used positively within the therapeutic relationship (Berzoff and Kita, 2010). Compassion fatigue is more symptom oriented. Counter-Transference can be seen as a psychological process (Ensink et al., 2013) rather than a resulting condition. </w:t>
      </w:r>
    </w:p>
    <w:p w14:paraId="06100FA5" w14:textId="77777777" w:rsidR="002835EF" w:rsidRDefault="002835EF" w:rsidP="002835EF">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Burnout: Counter-Transference is theoretical in nature (Ensink et al., 2013). Counter-Transference can be applied positively theoretically. Burnout again is more symptom based. Counter-Transference again is more of a process than Burnout may be considered to be which focuses more on the symptoms that develop as a result of lowered resources due to varying factors (BACP, 2017). </w:t>
      </w:r>
    </w:p>
    <w:p w14:paraId="3134E7E9" w14:textId="77777777" w:rsidR="002835EF" w:rsidRDefault="002835EF" w:rsidP="002835EF">
      <w:pPr>
        <w:rPr>
          <w:rFonts w:ascii="Times New Roman" w:hAnsi="Times New Roman"/>
          <w:sz w:val="24"/>
          <w:szCs w:val="24"/>
        </w:rPr>
      </w:pPr>
      <w:r>
        <w:rPr>
          <w:rFonts w:ascii="Times New Roman" w:hAnsi="Times New Roman"/>
          <w:sz w:val="24"/>
          <w:szCs w:val="24"/>
        </w:rPr>
        <w:t>Secondary Traumatic Stress:</w:t>
      </w:r>
    </w:p>
    <w:p w14:paraId="55B1AD9C" w14:textId="77777777" w:rsidR="002835EF" w:rsidRDefault="002835EF" w:rsidP="002835EF">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Vicarious Trauma: Vicarious trauma is more cognitive in nature (Baird and Kracen, 2006). </w:t>
      </w:r>
    </w:p>
    <w:p w14:paraId="1C5E1CF4" w14:textId="77777777" w:rsidR="002835EF" w:rsidRDefault="002835EF" w:rsidP="002835EF">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Compassion Fatigue: Compassion fatigue can take place over time (Babbel 2012) whereas Secondary Traumatic Stress can be instantaneous (Baird and Kracen, 2006).</w:t>
      </w:r>
    </w:p>
    <w:p w14:paraId="618989F7" w14:textId="77777777" w:rsidR="002835EF" w:rsidRDefault="002835EF" w:rsidP="002835EF">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Burnout: Burnout takes place over time (BACP, 2017) whereas Secondary Traumatic Stress can be instantaneous (Baird and Kracen, 2006).</w:t>
      </w:r>
    </w:p>
    <w:p w14:paraId="747EB3F3" w14:textId="77777777" w:rsidR="002835EF" w:rsidRDefault="002835EF" w:rsidP="002835EF">
      <w:pPr>
        <w:rPr>
          <w:rFonts w:ascii="Times New Roman" w:hAnsi="Times New Roman"/>
          <w:sz w:val="24"/>
          <w:szCs w:val="24"/>
        </w:rPr>
      </w:pPr>
      <w:r>
        <w:rPr>
          <w:rFonts w:ascii="Times New Roman" w:hAnsi="Times New Roman"/>
          <w:sz w:val="24"/>
          <w:szCs w:val="24"/>
        </w:rPr>
        <w:t>Vicarious Trauma:</w:t>
      </w:r>
    </w:p>
    <w:p w14:paraId="3BCA6EB5" w14:textId="77777777" w:rsidR="002835EF" w:rsidRDefault="002835EF" w:rsidP="002835EF">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Compassion fatigue: Compassion fatigue can take place over time (Babbel 2012), whereas Vicarious Trauma can be a sudden traumatisation (Trippany, Kress and Wilcoxon, 2004).</w:t>
      </w:r>
    </w:p>
    <w:p w14:paraId="6005F24A" w14:textId="77777777" w:rsidR="002835EF" w:rsidRDefault="002835EF" w:rsidP="002835EF">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Burnout: Vicarious Trauma can be instantaneous and be caused by a state of preoccupation and tension whereas Burnout is a build up over time (ACA, 2019).</w:t>
      </w:r>
    </w:p>
    <w:p w14:paraId="5F2CE73C" w14:textId="77777777" w:rsidR="002835EF" w:rsidRDefault="002835EF" w:rsidP="002835EF">
      <w:pPr>
        <w:rPr>
          <w:rFonts w:ascii="Times New Roman" w:hAnsi="Times New Roman"/>
          <w:sz w:val="24"/>
          <w:szCs w:val="24"/>
        </w:rPr>
      </w:pPr>
      <w:r>
        <w:rPr>
          <w:rFonts w:ascii="Times New Roman" w:hAnsi="Times New Roman"/>
          <w:sz w:val="24"/>
          <w:szCs w:val="24"/>
        </w:rPr>
        <w:t>Compassion fatigue:</w:t>
      </w:r>
    </w:p>
    <w:p w14:paraId="4D43FE7B" w14:textId="2F620A63" w:rsidR="00BD1BF3" w:rsidRPr="002835EF" w:rsidRDefault="002835EF" w:rsidP="002835EF">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Burnout: Compassion Fatigue can be suggested to arise from long term exposure to emotionally difficult stimuli or whereas Burnout can arise from a state of exhaustion culminating in an inability to cope within one’s own environment (Potter et al., 2010)</w:t>
      </w:r>
      <w:r w:rsidR="003873A4">
        <w:rPr>
          <w:rFonts w:ascii="Times New Roman" w:hAnsi="Times New Roman" w:cs="Times New Roman"/>
          <w:sz w:val="24"/>
          <w:szCs w:val="24"/>
        </w:rPr>
        <w:t>.</w:t>
      </w:r>
      <w:bookmarkStart w:id="0" w:name="_GoBack"/>
      <w:bookmarkEnd w:id="0"/>
    </w:p>
    <w:sectPr w:rsidR="00BD1BF3" w:rsidRPr="00283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0E28"/>
    <w:multiLevelType w:val="hybridMultilevel"/>
    <w:tmpl w:val="9D58D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217292"/>
    <w:multiLevelType w:val="hybridMultilevel"/>
    <w:tmpl w:val="39AE3A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8BD598B"/>
    <w:multiLevelType w:val="hybridMultilevel"/>
    <w:tmpl w:val="D9F2AC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BBF13B6"/>
    <w:multiLevelType w:val="hybridMultilevel"/>
    <w:tmpl w:val="7ED88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E4C5F93"/>
    <w:multiLevelType w:val="hybridMultilevel"/>
    <w:tmpl w:val="C56E8B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3893B27"/>
    <w:multiLevelType w:val="hybridMultilevel"/>
    <w:tmpl w:val="B7A6EB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BCA676A"/>
    <w:multiLevelType w:val="hybridMultilevel"/>
    <w:tmpl w:val="48C4F0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A8219D5"/>
    <w:multiLevelType w:val="hybridMultilevel"/>
    <w:tmpl w:val="48961E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BC743B0"/>
    <w:multiLevelType w:val="hybridMultilevel"/>
    <w:tmpl w:val="DC3ED9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A1B515C"/>
    <w:multiLevelType w:val="hybridMultilevel"/>
    <w:tmpl w:val="4F1E90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5493B90"/>
    <w:multiLevelType w:val="hybridMultilevel"/>
    <w:tmpl w:val="679AF2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8E4249C"/>
    <w:multiLevelType w:val="hybridMultilevel"/>
    <w:tmpl w:val="784EC2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lvlOverride w:ilvl="0"/>
    <w:lvlOverride w:ilvl="1"/>
    <w:lvlOverride w:ilvl="2"/>
    <w:lvlOverride w:ilvl="3"/>
    <w:lvlOverride w:ilvl="4"/>
    <w:lvlOverride w:ilvl="5"/>
    <w:lvlOverride w:ilvl="6"/>
    <w:lvlOverride w:ilvl="7"/>
    <w:lvlOverride w:ilvl="8"/>
  </w:num>
  <w:num w:numId="2">
    <w:abstractNumId w:val="6"/>
    <w:lvlOverride w:ilvl="0"/>
    <w:lvlOverride w:ilvl="1"/>
    <w:lvlOverride w:ilvl="2"/>
    <w:lvlOverride w:ilvl="3"/>
    <w:lvlOverride w:ilvl="4"/>
    <w:lvlOverride w:ilvl="5"/>
    <w:lvlOverride w:ilvl="6"/>
    <w:lvlOverride w:ilvl="7"/>
    <w:lvlOverride w:ilvl="8"/>
  </w:num>
  <w:num w:numId="3">
    <w:abstractNumId w:val="4"/>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 w:numId="5">
    <w:abstractNumId w:val="2"/>
  </w:num>
  <w:num w:numId="6">
    <w:abstractNumId w:val="9"/>
    <w:lvlOverride w:ilvl="0"/>
    <w:lvlOverride w:ilvl="1"/>
    <w:lvlOverride w:ilvl="2"/>
    <w:lvlOverride w:ilvl="3"/>
    <w:lvlOverride w:ilvl="4"/>
    <w:lvlOverride w:ilvl="5"/>
    <w:lvlOverride w:ilvl="6"/>
    <w:lvlOverride w:ilvl="7"/>
    <w:lvlOverride w:ilvl="8"/>
  </w:num>
  <w:num w:numId="7">
    <w:abstractNumId w:val="10"/>
    <w:lvlOverride w:ilvl="0"/>
    <w:lvlOverride w:ilvl="1"/>
    <w:lvlOverride w:ilvl="2"/>
    <w:lvlOverride w:ilvl="3"/>
    <w:lvlOverride w:ilvl="4"/>
    <w:lvlOverride w:ilvl="5"/>
    <w:lvlOverride w:ilvl="6"/>
    <w:lvlOverride w:ilvl="7"/>
    <w:lvlOverride w:ilvl="8"/>
  </w:num>
  <w:num w:numId="8">
    <w:abstractNumId w:val="8"/>
    <w:lvlOverride w:ilvl="0"/>
    <w:lvlOverride w:ilvl="1"/>
    <w:lvlOverride w:ilvl="2"/>
    <w:lvlOverride w:ilvl="3"/>
    <w:lvlOverride w:ilvl="4"/>
    <w:lvlOverride w:ilvl="5"/>
    <w:lvlOverride w:ilvl="6"/>
    <w:lvlOverride w:ilvl="7"/>
    <w:lvlOverride w:ilvl="8"/>
  </w:num>
  <w:num w:numId="9">
    <w:abstractNumId w:val="0"/>
    <w:lvlOverride w:ilvl="0"/>
    <w:lvlOverride w:ilvl="1"/>
    <w:lvlOverride w:ilvl="2"/>
    <w:lvlOverride w:ilvl="3"/>
    <w:lvlOverride w:ilvl="4"/>
    <w:lvlOverride w:ilvl="5"/>
    <w:lvlOverride w:ilvl="6"/>
    <w:lvlOverride w:ilvl="7"/>
    <w:lvlOverride w:ilvl="8"/>
  </w:num>
  <w:num w:numId="10">
    <w:abstractNumId w:val="1"/>
    <w:lvlOverride w:ilvl="0"/>
    <w:lvlOverride w:ilvl="1"/>
    <w:lvlOverride w:ilvl="2"/>
    <w:lvlOverride w:ilvl="3"/>
    <w:lvlOverride w:ilvl="4"/>
    <w:lvlOverride w:ilvl="5"/>
    <w:lvlOverride w:ilvl="6"/>
    <w:lvlOverride w:ilvl="7"/>
    <w:lvlOverride w:ilvl="8"/>
  </w:num>
  <w:num w:numId="11">
    <w:abstractNumId w:val="7"/>
    <w:lvlOverride w:ilvl="0"/>
    <w:lvlOverride w:ilvl="1"/>
    <w:lvlOverride w:ilvl="2"/>
    <w:lvlOverride w:ilvl="3"/>
    <w:lvlOverride w:ilvl="4"/>
    <w:lvlOverride w:ilvl="5"/>
    <w:lvlOverride w:ilvl="6"/>
    <w:lvlOverride w:ilvl="7"/>
    <w:lvlOverride w:ilvl="8"/>
  </w:num>
  <w:num w:numId="12">
    <w:abstractNumId w:val="3"/>
    <w:lvlOverride w:ilvl="0"/>
    <w:lvlOverride w:ilvl="1"/>
    <w:lvlOverride w:ilvl="2"/>
    <w:lvlOverride w:ilvl="3"/>
    <w:lvlOverride w:ilvl="4"/>
    <w:lvlOverride w:ilvl="5"/>
    <w:lvlOverride w:ilvl="6"/>
    <w:lvlOverride w:ilvl="7"/>
    <w:lvlOverride w:ilvl="8"/>
  </w:num>
  <w:num w:numId="13">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BF3"/>
    <w:rsid w:val="002835EF"/>
    <w:rsid w:val="003873A4"/>
    <w:rsid w:val="007E2FFF"/>
    <w:rsid w:val="009F72B2"/>
    <w:rsid w:val="00BD1BF3"/>
    <w:rsid w:val="00D078EC"/>
    <w:rsid w:val="00F62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C4C9B"/>
  <w15:chartTrackingRefBased/>
  <w15:docId w15:val="{9261B103-8D0D-4528-827C-72B1B8150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BF3"/>
    <w:pPr>
      <w:spacing w:after="0" w:line="240" w:lineRule="auto"/>
    </w:pPr>
    <w:rPr>
      <w:rFonts w:ascii="Arial" w:eastAsia="Times New Roman" w:hAnsi="Arial"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BD1BF3"/>
    <w:rPr>
      <w:lang w:val="x-none" w:eastAsia="x-none"/>
    </w:rPr>
  </w:style>
  <w:style w:type="character" w:customStyle="1" w:styleId="CommentTextChar">
    <w:name w:val="Comment Text Char"/>
    <w:basedOn w:val="DefaultParagraphFont"/>
    <w:link w:val="CommentText"/>
    <w:uiPriority w:val="99"/>
    <w:rsid w:val="00BD1BF3"/>
    <w:rPr>
      <w:rFonts w:ascii="Arial" w:eastAsia="Times New Roman" w:hAnsi="Arial" w:cs="Times New Roman"/>
      <w:sz w:val="20"/>
      <w:szCs w:val="20"/>
      <w:lang w:val="x-none" w:eastAsia="x-none"/>
    </w:rPr>
  </w:style>
  <w:style w:type="paragraph" w:styleId="ListParagraph">
    <w:name w:val="List Paragraph"/>
    <w:basedOn w:val="Normal"/>
    <w:uiPriority w:val="34"/>
    <w:qFormat/>
    <w:rsid w:val="00BD1BF3"/>
    <w:pPr>
      <w:spacing w:after="160" w:line="256" w:lineRule="auto"/>
      <w:ind w:left="720"/>
      <w:contextualSpacing/>
    </w:pPr>
    <w:rPr>
      <w:rFonts w:asciiTheme="minorHAnsi" w:eastAsiaTheme="minorHAnsi" w:hAnsiTheme="minorHAnsi" w:cstheme="minorBidi"/>
      <w:sz w:val="22"/>
      <w:szCs w:val="22"/>
      <w:lang w:eastAsia="en-US"/>
    </w:rPr>
  </w:style>
  <w:style w:type="character" w:styleId="Hyperlink">
    <w:name w:val="Hyperlink"/>
    <w:rsid w:val="00D078EC"/>
    <w:rPr>
      <w:color w:val="0000FF"/>
      <w:u w:val="single"/>
    </w:rPr>
  </w:style>
  <w:style w:type="character" w:styleId="Emphasis">
    <w:name w:val="Emphasis"/>
    <w:basedOn w:val="DefaultParagraphFont"/>
    <w:uiPriority w:val="20"/>
    <w:qFormat/>
    <w:rsid w:val="00D078EC"/>
    <w:rPr>
      <w:i/>
      <w:iCs/>
    </w:rPr>
  </w:style>
  <w:style w:type="character" w:customStyle="1" w:styleId="ws45">
    <w:name w:val="ws45"/>
    <w:basedOn w:val="DefaultParagraphFont"/>
    <w:rsid w:val="00D078EC"/>
  </w:style>
  <w:style w:type="character" w:styleId="FollowedHyperlink">
    <w:name w:val="FollowedHyperlink"/>
    <w:basedOn w:val="DefaultParagraphFont"/>
    <w:uiPriority w:val="99"/>
    <w:semiHidden/>
    <w:unhideWhenUsed/>
    <w:rsid w:val="00D078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301151">
      <w:bodyDiv w:val="1"/>
      <w:marLeft w:val="0"/>
      <w:marRight w:val="0"/>
      <w:marTop w:val="0"/>
      <w:marBottom w:val="0"/>
      <w:divBdr>
        <w:top w:val="none" w:sz="0" w:space="0" w:color="auto"/>
        <w:left w:val="none" w:sz="0" w:space="0" w:color="auto"/>
        <w:bottom w:val="none" w:sz="0" w:space="0" w:color="auto"/>
        <w:right w:val="none" w:sz="0" w:space="0" w:color="auto"/>
      </w:divBdr>
    </w:div>
    <w:div w:id="1191336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bacp-journals/therapy-today/2017/november-2017/burnout/" TargetMode="External"/><Relationship Id="rId13" Type="http://schemas.openxmlformats.org/officeDocument/2006/relationships/hyperlink" Target="https://researchbriefings.parliament.uk/ResearchBriefing/Summary/SN06988" TargetMode="External"/><Relationship Id="rId18" Type="http://schemas.openxmlformats.org/officeDocument/2006/relationships/hyperlink" Target="https://doi.org/10.1080/10503307.2014.893068" TargetMode="External"/><Relationship Id="rId3" Type="http://schemas.openxmlformats.org/officeDocument/2006/relationships/settings" Target="settings.xml"/><Relationship Id="rId21" Type="http://schemas.openxmlformats.org/officeDocument/2006/relationships/hyperlink" Target="https://www.mentalhealthtoday.co.uk/news/awareness/rise-in-demand-for-private-counsellors-as-patients-say-nhs-waiting-lists-are-too-long" TargetMode="External"/><Relationship Id="rId7" Type="http://schemas.openxmlformats.org/officeDocument/2006/relationships/hyperlink" Target="https://www.psychologytoday.com/gb/blog/somatic-psychology/201207/compassion-fatigue" TargetMode="External"/><Relationship Id="rId12" Type="http://schemas.openxmlformats.org/officeDocument/2006/relationships/hyperlink" Target="https://doi.org/10.1176/appi.psychotherapy.2007.61.4.351" TargetMode="External"/><Relationship Id="rId17" Type="http://schemas.openxmlformats.org/officeDocument/2006/relationships/hyperlink" Target="https://doi.org/10.1371/journal.pcbi.1003149" TargetMode="External"/><Relationship Id="rId2" Type="http://schemas.openxmlformats.org/officeDocument/2006/relationships/styles" Target="styles.xml"/><Relationship Id="rId16" Type="http://schemas.openxmlformats.org/officeDocument/2006/relationships/hyperlink" Target="https://www.macmillan.org.uk/information-and-support/coping/at-the-end-of-life/coping-with-bereavement/symptoms-of-grief.html" TargetMode="External"/><Relationship Id="rId20" Type="http://schemas.openxmlformats.org/officeDocument/2006/relationships/hyperlink" Target="https://psycnet.apa.org/doi/10.1037/trm0000116" TargetMode="External"/><Relationship Id="rId1" Type="http://schemas.openxmlformats.org/officeDocument/2006/relationships/numbering" Target="numbering.xml"/><Relationship Id="rId6" Type="http://schemas.openxmlformats.org/officeDocument/2006/relationships/hyperlink" Target="https://aifs.gov.au/publications/feeling-heavy/what-vicarious-trauma" TargetMode="External"/><Relationship Id="rId11" Type="http://schemas.openxmlformats.org/officeDocument/2006/relationships/hyperlink" Target="https://www.psychologytoday.com/gb/blog/high-octane-women/201407/are-you-suffering-compassion-fatigue" TargetMode="External"/><Relationship Id="rId5" Type="http://schemas.openxmlformats.org/officeDocument/2006/relationships/hyperlink" Target="https://ada.com/signs-of-burnout/" TargetMode="External"/><Relationship Id="rId15" Type="http://schemas.openxmlformats.org/officeDocument/2006/relationships/hyperlink" Target="https://doi.org/10.1002/smi.969" TargetMode="External"/><Relationship Id="rId23" Type="http://schemas.openxmlformats.org/officeDocument/2006/relationships/theme" Target="theme/theme1.xml"/><Relationship Id="rId10" Type="http://schemas.openxmlformats.org/officeDocument/2006/relationships/hyperlink" Target="https://link.springer.com/article/10.1007/s10615-010-0271-8" TargetMode="External"/><Relationship Id="rId19" Type="http://schemas.openxmlformats.org/officeDocument/2006/relationships/hyperlink" Target="https://doi.org/10.1002/j.1556-6678.2004.tb00283.x" TargetMode="External"/><Relationship Id="rId4" Type="http://schemas.openxmlformats.org/officeDocument/2006/relationships/webSettings" Target="webSettings.xml"/><Relationship Id="rId9" Type="http://schemas.openxmlformats.org/officeDocument/2006/relationships/hyperlink" Target="https://www.bacp.co.uk/media/3103/bacp-ethical-framework-for-the-counselling-professions-2018.pdf" TargetMode="External"/><Relationship Id="rId14" Type="http://schemas.openxmlformats.org/officeDocument/2006/relationships/hyperlink" Target="https://doi.org/10.1177%2F095935430111400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49</Pages>
  <Words>15721</Words>
  <Characters>84737</Characters>
  <Application>Microsoft Office Word</Application>
  <DocSecurity>0</DocSecurity>
  <Lines>1283</Lines>
  <Paragraphs>280</Paragraphs>
  <ScaleCrop>false</ScaleCrop>
  <Company/>
  <LinksUpToDate>false</LinksUpToDate>
  <CharactersWithSpaces>100178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Nicholls</dc:creator>
  <cp:keywords/>
  <dc:description/>
  <cp:lastModifiedBy>Chris Nicholls</cp:lastModifiedBy>
  <cp:revision>5</cp:revision>
  <dcterms:created xsi:type="dcterms:W3CDTF">2019-12-12T23:05:00Z</dcterms:created>
  <dcterms:modified xsi:type="dcterms:W3CDTF">2019-12-12T23:13:00Z</dcterms:modified>
</cp:coreProperties>
</file>