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b/>
          <w:i/>
          <w:caps/>
          <w:sz w:val="24"/>
          <w:szCs w:val="24"/>
          <w:u w:val="single"/>
          <w:lang w:val="en-GB" w:eastAsia="en-GB"/>
        </w:rPr>
        <w:id w:val="15212578"/>
        <w:docPartObj>
          <w:docPartGallery w:val="Cover Pages"/>
          <w:docPartUnique/>
        </w:docPartObj>
      </w:sdtPr>
      <w:sdtEndPr>
        <w:rPr>
          <w:rFonts w:eastAsia="Times New Roman"/>
          <w:b w:val="0"/>
          <w:i w:val="0"/>
          <w:caps w:val="0"/>
          <w:color w:val="000000"/>
          <w:u w:val="none"/>
          <w:lang w:eastAsia="en-US"/>
        </w:rPr>
      </w:sdtEndPr>
      <w:sdtContent>
        <w:tbl>
          <w:tblPr>
            <w:tblW w:w="5000" w:type="pct"/>
            <w:jc w:val="center"/>
            <w:tblLook w:val="04A0" w:firstRow="1" w:lastRow="0" w:firstColumn="1" w:lastColumn="0" w:noHBand="0" w:noVBand="1"/>
          </w:tblPr>
          <w:tblGrid>
            <w:gridCol w:w="9026"/>
          </w:tblGrid>
          <w:tr w:rsidR="007E132D" w14:paraId="3B48D86F" w14:textId="77777777" w:rsidTr="00EF3489">
            <w:trPr>
              <w:trHeight w:val="2880"/>
              <w:jc w:val="center"/>
            </w:trPr>
            <w:sdt>
              <w:sdtPr>
                <w:rPr>
                  <w:rFonts w:ascii="Arial" w:eastAsiaTheme="majorEastAsia" w:hAnsi="Arial" w:cs="Arial"/>
                  <w:b/>
                  <w:i/>
                  <w:caps/>
                  <w:sz w:val="24"/>
                  <w:szCs w:val="24"/>
                  <w:u w:val="single"/>
                  <w:lang w:val="en-GB" w:eastAsia="en-GB"/>
                </w:rPr>
                <w:alias w:val="Company"/>
                <w:id w:val="15524243"/>
                <w:dataBinding w:prefixMappings="xmlns:ns0='http://schemas.openxmlformats.org/officeDocument/2006/extended-properties'" w:xpath="/ns0:Properties[1]/ns0:Company[1]" w:storeItemID="{6668398D-A668-4E3E-A5EB-62B293D839F1}"/>
                <w:text/>
              </w:sdtPr>
              <w:sdtEndPr>
                <w:rPr>
                  <w:lang w:val="en-US" w:eastAsia="en-US"/>
                </w:rPr>
              </w:sdtEndPr>
              <w:sdtContent>
                <w:tc>
                  <w:tcPr>
                    <w:tcW w:w="5000" w:type="pct"/>
                  </w:tcPr>
                  <w:p w14:paraId="7A76D150" w14:textId="425B9ACE" w:rsidR="007E132D" w:rsidRDefault="007E132D" w:rsidP="00EF3489">
                    <w:pPr>
                      <w:pStyle w:val="NoSpacing"/>
                      <w:jc w:val="center"/>
                      <w:rPr>
                        <w:rFonts w:asciiTheme="majorHAnsi" w:eastAsiaTheme="majorEastAsia" w:hAnsiTheme="majorHAnsi" w:cstheme="majorBidi"/>
                        <w:caps/>
                      </w:rPr>
                    </w:pPr>
                    <w:r>
                      <w:rPr>
                        <w:rFonts w:ascii="Arial" w:eastAsiaTheme="majorEastAsia" w:hAnsi="Arial" w:cs="Arial"/>
                        <w:b/>
                        <w:i/>
                        <w:caps/>
                        <w:sz w:val="24"/>
                        <w:szCs w:val="24"/>
                        <w:u w:val="single"/>
                        <w:lang w:val="en-GB" w:eastAsia="en-GB"/>
                      </w:rPr>
                      <w:t>UNIVERSITY OF WALES TRINITY SAINT DAVID</w:t>
                    </w:r>
                  </w:p>
                </w:tc>
              </w:sdtContent>
            </w:sdt>
          </w:tr>
          <w:tr w:rsidR="007E132D" w14:paraId="4E511E28" w14:textId="77777777" w:rsidTr="00EF3489">
            <w:trPr>
              <w:trHeight w:val="1440"/>
              <w:jc w:val="center"/>
            </w:trPr>
            <w:tc>
              <w:tcPr>
                <w:tcW w:w="5000" w:type="pct"/>
                <w:tcBorders>
                  <w:bottom w:val="single" w:sz="4" w:space="0" w:color="4472C4" w:themeColor="accent1"/>
                </w:tcBorders>
                <w:vAlign w:val="center"/>
              </w:tcPr>
              <w:p w14:paraId="74A3E33A" w14:textId="020DB39C" w:rsidR="007E132D" w:rsidRPr="007E132D" w:rsidRDefault="007E132D" w:rsidP="00EF3489">
                <w:pPr>
                  <w:pStyle w:val="NoSpacing"/>
                  <w:jc w:val="center"/>
                  <w:rPr>
                    <w:rFonts w:asciiTheme="majorHAnsi" w:eastAsiaTheme="majorEastAsia" w:hAnsiTheme="majorHAnsi" w:cstheme="majorBidi"/>
                    <w:sz w:val="52"/>
                    <w:szCs w:val="52"/>
                  </w:rPr>
                </w:pPr>
                <w:r w:rsidRPr="007E132D">
                  <w:rPr>
                    <w:rFonts w:ascii="Arial" w:hAnsi="Arial" w:cs="Arial"/>
                    <w:sz w:val="52"/>
                    <w:szCs w:val="52"/>
                  </w:rPr>
                  <w:t xml:space="preserve">Critically </w:t>
                </w:r>
                <w:r>
                  <w:rPr>
                    <w:rFonts w:ascii="Arial" w:hAnsi="Arial" w:cs="Arial"/>
                    <w:sz w:val="52"/>
                    <w:szCs w:val="52"/>
                  </w:rPr>
                  <w:t>E</w:t>
                </w:r>
                <w:r w:rsidRPr="007E132D">
                  <w:rPr>
                    <w:rFonts w:ascii="Arial" w:hAnsi="Arial" w:cs="Arial"/>
                    <w:sz w:val="52"/>
                    <w:szCs w:val="52"/>
                  </w:rPr>
                  <w:t xml:space="preserve">valuate the </w:t>
                </w:r>
                <w:r>
                  <w:rPr>
                    <w:rFonts w:ascii="Arial" w:hAnsi="Arial" w:cs="Arial"/>
                    <w:sz w:val="52"/>
                    <w:szCs w:val="52"/>
                  </w:rPr>
                  <w:t>A</w:t>
                </w:r>
                <w:r w:rsidRPr="007E132D">
                  <w:rPr>
                    <w:rFonts w:ascii="Arial" w:hAnsi="Arial" w:cs="Arial"/>
                    <w:sz w:val="52"/>
                    <w:szCs w:val="52"/>
                  </w:rPr>
                  <w:t xml:space="preserve">rguments </w:t>
                </w:r>
                <w:r>
                  <w:rPr>
                    <w:rFonts w:ascii="Arial" w:hAnsi="Arial" w:cs="Arial"/>
                    <w:sz w:val="52"/>
                    <w:szCs w:val="52"/>
                  </w:rPr>
                  <w:t>F</w:t>
                </w:r>
                <w:r w:rsidRPr="007E132D">
                  <w:rPr>
                    <w:rFonts w:ascii="Arial" w:hAnsi="Arial" w:cs="Arial"/>
                    <w:sz w:val="52"/>
                    <w:szCs w:val="52"/>
                  </w:rPr>
                  <w:t xml:space="preserve">or and </w:t>
                </w:r>
                <w:r>
                  <w:rPr>
                    <w:rFonts w:ascii="Arial" w:hAnsi="Arial" w:cs="Arial"/>
                    <w:sz w:val="52"/>
                    <w:szCs w:val="52"/>
                  </w:rPr>
                  <w:t>A</w:t>
                </w:r>
                <w:r w:rsidRPr="007E132D">
                  <w:rPr>
                    <w:rFonts w:ascii="Arial" w:hAnsi="Arial" w:cs="Arial"/>
                    <w:sz w:val="52"/>
                    <w:szCs w:val="52"/>
                  </w:rPr>
                  <w:t xml:space="preserve">gainst </w:t>
                </w:r>
                <w:r>
                  <w:rPr>
                    <w:rFonts w:ascii="Arial" w:hAnsi="Arial" w:cs="Arial"/>
                    <w:sz w:val="52"/>
                    <w:szCs w:val="52"/>
                  </w:rPr>
                  <w:t>R</w:t>
                </w:r>
                <w:r w:rsidRPr="007E132D">
                  <w:rPr>
                    <w:rFonts w:ascii="Arial" w:hAnsi="Arial" w:cs="Arial"/>
                    <w:sz w:val="52"/>
                    <w:szCs w:val="52"/>
                  </w:rPr>
                  <w:t>aising the MACR (</w:t>
                </w:r>
                <w:r>
                  <w:rPr>
                    <w:rFonts w:ascii="Arial" w:hAnsi="Arial" w:cs="Arial"/>
                    <w:sz w:val="52"/>
                    <w:szCs w:val="52"/>
                  </w:rPr>
                  <w:t>M</w:t>
                </w:r>
                <w:r w:rsidRPr="007E132D">
                  <w:rPr>
                    <w:rFonts w:ascii="Arial" w:hAnsi="Arial" w:cs="Arial"/>
                    <w:sz w:val="52"/>
                    <w:szCs w:val="52"/>
                  </w:rPr>
                  <w:t xml:space="preserve">inimum </w:t>
                </w:r>
                <w:r>
                  <w:rPr>
                    <w:rFonts w:ascii="Arial" w:hAnsi="Arial" w:cs="Arial"/>
                    <w:sz w:val="52"/>
                    <w:szCs w:val="52"/>
                  </w:rPr>
                  <w:t>A</w:t>
                </w:r>
                <w:r w:rsidRPr="007E132D">
                  <w:rPr>
                    <w:rFonts w:ascii="Arial" w:hAnsi="Arial" w:cs="Arial"/>
                    <w:sz w:val="52"/>
                    <w:szCs w:val="52"/>
                  </w:rPr>
                  <w:t xml:space="preserve">ge of </w:t>
                </w:r>
                <w:r>
                  <w:rPr>
                    <w:rFonts w:ascii="Arial" w:hAnsi="Arial" w:cs="Arial"/>
                    <w:sz w:val="52"/>
                    <w:szCs w:val="52"/>
                  </w:rPr>
                  <w:t>C</w:t>
                </w:r>
                <w:r w:rsidRPr="007E132D">
                  <w:rPr>
                    <w:rFonts w:ascii="Arial" w:hAnsi="Arial" w:cs="Arial"/>
                    <w:sz w:val="52"/>
                    <w:szCs w:val="52"/>
                  </w:rPr>
                  <w:t xml:space="preserve">riminal </w:t>
                </w:r>
                <w:r>
                  <w:rPr>
                    <w:rFonts w:ascii="Arial" w:hAnsi="Arial" w:cs="Arial"/>
                    <w:sz w:val="52"/>
                    <w:szCs w:val="52"/>
                  </w:rPr>
                  <w:t>R</w:t>
                </w:r>
                <w:r w:rsidRPr="007E132D">
                  <w:rPr>
                    <w:rFonts w:ascii="Arial" w:hAnsi="Arial" w:cs="Arial"/>
                    <w:sz w:val="52"/>
                    <w:szCs w:val="52"/>
                  </w:rPr>
                  <w:t>esponsibility) in England and Wales</w:t>
                </w:r>
              </w:p>
            </w:tc>
          </w:tr>
          <w:tr w:rsidR="007E132D" w14:paraId="01610299" w14:textId="77777777" w:rsidTr="00EF3489">
            <w:trPr>
              <w:trHeight w:val="720"/>
              <w:jc w:val="center"/>
            </w:trPr>
            <w:sdt>
              <w:sdtPr>
                <w:rPr>
                  <w:rFonts w:ascii="Arial" w:hAnsi="Arial" w:cs="Arial"/>
                  <w:bCs/>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18FEC890" w14:textId="620FBD74" w:rsidR="007E132D" w:rsidRDefault="007E132D" w:rsidP="00EF3489">
                    <w:pPr>
                      <w:pStyle w:val="NoSpacing"/>
                      <w:jc w:val="center"/>
                      <w:rPr>
                        <w:rFonts w:asciiTheme="majorHAnsi" w:eastAsiaTheme="majorEastAsia" w:hAnsiTheme="majorHAnsi" w:cstheme="majorBidi"/>
                        <w:sz w:val="44"/>
                        <w:szCs w:val="44"/>
                      </w:rPr>
                    </w:pPr>
                    <w:r w:rsidRPr="007E132D">
                      <w:rPr>
                        <w:rFonts w:ascii="Arial" w:hAnsi="Arial" w:cs="Arial"/>
                        <w:bCs/>
                        <w:sz w:val="44"/>
                        <w:szCs w:val="44"/>
                      </w:rPr>
                      <w:t>The Criminal Justice System, Youth Justice &amp; Prison Systems in England &amp; Wales – Assignment 1 Lecturer: Rhiannon Lloyd</w:t>
                    </w:r>
                  </w:p>
                </w:tc>
              </w:sdtContent>
            </w:sdt>
          </w:tr>
          <w:tr w:rsidR="007E132D" w14:paraId="74B8C708" w14:textId="77777777" w:rsidTr="00EF3489">
            <w:trPr>
              <w:trHeight w:val="360"/>
              <w:jc w:val="center"/>
            </w:trPr>
            <w:tc>
              <w:tcPr>
                <w:tcW w:w="5000" w:type="pct"/>
                <w:vAlign w:val="center"/>
              </w:tcPr>
              <w:p w14:paraId="01AD6999" w14:textId="77777777" w:rsidR="007E132D" w:rsidRDefault="007E132D" w:rsidP="00EF3489">
                <w:pPr>
                  <w:pStyle w:val="NoSpacing"/>
                  <w:jc w:val="center"/>
                </w:pPr>
              </w:p>
            </w:tc>
          </w:tr>
          <w:tr w:rsidR="007E132D" w14:paraId="109EA76A" w14:textId="77777777" w:rsidTr="00EF3489">
            <w:trPr>
              <w:trHeight w:val="360"/>
              <w:jc w:val="center"/>
            </w:trPr>
            <w:sdt>
              <w:sdtPr>
                <w:rPr>
                  <w:rFonts w:ascii="Arial" w:hAnsi="Arial" w:cs="Arial"/>
                  <w:b/>
                  <w:bCs/>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6FB868F0" w14:textId="1E4E2235" w:rsidR="007E132D" w:rsidRDefault="007E132D" w:rsidP="00EF3489">
                    <w:pPr>
                      <w:pStyle w:val="NoSpacing"/>
                      <w:jc w:val="center"/>
                      <w:rPr>
                        <w:b/>
                        <w:bCs/>
                      </w:rPr>
                    </w:pPr>
                    <w:r>
                      <w:rPr>
                        <w:rFonts w:ascii="Arial" w:hAnsi="Arial" w:cs="Arial"/>
                        <w:b/>
                        <w:bCs/>
                        <w:sz w:val="24"/>
                        <w:szCs w:val="24"/>
                      </w:rPr>
                      <w:t>Callum Samuel – ID : 1801402</w:t>
                    </w:r>
                  </w:p>
                </w:tc>
              </w:sdtContent>
            </w:sdt>
          </w:tr>
          <w:tr w:rsidR="007E132D" w14:paraId="7D60293F" w14:textId="77777777" w:rsidTr="00EF3489">
            <w:trPr>
              <w:trHeight w:val="360"/>
              <w:jc w:val="center"/>
            </w:trPr>
            <w:tc>
              <w:tcPr>
                <w:tcW w:w="5000" w:type="pct"/>
                <w:vAlign w:val="center"/>
              </w:tcPr>
              <w:p w14:paraId="2F904071" w14:textId="77777777" w:rsidR="007E132D" w:rsidRDefault="007E132D" w:rsidP="00EF3489">
                <w:pPr>
                  <w:pStyle w:val="NoSpacing"/>
                  <w:jc w:val="center"/>
                  <w:rPr>
                    <w:rFonts w:ascii="Arial" w:hAnsi="Arial" w:cs="Arial"/>
                    <w:b/>
                    <w:bCs/>
                    <w:sz w:val="24"/>
                    <w:szCs w:val="24"/>
                  </w:rPr>
                </w:pPr>
                <w:r w:rsidRPr="00B253B8">
                  <w:rPr>
                    <w:rFonts w:ascii="Arial" w:hAnsi="Arial" w:cs="Arial"/>
                    <w:b/>
                    <w:bCs/>
                    <w:sz w:val="24"/>
                    <w:szCs w:val="24"/>
                  </w:rPr>
                  <w:t>Deadline - 0</w:t>
                </w:r>
                <w:r>
                  <w:rPr>
                    <w:rFonts w:ascii="Arial" w:hAnsi="Arial" w:cs="Arial"/>
                    <w:b/>
                    <w:bCs/>
                    <w:sz w:val="24"/>
                    <w:szCs w:val="24"/>
                  </w:rPr>
                  <w:t>5</w:t>
                </w:r>
                <w:r w:rsidRPr="00B253B8">
                  <w:rPr>
                    <w:rFonts w:ascii="Arial" w:hAnsi="Arial" w:cs="Arial"/>
                    <w:b/>
                    <w:bCs/>
                    <w:sz w:val="24"/>
                    <w:szCs w:val="24"/>
                  </w:rPr>
                  <w:t>.</w:t>
                </w:r>
                <w:r>
                  <w:rPr>
                    <w:rFonts w:ascii="Arial" w:hAnsi="Arial" w:cs="Arial"/>
                    <w:b/>
                    <w:bCs/>
                    <w:sz w:val="24"/>
                    <w:szCs w:val="24"/>
                  </w:rPr>
                  <w:t>11</w:t>
                </w:r>
                <w:r w:rsidRPr="00B253B8">
                  <w:rPr>
                    <w:rFonts w:ascii="Arial" w:hAnsi="Arial" w:cs="Arial"/>
                    <w:b/>
                    <w:bCs/>
                    <w:sz w:val="24"/>
                    <w:szCs w:val="24"/>
                  </w:rPr>
                  <w:t>.21</w:t>
                </w:r>
              </w:p>
              <w:p w14:paraId="31895A76" w14:textId="04EBFF7A" w:rsidR="001F2997" w:rsidRPr="00B253B8" w:rsidRDefault="001F2997" w:rsidP="00EF3489">
                <w:pPr>
                  <w:pStyle w:val="NoSpacing"/>
                  <w:jc w:val="center"/>
                  <w:rPr>
                    <w:rFonts w:ascii="Arial" w:hAnsi="Arial" w:cs="Arial"/>
                    <w:b/>
                    <w:bCs/>
                    <w:sz w:val="24"/>
                    <w:szCs w:val="24"/>
                  </w:rPr>
                </w:pPr>
                <w:r>
                  <w:rPr>
                    <w:rFonts w:ascii="Arial" w:hAnsi="Arial" w:cs="Arial"/>
                    <w:b/>
                    <w:bCs/>
                    <w:sz w:val="24"/>
                    <w:szCs w:val="24"/>
                  </w:rPr>
                  <w:t>MA – Criminal Justice and Policing</w:t>
                </w:r>
              </w:p>
            </w:tc>
          </w:tr>
        </w:tbl>
        <w:p w14:paraId="49AEE58A" w14:textId="6023F99A" w:rsidR="007E132D" w:rsidRPr="004F3CCC" w:rsidRDefault="007E132D" w:rsidP="004F3CCC">
          <w:pPr>
            <w:rPr>
              <w:rFonts w:ascii="Arial" w:hAnsi="Arial" w:cs="Arial"/>
              <w:sz w:val="24"/>
              <w:szCs w:val="24"/>
            </w:rPr>
          </w:pPr>
        </w:p>
        <w:tbl>
          <w:tblPr>
            <w:tblpPr w:leftFromText="187" w:rightFromText="187" w:horzAnchor="margin" w:tblpXSpec="center" w:tblpYSpec="bottom"/>
            <w:tblW w:w="5000" w:type="pct"/>
            <w:tblLook w:val="04A0" w:firstRow="1" w:lastRow="0" w:firstColumn="1" w:lastColumn="0" w:noHBand="0" w:noVBand="1"/>
          </w:tblPr>
          <w:tblGrid>
            <w:gridCol w:w="9026"/>
          </w:tblGrid>
          <w:tr w:rsidR="007E132D" w14:paraId="42885441" w14:textId="77777777" w:rsidTr="00EF3489">
            <w:tc>
              <w:tcPr>
                <w:tcW w:w="5000" w:type="pct"/>
              </w:tcPr>
              <w:p w14:paraId="55A8A9D6" w14:textId="77777777" w:rsidR="007E132D" w:rsidRDefault="007E132D" w:rsidP="00EF3489">
                <w:pPr>
                  <w:pStyle w:val="NoSpacing"/>
                </w:pPr>
              </w:p>
            </w:tc>
          </w:tr>
        </w:tbl>
        <w:p w14:paraId="03150F78" w14:textId="77777777" w:rsidR="007E132D" w:rsidRDefault="007E132D" w:rsidP="007E132D"/>
        <w:p w14:paraId="59FF1781" w14:textId="77777777" w:rsidR="007E132D" w:rsidRDefault="007E132D" w:rsidP="007E132D">
          <w:pPr>
            <w:rPr>
              <w:rFonts w:ascii="Arial" w:eastAsia="Times New Roman" w:hAnsi="Arial" w:cs="Arial"/>
              <w:color w:val="000000"/>
              <w:sz w:val="24"/>
              <w:szCs w:val="24"/>
            </w:rPr>
          </w:pPr>
          <w:r>
            <w:rPr>
              <w:rFonts w:ascii="Arial" w:eastAsia="Times New Roman" w:hAnsi="Arial" w:cs="Arial"/>
              <w:color w:val="000000"/>
              <w:sz w:val="24"/>
              <w:szCs w:val="24"/>
            </w:rPr>
            <w:br w:type="page"/>
          </w:r>
        </w:p>
      </w:sdtContent>
    </w:sdt>
    <w:p w14:paraId="2FCA8D2C" w14:textId="5CEE6106" w:rsidR="000F4E6C" w:rsidRPr="006B0173" w:rsidRDefault="000F4E6C" w:rsidP="006B0173">
      <w:pPr>
        <w:spacing w:line="480" w:lineRule="auto"/>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lastRenderedPageBreak/>
        <w:t>When is a child, no longer a child? At what age do the full responsibilities of an adult be placed on an individual? For some things, it is at the age of 18. Afterall, you have to be 18 to vote, sit on a jury, purchase fireworks, alcohol and cigarettes, have a tattoo, enter a legal contract, and have access to the highest aged restricted films in the cinema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2020). As 16-18 is seemingly the norm for full societal access and responsibilities (</w:t>
      </w:r>
      <w:proofErr w:type="spellStart"/>
      <w:r w:rsidRPr="006B0173">
        <w:rPr>
          <w:rFonts w:ascii="Arial" w:eastAsia="Times New Roman" w:hAnsi="Arial" w:cs="Arial"/>
          <w:color w:val="000000"/>
          <w:sz w:val="24"/>
          <w:szCs w:val="24"/>
          <w:lang w:eastAsia="en-GB"/>
        </w:rPr>
        <w:t>Delmage</w:t>
      </w:r>
      <w:proofErr w:type="spellEnd"/>
      <w:r w:rsidRPr="006B0173">
        <w:rPr>
          <w:rFonts w:ascii="Arial" w:eastAsia="Times New Roman" w:hAnsi="Arial" w:cs="Arial"/>
          <w:color w:val="000000"/>
          <w:sz w:val="24"/>
          <w:szCs w:val="24"/>
          <w:lang w:eastAsia="en-GB"/>
        </w:rPr>
        <w:t>, 2013), many academics question: “Why does the criminal justice system in England and Wales convict those at the age of 10?” (CPS, 2017).</w:t>
      </w:r>
    </w:p>
    <w:p w14:paraId="0896AACA" w14:textId="77777777" w:rsidR="000F4E6C" w:rsidRPr="006B0173" w:rsidRDefault="000F4E6C" w:rsidP="006B0173">
      <w:pPr>
        <w:spacing w:after="0" w:line="480" w:lineRule="auto"/>
        <w:rPr>
          <w:rFonts w:ascii="Arial" w:eastAsia="Times New Roman" w:hAnsi="Arial" w:cs="Arial"/>
          <w:sz w:val="24"/>
          <w:szCs w:val="24"/>
          <w:lang w:eastAsia="en-GB"/>
        </w:rPr>
      </w:pPr>
    </w:p>
    <w:p w14:paraId="1722C264" w14:textId="229B69D9"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As established moments ago, in England and Wales the minimum age of criminal responsibility (MACR) is 10, with children this age being deemed wholeheartedly responsible for their criminal actions, and therefore fully recipient to the fullest extent of the law (Bateman, 2012). Although you are still in primary school at the age of 10 and cannot register for a secondary school without the assistance of a parent (Department for Education, 2017), a child at this age can be arrested, taken to custody, charged, prosecuted and convicted with a permanent criminal record (</w:t>
      </w:r>
      <w:proofErr w:type="spellStart"/>
      <w:r w:rsidRPr="006B0173">
        <w:rPr>
          <w:rFonts w:ascii="Arial" w:eastAsia="Times New Roman" w:hAnsi="Arial" w:cs="Arial"/>
          <w:color w:val="000000"/>
          <w:sz w:val="24"/>
          <w:szCs w:val="24"/>
          <w:lang w:eastAsia="en-GB"/>
        </w:rPr>
        <w:t>Papamichael</w:t>
      </w:r>
      <w:proofErr w:type="spellEnd"/>
      <w:r w:rsidRPr="006B0173">
        <w:rPr>
          <w:rFonts w:ascii="Arial" w:eastAsia="Times New Roman" w:hAnsi="Arial" w:cs="Arial"/>
          <w:color w:val="000000"/>
          <w:sz w:val="24"/>
          <w:szCs w:val="24"/>
          <w:lang w:eastAsia="en-GB"/>
        </w:rPr>
        <w:t>, 2019).</w:t>
      </w:r>
    </w:p>
    <w:p w14:paraId="2B883E99" w14:textId="77777777" w:rsidR="000F4E6C" w:rsidRPr="006B0173" w:rsidRDefault="000F4E6C" w:rsidP="006B0173">
      <w:pPr>
        <w:spacing w:after="0" w:line="480" w:lineRule="auto"/>
        <w:rPr>
          <w:rFonts w:ascii="Arial" w:eastAsia="Times New Roman" w:hAnsi="Arial" w:cs="Arial"/>
          <w:sz w:val="24"/>
          <w:szCs w:val="24"/>
          <w:lang w:eastAsia="en-GB"/>
        </w:rPr>
      </w:pPr>
    </w:p>
    <w:p w14:paraId="24D6419F" w14:textId="0AD80F75"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Bateman (2013) as well as Brown and Charles (2019) note that prior divergence seen from the present norm can be found in 1963, where the principle doctrine of “</w:t>
      </w:r>
      <w:proofErr w:type="spellStart"/>
      <w:r w:rsidRPr="006B0173">
        <w:rPr>
          <w:rFonts w:ascii="Arial" w:eastAsia="Times New Roman" w:hAnsi="Arial" w:cs="Arial"/>
          <w:color w:val="000000"/>
          <w:sz w:val="24"/>
          <w:szCs w:val="24"/>
          <w:lang w:eastAsia="en-GB"/>
        </w:rPr>
        <w:t>doli</w:t>
      </w:r>
      <w:proofErr w:type="spellEnd"/>
      <w:r w:rsidRPr="006B0173">
        <w:rPr>
          <w:rFonts w:ascii="Arial" w:eastAsia="Times New Roman" w:hAnsi="Arial" w:cs="Arial"/>
          <w:color w:val="000000"/>
          <w:sz w:val="24"/>
          <w:szCs w:val="24"/>
          <w:lang w:eastAsia="en-GB"/>
        </w:rPr>
        <w:t xml:space="preserve"> incapax” alleviated the likelihood of childhood prosecution, as the principle required the prosecution to prove that a child up to the age of 14 not only committed the criminal offence, but also knew that the act was grievously wrong, and not just mischievous or considered naughty. However, </w:t>
      </w:r>
      <w:r w:rsidR="00E94B04" w:rsidRPr="006B0173">
        <w:rPr>
          <w:rFonts w:ascii="Arial" w:eastAsia="Times New Roman" w:hAnsi="Arial" w:cs="Arial"/>
          <w:color w:val="000000"/>
          <w:sz w:val="24"/>
          <w:szCs w:val="24"/>
          <w:lang w:eastAsia="en-GB"/>
        </w:rPr>
        <w:t>this criterion</w:t>
      </w:r>
      <w:r w:rsidRPr="006B0173">
        <w:rPr>
          <w:rFonts w:ascii="Arial" w:eastAsia="Times New Roman" w:hAnsi="Arial" w:cs="Arial"/>
          <w:color w:val="000000"/>
          <w:sz w:val="24"/>
          <w:szCs w:val="24"/>
          <w:lang w:eastAsia="en-GB"/>
        </w:rPr>
        <w:t xml:space="preserve"> required by the prosecution to prove burden of guilt was offset by the creation of the Crime and </w:t>
      </w:r>
      <w:r w:rsidRPr="006B0173">
        <w:rPr>
          <w:rFonts w:ascii="Arial" w:eastAsia="Times New Roman" w:hAnsi="Arial" w:cs="Arial"/>
          <w:color w:val="000000"/>
          <w:sz w:val="24"/>
          <w:szCs w:val="24"/>
          <w:lang w:eastAsia="en-GB"/>
        </w:rPr>
        <w:lastRenderedPageBreak/>
        <w:t>Disorder Act (1998), which legally invalided the common law principle of “</w:t>
      </w:r>
      <w:proofErr w:type="spellStart"/>
      <w:r w:rsidRPr="006B0173">
        <w:rPr>
          <w:rFonts w:ascii="Arial" w:eastAsia="Times New Roman" w:hAnsi="Arial" w:cs="Arial"/>
          <w:color w:val="000000"/>
          <w:sz w:val="24"/>
          <w:szCs w:val="24"/>
          <w:lang w:eastAsia="en-GB"/>
        </w:rPr>
        <w:t>doli</w:t>
      </w:r>
      <w:proofErr w:type="spellEnd"/>
      <w:r w:rsidRPr="006B0173">
        <w:rPr>
          <w:rFonts w:ascii="Arial" w:eastAsia="Times New Roman" w:hAnsi="Arial" w:cs="Arial"/>
          <w:color w:val="000000"/>
          <w:sz w:val="24"/>
          <w:szCs w:val="24"/>
          <w:lang w:eastAsia="en-GB"/>
        </w:rPr>
        <w:t xml:space="preserve"> incapax”, therefore enforcing the current legal minimum age of criminal responsibility as being 10 years old (Brown and Charles, 2019).</w:t>
      </w:r>
    </w:p>
    <w:p w14:paraId="4AA03E46" w14:textId="77777777" w:rsidR="000F4E6C" w:rsidRPr="006B0173" w:rsidRDefault="000F4E6C" w:rsidP="006B0173">
      <w:pPr>
        <w:spacing w:after="0" w:line="480" w:lineRule="auto"/>
        <w:rPr>
          <w:rFonts w:ascii="Arial" w:eastAsia="Times New Roman" w:hAnsi="Arial" w:cs="Arial"/>
          <w:sz w:val="24"/>
          <w:szCs w:val="24"/>
          <w:lang w:eastAsia="en-GB"/>
        </w:rPr>
      </w:pPr>
    </w:p>
    <w:p w14:paraId="0081ECE5" w14:textId="0D5315BC"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Farrow (et al., 2011) discusses how extensive research has been conducted to find out what age the human brain fully develops, and at what point adolescent individuals no longer develop neurologically. Farrow (et al., 2011) observes how neurological research within recent decades has discovered that the “higher executive functions” of the human brain, such as impulse control, verbal memory and planning are all located within the frontal lobes of the brain, with this section according to Johnson (et al., 2009) </w:t>
      </w:r>
      <w:r w:rsidR="00F87D34" w:rsidRPr="006B0173">
        <w:rPr>
          <w:rFonts w:ascii="Arial" w:eastAsia="Times New Roman" w:hAnsi="Arial" w:cs="Arial"/>
          <w:color w:val="000000"/>
          <w:sz w:val="24"/>
          <w:szCs w:val="24"/>
          <w:lang w:eastAsia="en-GB"/>
        </w:rPr>
        <w:t>“</w:t>
      </w:r>
      <w:r w:rsidRPr="006B0173">
        <w:rPr>
          <w:rFonts w:ascii="Arial" w:eastAsia="Times New Roman" w:hAnsi="Arial" w:cs="Arial"/>
          <w:color w:val="000000"/>
          <w:sz w:val="24"/>
          <w:szCs w:val="24"/>
          <w:lang w:eastAsia="en-GB"/>
        </w:rPr>
        <w:t>among the last areas of the brain to mature; they may not be fully developed until halfway through the third decade of life”. </w:t>
      </w:r>
    </w:p>
    <w:p w14:paraId="1369C6BD" w14:textId="77777777" w:rsidR="000F4E6C" w:rsidRPr="006B0173" w:rsidRDefault="000F4E6C" w:rsidP="006B0173">
      <w:pPr>
        <w:spacing w:after="0" w:line="480" w:lineRule="auto"/>
        <w:rPr>
          <w:rFonts w:ascii="Arial" w:eastAsia="Times New Roman" w:hAnsi="Arial" w:cs="Arial"/>
          <w:sz w:val="24"/>
          <w:szCs w:val="24"/>
          <w:lang w:eastAsia="en-GB"/>
        </w:rPr>
      </w:pPr>
    </w:p>
    <w:p w14:paraId="5BFA0751" w14:textId="77777777"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The researchers (Farrow et al., 2011) therefore gather that impulse control and emotional </w:t>
      </w:r>
      <w:proofErr w:type="spellStart"/>
      <w:r w:rsidRPr="006B0173">
        <w:rPr>
          <w:rFonts w:ascii="Arial" w:eastAsia="Times New Roman" w:hAnsi="Arial" w:cs="Arial"/>
          <w:color w:val="000000"/>
          <w:sz w:val="24"/>
          <w:szCs w:val="24"/>
          <w:lang w:eastAsia="en-GB"/>
        </w:rPr>
        <w:t>irregulation</w:t>
      </w:r>
      <w:proofErr w:type="spellEnd"/>
      <w:r w:rsidRPr="006B0173">
        <w:rPr>
          <w:rFonts w:ascii="Arial" w:eastAsia="Times New Roman" w:hAnsi="Arial" w:cs="Arial"/>
          <w:color w:val="000000"/>
          <w:sz w:val="24"/>
          <w:szCs w:val="24"/>
          <w:lang w:eastAsia="en-GB"/>
        </w:rPr>
        <w:t xml:space="preserve"> or fluctuations witnessed through childhood and adolescence - alongside recent neurological research - demonstrate that the human brain does not fully mature and develop until the mid-twenties, with the concept of developmental immaturity or low emotional intelligence seemingly being a correlating neurological theme with convicted criminals. </w:t>
      </w:r>
      <w:proofErr w:type="spellStart"/>
      <w:r w:rsidRPr="006B0173">
        <w:rPr>
          <w:rFonts w:ascii="Arial" w:eastAsia="Times New Roman" w:hAnsi="Arial" w:cs="Arial"/>
          <w:color w:val="000000"/>
          <w:sz w:val="24"/>
          <w:szCs w:val="24"/>
          <w:lang w:eastAsia="en-GB"/>
        </w:rPr>
        <w:t>Delmage</w:t>
      </w:r>
      <w:proofErr w:type="spellEnd"/>
      <w:r w:rsidRPr="006B0173">
        <w:rPr>
          <w:rFonts w:ascii="Arial" w:eastAsia="Times New Roman" w:hAnsi="Arial" w:cs="Arial"/>
          <w:color w:val="000000"/>
          <w:sz w:val="24"/>
          <w:szCs w:val="24"/>
          <w:lang w:eastAsia="en-GB"/>
        </w:rPr>
        <w:t xml:space="preserve"> (2013) further states that it is important to consider the development speed of individuals’ key brain structures that do in fact impact decision making, as this speed has been found to vary for different individuals, with Chaudhury (et al., 2015) observing such factors in their research on convicted criminals.</w:t>
      </w:r>
    </w:p>
    <w:p w14:paraId="21F79EC8" w14:textId="77777777" w:rsidR="000F4E6C" w:rsidRPr="006B0173" w:rsidRDefault="000F4E6C" w:rsidP="006B0173">
      <w:pPr>
        <w:spacing w:after="0" w:line="480" w:lineRule="auto"/>
        <w:rPr>
          <w:rFonts w:ascii="Arial" w:eastAsia="Times New Roman" w:hAnsi="Arial" w:cs="Arial"/>
          <w:sz w:val="24"/>
          <w:szCs w:val="24"/>
          <w:lang w:eastAsia="en-GB"/>
        </w:rPr>
      </w:pPr>
    </w:p>
    <w:p w14:paraId="3393337A" w14:textId="77777777"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lastRenderedPageBreak/>
        <w:t xml:space="preserve">Although research suggests brain development does not complete until an individual reaches their mid-twenties, </w:t>
      </w:r>
      <w:proofErr w:type="spellStart"/>
      <w:r w:rsidRPr="006B0173">
        <w:rPr>
          <w:rFonts w:ascii="Arial" w:eastAsia="Times New Roman" w:hAnsi="Arial" w:cs="Arial"/>
          <w:color w:val="000000"/>
          <w:sz w:val="24"/>
          <w:szCs w:val="24"/>
          <w:lang w:eastAsia="en-GB"/>
        </w:rPr>
        <w:t>Papamichael</w:t>
      </w:r>
      <w:proofErr w:type="spellEnd"/>
      <w:r w:rsidRPr="006B0173">
        <w:rPr>
          <w:rFonts w:ascii="Arial" w:eastAsia="Times New Roman" w:hAnsi="Arial" w:cs="Arial"/>
          <w:color w:val="000000"/>
          <w:sz w:val="24"/>
          <w:szCs w:val="24"/>
          <w:lang w:eastAsia="en-GB"/>
        </w:rPr>
        <w:t xml:space="preserve"> (2019) states that this does not imply individuals do not know right from wrong at an earlier stage. </w:t>
      </w:r>
      <w:proofErr w:type="spellStart"/>
      <w:r w:rsidRPr="006B0173">
        <w:rPr>
          <w:rFonts w:ascii="Arial" w:eastAsia="Times New Roman" w:hAnsi="Arial" w:cs="Arial"/>
          <w:color w:val="000000"/>
          <w:sz w:val="24"/>
          <w:szCs w:val="24"/>
          <w:lang w:eastAsia="en-GB"/>
        </w:rPr>
        <w:t>Papamichael</w:t>
      </w:r>
      <w:proofErr w:type="spellEnd"/>
      <w:r w:rsidRPr="006B0173">
        <w:rPr>
          <w:rFonts w:ascii="Arial" w:eastAsia="Times New Roman" w:hAnsi="Arial" w:cs="Arial"/>
          <w:color w:val="000000"/>
          <w:sz w:val="24"/>
          <w:szCs w:val="24"/>
          <w:lang w:eastAsia="en-GB"/>
        </w:rPr>
        <w:t xml:space="preserve"> (2019) states that research suggests that children know the basic differences from right and wrong at the age of 6, with further experiments by Brownlee (et al., 2019) also coming to the same conclusion after interviewing 124 children in the age range of 5-6 and 7-8 (Brownlee et al., 2019). Additionally, prior analysis by Balogh (2014) observed that the minimum age of criminal responsibility was lowered in Hungary, with the main reasoning being the belief that neurological development of children has sped up due to advancements with technology, technology which has provided more opportunity for children to observe clear wrongdoings online - in the form of video games or recordings - which in turn has informed what was once a naive age group into a more aware generation, with children reaching maturity “earlier than ever” (Balogh, 2014).</w:t>
      </w:r>
    </w:p>
    <w:p w14:paraId="312A9A7A" w14:textId="77777777" w:rsidR="000F4E6C" w:rsidRPr="006B0173" w:rsidRDefault="000F4E6C" w:rsidP="006B0173">
      <w:pPr>
        <w:spacing w:after="0" w:line="480" w:lineRule="auto"/>
        <w:rPr>
          <w:rFonts w:ascii="Arial" w:eastAsia="Times New Roman" w:hAnsi="Arial" w:cs="Arial"/>
          <w:sz w:val="24"/>
          <w:szCs w:val="24"/>
          <w:lang w:eastAsia="en-GB"/>
        </w:rPr>
      </w:pPr>
    </w:p>
    <w:p w14:paraId="4A74F4EA" w14:textId="77777777"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Due to varying factors and accounts regarding the mental capacity and development of children and young adults, there are numerous arguments behind the debate to raise or maintain the current minimum age of criminal responsibility in England and Wales.</w:t>
      </w:r>
    </w:p>
    <w:p w14:paraId="03E49080" w14:textId="77777777" w:rsidR="000F4E6C" w:rsidRPr="006B0173" w:rsidRDefault="000F4E6C" w:rsidP="006B0173">
      <w:pPr>
        <w:spacing w:after="0" w:line="480" w:lineRule="auto"/>
        <w:rPr>
          <w:rFonts w:ascii="Arial" w:eastAsia="Times New Roman" w:hAnsi="Arial" w:cs="Arial"/>
          <w:sz w:val="24"/>
          <w:szCs w:val="24"/>
          <w:lang w:eastAsia="en-GB"/>
        </w:rPr>
      </w:pPr>
    </w:p>
    <w:p w14:paraId="728829A8" w14:textId="77777777"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One of the many reasons Bateman (2012) argues for the raising of the MACR is the evidence suggesting that the criminal justice system can have a harmful lifelong impact on young individuals who have had any experience in the system. Bateman (2012) expands on this by stating there is confirming evidence that the likelihood of repeat adult offending is considerably higher for those who had childhood </w:t>
      </w:r>
      <w:r w:rsidRPr="006B0173">
        <w:rPr>
          <w:rFonts w:ascii="Arial" w:eastAsia="Times New Roman" w:hAnsi="Arial" w:cs="Arial"/>
          <w:color w:val="000000"/>
          <w:sz w:val="24"/>
          <w:szCs w:val="24"/>
          <w:lang w:eastAsia="en-GB"/>
        </w:rPr>
        <w:lastRenderedPageBreak/>
        <w:t>experiences involved with the criminal justice system, with two specific harmful repercussions as a result of actions carried out as a child. </w:t>
      </w:r>
    </w:p>
    <w:p w14:paraId="6CB303D8" w14:textId="77777777" w:rsidR="000F4E6C" w:rsidRPr="006B0173" w:rsidRDefault="000F4E6C" w:rsidP="006B0173">
      <w:pPr>
        <w:spacing w:after="0" w:line="480" w:lineRule="auto"/>
        <w:rPr>
          <w:rFonts w:ascii="Arial" w:eastAsia="Times New Roman" w:hAnsi="Arial" w:cs="Arial"/>
          <w:sz w:val="24"/>
          <w:szCs w:val="24"/>
          <w:lang w:eastAsia="en-GB"/>
        </w:rPr>
      </w:pPr>
    </w:p>
    <w:p w14:paraId="2AA77260" w14:textId="77777777"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Firstly, Bateman (2012) claims that labelling a child as a criminal can increase the likelihood of repeat offending, as this label can unintentionally influence the future attitudes and behaviours of the child as well as their identity within society, with children with similar experiences being more likely to associate with one another, resulting in the potential association of more serious offenders. Secondly, the academic (Bateman, 2012) asserts that the second lifelong repercussion is the effect on future life chances, as a criminal record can potentially impact employment, as well as demotivate a child from obtaining qualifications as part of their education. With Bateman (2012) asserting that these factors further feed into the likelihood of repeat offending in adulthood, should the individuals find themselves unemployable and without credible qualifications, a turn towards criminal sources of income may be seen, therefore demonstrating the lifelong impact that the criminal justice system can have on young and adolescent individuals.</w:t>
      </w:r>
    </w:p>
    <w:p w14:paraId="74DB9EEB" w14:textId="77777777" w:rsidR="000F4E6C" w:rsidRPr="006B0173" w:rsidRDefault="000F4E6C" w:rsidP="006B0173">
      <w:pPr>
        <w:spacing w:after="0" w:line="480" w:lineRule="auto"/>
        <w:rPr>
          <w:rFonts w:ascii="Arial" w:eastAsia="Times New Roman" w:hAnsi="Arial" w:cs="Arial"/>
          <w:sz w:val="24"/>
          <w:szCs w:val="24"/>
          <w:lang w:eastAsia="en-GB"/>
        </w:rPr>
      </w:pPr>
    </w:p>
    <w:p w14:paraId="286C999B" w14:textId="77777777"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Similarly, Brown and Charles (2019) not only support reform for the MACR, but also criticise the Government's decision to effectively lower the MARC by removing the “</w:t>
      </w:r>
      <w:proofErr w:type="spellStart"/>
      <w:r w:rsidRPr="006B0173">
        <w:rPr>
          <w:rFonts w:ascii="Arial" w:eastAsia="Times New Roman" w:hAnsi="Arial" w:cs="Arial"/>
          <w:color w:val="000000"/>
          <w:sz w:val="24"/>
          <w:szCs w:val="24"/>
          <w:lang w:eastAsia="en-GB"/>
        </w:rPr>
        <w:t>doli</w:t>
      </w:r>
      <w:proofErr w:type="spellEnd"/>
      <w:r w:rsidRPr="006B0173">
        <w:rPr>
          <w:rFonts w:ascii="Arial" w:eastAsia="Times New Roman" w:hAnsi="Arial" w:cs="Arial"/>
          <w:color w:val="000000"/>
          <w:sz w:val="24"/>
          <w:szCs w:val="24"/>
          <w:lang w:eastAsia="en-GB"/>
        </w:rPr>
        <w:t xml:space="preserve"> incapax” doctrine in the late 90’s. Brown and Charles (2019) observe the changes seen as a result of the introduction of the Crime and Disorder Act (1998), and state that despite the Government’s wishes to reform youth justice and enable better alternatives to criminal childhood convictions in an effort to reduce future repeat offenders, the policy of removing the principle “</w:t>
      </w:r>
      <w:proofErr w:type="spellStart"/>
      <w:r w:rsidRPr="006B0173">
        <w:rPr>
          <w:rFonts w:ascii="Arial" w:eastAsia="Times New Roman" w:hAnsi="Arial" w:cs="Arial"/>
          <w:color w:val="000000"/>
          <w:sz w:val="24"/>
          <w:szCs w:val="24"/>
          <w:lang w:eastAsia="en-GB"/>
        </w:rPr>
        <w:t>doli</w:t>
      </w:r>
      <w:proofErr w:type="spellEnd"/>
      <w:r w:rsidRPr="006B0173">
        <w:rPr>
          <w:rFonts w:ascii="Arial" w:eastAsia="Times New Roman" w:hAnsi="Arial" w:cs="Arial"/>
          <w:color w:val="000000"/>
          <w:sz w:val="24"/>
          <w:szCs w:val="24"/>
          <w:lang w:eastAsia="en-GB"/>
        </w:rPr>
        <w:t xml:space="preserve"> incapax” in fact did the opposite, by essentially raising the legal vulnerability of children in the age range of </w:t>
      </w:r>
      <w:r w:rsidRPr="006B0173">
        <w:rPr>
          <w:rFonts w:ascii="Arial" w:eastAsia="Times New Roman" w:hAnsi="Arial" w:cs="Arial"/>
          <w:color w:val="000000"/>
          <w:sz w:val="24"/>
          <w:szCs w:val="24"/>
          <w:lang w:eastAsia="en-GB"/>
        </w:rPr>
        <w:lastRenderedPageBreak/>
        <w:t>10-14, resulting in an increase of 29% for indictable convictions of 10-14 year olds in only a year after the implementation of the Act (Crime and Disorder Act, 1998). </w:t>
      </w:r>
    </w:p>
    <w:p w14:paraId="694D8913" w14:textId="77777777" w:rsidR="000F4E6C" w:rsidRPr="006B0173" w:rsidRDefault="000F4E6C" w:rsidP="006B0173">
      <w:pPr>
        <w:spacing w:after="0" w:line="480" w:lineRule="auto"/>
        <w:rPr>
          <w:rFonts w:ascii="Arial" w:eastAsia="Times New Roman" w:hAnsi="Arial" w:cs="Arial"/>
          <w:sz w:val="24"/>
          <w:szCs w:val="24"/>
          <w:lang w:eastAsia="en-GB"/>
        </w:rPr>
      </w:pPr>
    </w:p>
    <w:p w14:paraId="5E909FD4" w14:textId="77777777"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Furthermore, Brown and Charles (2019) acknowledge that although there are not many calls for the reintroduction of “</w:t>
      </w:r>
      <w:proofErr w:type="spellStart"/>
      <w:r w:rsidRPr="006B0173">
        <w:rPr>
          <w:rFonts w:ascii="Arial" w:eastAsia="Times New Roman" w:hAnsi="Arial" w:cs="Arial"/>
          <w:color w:val="000000"/>
          <w:sz w:val="24"/>
          <w:szCs w:val="24"/>
          <w:lang w:eastAsia="en-GB"/>
        </w:rPr>
        <w:t>doli</w:t>
      </w:r>
      <w:proofErr w:type="spellEnd"/>
      <w:r w:rsidRPr="006B0173">
        <w:rPr>
          <w:rFonts w:ascii="Arial" w:eastAsia="Times New Roman" w:hAnsi="Arial" w:cs="Arial"/>
          <w:color w:val="000000"/>
          <w:sz w:val="24"/>
          <w:szCs w:val="24"/>
          <w:lang w:eastAsia="en-GB"/>
        </w:rPr>
        <w:t xml:space="preserve"> incapax”, MARC reform however, would at the very least add protections for children that commit offences and do not understand what they did wrong, as well as shield more individuals from the lifelong repercussions noted by Bateman (2012), with reform or raising of the MACR, according to Brown and Charles (2019), being a logical place to start.</w:t>
      </w:r>
    </w:p>
    <w:p w14:paraId="6D506081" w14:textId="77777777" w:rsidR="000F4E6C" w:rsidRPr="006B0173" w:rsidRDefault="000F4E6C" w:rsidP="006B0173">
      <w:pPr>
        <w:spacing w:after="0" w:line="480" w:lineRule="auto"/>
        <w:rPr>
          <w:rFonts w:ascii="Arial" w:eastAsia="Times New Roman" w:hAnsi="Arial" w:cs="Arial"/>
          <w:sz w:val="24"/>
          <w:szCs w:val="24"/>
          <w:lang w:eastAsia="en-GB"/>
        </w:rPr>
      </w:pPr>
    </w:p>
    <w:p w14:paraId="3F93228F" w14:textId="02C649EE"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According to </w:t>
      </w:r>
      <w:proofErr w:type="spellStart"/>
      <w:r w:rsidRPr="006B0173">
        <w:rPr>
          <w:rFonts w:ascii="Arial" w:eastAsia="Times New Roman" w:hAnsi="Arial" w:cs="Arial"/>
          <w:color w:val="000000"/>
          <w:sz w:val="24"/>
          <w:szCs w:val="24"/>
          <w:lang w:eastAsia="en-GB"/>
        </w:rPr>
        <w:t>Papamichael</w:t>
      </w:r>
      <w:proofErr w:type="spellEnd"/>
      <w:r w:rsidRPr="006B0173">
        <w:rPr>
          <w:rFonts w:ascii="Arial" w:eastAsia="Times New Roman" w:hAnsi="Arial" w:cs="Arial"/>
          <w:color w:val="000000"/>
          <w:sz w:val="24"/>
          <w:szCs w:val="24"/>
          <w:lang w:eastAsia="en-GB"/>
        </w:rPr>
        <w:t xml:space="preserve"> (2019), the current system vilifies children and teenagers who are charged with an offence, with mass media surrounding especially large and shocking stories at a national level - which has the potential of hindering the criminal justice process - bringing into question the </w:t>
      </w:r>
      <w:proofErr w:type="spellStart"/>
      <w:r w:rsidRPr="006B0173">
        <w:rPr>
          <w:rFonts w:ascii="Arial" w:eastAsia="Times New Roman" w:hAnsi="Arial" w:cs="Arial"/>
          <w:color w:val="000000"/>
          <w:sz w:val="24"/>
          <w:szCs w:val="24"/>
          <w:lang w:eastAsia="en-GB"/>
        </w:rPr>
        <w:t>upholdment</w:t>
      </w:r>
      <w:proofErr w:type="spellEnd"/>
      <w:r w:rsidRPr="006B0173">
        <w:rPr>
          <w:rFonts w:ascii="Arial" w:eastAsia="Times New Roman" w:hAnsi="Arial" w:cs="Arial"/>
          <w:color w:val="000000"/>
          <w:sz w:val="24"/>
          <w:szCs w:val="24"/>
          <w:lang w:eastAsia="en-GB"/>
        </w:rPr>
        <w:t xml:space="preserve"> and legitimacy of the right to a fair trial. </w:t>
      </w:r>
      <w:proofErr w:type="spellStart"/>
      <w:r w:rsidRPr="006B0173">
        <w:rPr>
          <w:rFonts w:ascii="Arial" w:eastAsia="Times New Roman" w:hAnsi="Arial" w:cs="Arial"/>
          <w:color w:val="000000"/>
          <w:sz w:val="24"/>
          <w:szCs w:val="24"/>
          <w:lang w:eastAsia="en-GB"/>
        </w:rPr>
        <w:t>Papamichael</w:t>
      </w:r>
      <w:proofErr w:type="spellEnd"/>
      <w:r w:rsidRPr="006B0173">
        <w:rPr>
          <w:rFonts w:ascii="Arial" w:eastAsia="Times New Roman" w:hAnsi="Arial" w:cs="Arial"/>
          <w:color w:val="000000"/>
          <w:sz w:val="24"/>
          <w:szCs w:val="24"/>
          <w:lang w:eastAsia="en-GB"/>
        </w:rPr>
        <w:t xml:space="preserve"> (2019) continues by stating that following analysis of data provided by Youth Justice Statistics - for the years 2016/17 -, there were 28,400 cautions or convictions handed out to children and young people, with 24% of this group being within the boundary and age group of 10-14. This essentially means that 6,816 children and young individuals have received cautions or convictions that they otherwise would not have received in the years before 1998, should “</w:t>
      </w:r>
      <w:proofErr w:type="spellStart"/>
      <w:r w:rsidRPr="006B0173">
        <w:rPr>
          <w:rFonts w:ascii="Arial" w:eastAsia="Times New Roman" w:hAnsi="Arial" w:cs="Arial"/>
          <w:color w:val="000000"/>
          <w:sz w:val="24"/>
          <w:szCs w:val="24"/>
          <w:lang w:eastAsia="en-GB"/>
        </w:rPr>
        <w:t>doli</w:t>
      </w:r>
      <w:proofErr w:type="spellEnd"/>
      <w:r w:rsidRPr="006B0173">
        <w:rPr>
          <w:rFonts w:ascii="Arial" w:eastAsia="Times New Roman" w:hAnsi="Arial" w:cs="Arial"/>
          <w:color w:val="000000"/>
          <w:sz w:val="24"/>
          <w:szCs w:val="24"/>
          <w:lang w:eastAsia="en-GB"/>
        </w:rPr>
        <w:t xml:space="preserve"> incapax” have been proved (</w:t>
      </w:r>
      <w:proofErr w:type="spellStart"/>
      <w:r w:rsidRPr="006B0173">
        <w:rPr>
          <w:rFonts w:ascii="Arial" w:eastAsia="Times New Roman" w:hAnsi="Arial" w:cs="Arial"/>
          <w:color w:val="000000"/>
          <w:sz w:val="24"/>
          <w:szCs w:val="24"/>
          <w:lang w:eastAsia="en-GB"/>
        </w:rPr>
        <w:t>Papamichael</w:t>
      </w:r>
      <w:proofErr w:type="spellEnd"/>
      <w:r w:rsidRPr="006B0173">
        <w:rPr>
          <w:rFonts w:ascii="Arial" w:eastAsia="Times New Roman" w:hAnsi="Arial" w:cs="Arial"/>
          <w:color w:val="000000"/>
          <w:sz w:val="24"/>
          <w:szCs w:val="24"/>
          <w:lang w:eastAsia="en-GB"/>
        </w:rPr>
        <w:t>, 2019). </w:t>
      </w:r>
    </w:p>
    <w:p w14:paraId="0AA19ECB" w14:textId="77777777" w:rsidR="000F4E6C" w:rsidRPr="006B0173" w:rsidRDefault="000F4E6C" w:rsidP="006B0173">
      <w:pPr>
        <w:spacing w:after="0" w:line="480" w:lineRule="auto"/>
        <w:rPr>
          <w:rFonts w:ascii="Arial" w:eastAsia="Times New Roman" w:hAnsi="Arial" w:cs="Arial"/>
          <w:sz w:val="24"/>
          <w:szCs w:val="24"/>
          <w:lang w:eastAsia="en-GB"/>
        </w:rPr>
      </w:pPr>
    </w:p>
    <w:p w14:paraId="7555993A" w14:textId="478BDB89"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As previously mentioned, there have been many neurological studies on brain development, with correlations being made to that of maturity and criminal actions (Farrow, 2011; Chaudhury et al., 2015).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xml:space="preserve"> (2020) continues with this </w:t>
      </w:r>
      <w:r w:rsidRPr="006B0173">
        <w:rPr>
          <w:rFonts w:ascii="Arial" w:eastAsia="Times New Roman" w:hAnsi="Arial" w:cs="Arial"/>
          <w:color w:val="000000"/>
          <w:sz w:val="24"/>
          <w:szCs w:val="24"/>
          <w:lang w:eastAsia="en-GB"/>
        </w:rPr>
        <w:lastRenderedPageBreak/>
        <w:t>argument but also provides multiple other angles on the argument for raising the MACR, with an emphasis on sociological</w:t>
      </w:r>
      <w:r w:rsidR="00532C1D" w:rsidRPr="006B0173">
        <w:rPr>
          <w:rFonts w:ascii="Arial" w:eastAsia="Times New Roman" w:hAnsi="Arial" w:cs="Arial"/>
          <w:color w:val="000000"/>
          <w:sz w:val="24"/>
          <w:szCs w:val="24"/>
          <w:lang w:eastAsia="en-GB"/>
        </w:rPr>
        <w:t xml:space="preserve">, </w:t>
      </w:r>
      <w:r w:rsidRPr="006B0173">
        <w:rPr>
          <w:rFonts w:ascii="Arial" w:eastAsia="Times New Roman" w:hAnsi="Arial" w:cs="Arial"/>
          <w:color w:val="000000"/>
          <w:sz w:val="24"/>
          <w:szCs w:val="24"/>
          <w:lang w:eastAsia="en-GB"/>
        </w:rPr>
        <w:t xml:space="preserve">neuroscientific and international legal perspectives.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xml:space="preserve"> (2020) notes that although there is evidence observed from developments in neuroscience to assist in understanding the development of the human brain, theoretical behavioural science has helped develop an understanding behind the actions of young perceived “offenders”, and the repercussions of childhood criminalisation have been acknowledged, a comparison of the MACR in England and Wales to that of other nations is not always conducted, despite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xml:space="preserve"> (2020) claiming the MACR in England and Wales is not up to international standards and is “out of line” compared to other countries MACR.</w:t>
      </w:r>
    </w:p>
    <w:p w14:paraId="6FE42AD9" w14:textId="77777777" w:rsidR="000F4E6C" w:rsidRPr="006B0173" w:rsidRDefault="000F4E6C" w:rsidP="006B0173">
      <w:pPr>
        <w:spacing w:after="0" w:line="480" w:lineRule="auto"/>
        <w:rPr>
          <w:rFonts w:ascii="Arial" w:eastAsia="Times New Roman" w:hAnsi="Arial" w:cs="Arial"/>
          <w:sz w:val="24"/>
          <w:szCs w:val="24"/>
          <w:lang w:eastAsia="en-GB"/>
        </w:rPr>
      </w:pPr>
    </w:p>
    <w:p w14:paraId="1F4CAC83" w14:textId="0561382B" w:rsidR="000F4E6C" w:rsidRPr="006B0173" w:rsidRDefault="000F4E6C" w:rsidP="006B0173">
      <w:pPr>
        <w:spacing w:after="0" w:line="480" w:lineRule="auto"/>
        <w:rPr>
          <w:rFonts w:ascii="Arial" w:eastAsia="Times New Roman" w:hAnsi="Arial" w:cs="Arial"/>
          <w:sz w:val="24"/>
          <w:szCs w:val="24"/>
          <w:lang w:eastAsia="en-GB"/>
        </w:rPr>
      </w:pP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xml:space="preserve"> (2020) notes that the criminal justice system in England and Wales have had numerous calls over the last few decades by various bodies including the United Nations (2016), as well both professional and academic offices regarding the low MARC in respect to other western nations. This criticism has often been supported by the UN’s Committee on the Rights of the Child, where the committee has declare</w:t>
      </w:r>
      <w:r w:rsidR="000F15E9">
        <w:rPr>
          <w:rFonts w:ascii="Arial" w:eastAsia="Times New Roman" w:hAnsi="Arial" w:cs="Arial"/>
          <w:color w:val="000000"/>
          <w:sz w:val="24"/>
          <w:szCs w:val="24"/>
          <w:lang w:eastAsia="en-GB"/>
        </w:rPr>
        <w:t xml:space="preserve">d </w:t>
      </w:r>
      <w:r w:rsidRPr="006B0173">
        <w:rPr>
          <w:rFonts w:ascii="Arial" w:eastAsia="Times New Roman" w:hAnsi="Arial" w:cs="Arial"/>
          <w:color w:val="000000"/>
          <w:sz w:val="24"/>
          <w:szCs w:val="24"/>
          <w:lang w:eastAsia="en-GB"/>
        </w:rPr>
        <w:t>it is unacceptable for a nation to have their MACR be 12 years</w:t>
      </w:r>
      <w:r w:rsidR="0079188F" w:rsidRPr="006B0173">
        <w:rPr>
          <w:rFonts w:ascii="Arial" w:eastAsia="Times New Roman" w:hAnsi="Arial" w:cs="Arial"/>
          <w:color w:val="000000"/>
          <w:sz w:val="24"/>
          <w:szCs w:val="24"/>
          <w:lang w:eastAsia="en-GB"/>
        </w:rPr>
        <w:t xml:space="preserve"> old</w:t>
      </w:r>
      <w:r w:rsidRPr="006B0173">
        <w:rPr>
          <w:rFonts w:ascii="Arial" w:eastAsia="Times New Roman" w:hAnsi="Arial" w:cs="Arial"/>
          <w:color w:val="000000"/>
          <w:sz w:val="24"/>
          <w:szCs w:val="24"/>
          <w:lang w:eastAsia="en-GB"/>
        </w:rPr>
        <w:t>, with strives to increase that age to 14 to more accurately reflect modern neurological research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2020).</w:t>
      </w:r>
    </w:p>
    <w:p w14:paraId="5B82E3CC" w14:textId="77777777" w:rsidR="000F4E6C" w:rsidRPr="006B0173" w:rsidRDefault="000F4E6C" w:rsidP="006B0173">
      <w:pPr>
        <w:spacing w:after="0" w:line="480" w:lineRule="auto"/>
        <w:rPr>
          <w:rFonts w:ascii="Arial" w:eastAsia="Times New Roman" w:hAnsi="Arial" w:cs="Arial"/>
          <w:sz w:val="24"/>
          <w:szCs w:val="24"/>
          <w:lang w:eastAsia="en-GB"/>
        </w:rPr>
      </w:pPr>
    </w:p>
    <w:p w14:paraId="4769EA84" w14:textId="77777777"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When compared to the rest of the world,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xml:space="preserve"> (2020) states that the MARC in England and Wales is one of the lowest on the planet, as well as the lowest in Europe. The professional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2020) continues by stating that although other countries acted similar to England and Wales in abolishing the doctrine of “</w:t>
      </w:r>
      <w:proofErr w:type="spellStart"/>
      <w:r w:rsidRPr="006B0173">
        <w:rPr>
          <w:rFonts w:ascii="Arial" w:eastAsia="Times New Roman" w:hAnsi="Arial" w:cs="Arial"/>
          <w:color w:val="000000"/>
          <w:sz w:val="24"/>
          <w:szCs w:val="24"/>
          <w:lang w:eastAsia="en-GB"/>
        </w:rPr>
        <w:t>doli</w:t>
      </w:r>
      <w:proofErr w:type="spellEnd"/>
      <w:r w:rsidRPr="006B0173">
        <w:rPr>
          <w:rFonts w:ascii="Arial" w:eastAsia="Times New Roman" w:hAnsi="Arial" w:cs="Arial"/>
          <w:color w:val="000000"/>
          <w:sz w:val="24"/>
          <w:szCs w:val="24"/>
          <w:lang w:eastAsia="en-GB"/>
        </w:rPr>
        <w:t xml:space="preserve"> incapax”, the same countries that removed the principle did also increase the MARC </w:t>
      </w:r>
      <w:r w:rsidRPr="006B0173">
        <w:rPr>
          <w:rFonts w:ascii="Arial" w:eastAsia="Times New Roman" w:hAnsi="Arial" w:cs="Arial"/>
          <w:color w:val="000000"/>
          <w:sz w:val="24"/>
          <w:szCs w:val="24"/>
          <w:lang w:eastAsia="en-GB"/>
        </w:rPr>
        <w:lastRenderedPageBreak/>
        <w:t>to 12 years old, to make up for this increase in threshold for criminal responsibility. This is something England and Wales did not adopt however, which is why there was a significant surge in childhood criminal cautions and convictions a year later, with an increase of 29% for indictable offences, reflecting the now enforced minimum of 10 years old (Brown and Charles, 2019).</w:t>
      </w:r>
    </w:p>
    <w:p w14:paraId="4556A8E3" w14:textId="77777777" w:rsidR="000F4E6C" w:rsidRPr="006B0173" w:rsidRDefault="000F4E6C" w:rsidP="006B0173">
      <w:pPr>
        <w:spacing w:after="0" w:line="480" w:lineRule="auto"/>
        <w:rPr>
          <w:rFonts w:ascii="Arial" w:eastAsia="Times New Roman" w:hAnsi="Arial" w:cs="Arial"/>
          <w:sz w:val="24"/>
          <w:szCs w:val="24"/>
          <w:lang w:eastAsia="en-GB"/>
        </w:rPr>
      </w:pPr>
    </w:p>
    <w:p w14:paraId="2899EBA0" w14:textId="498335A4"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Additionally, this apparent resistance towards increasing the MARC in England and Wales has been seen for </w:t>
      </w:r>
      <w:r w:rsidR="00FE0440">
        <w:rPr>
          <w:rFonts w:ascii="Arial" w:eastAsia="Times New Roman" w:hAnsi="Arial" w:cs="Arial"/>
          <w:color w:val="000000"/>
          <w:sz w:val="24"/>
          <w:szCs w:val="24"/>
          <w:lang w:eastAsia="en-GB"/>
        </w:rPr>
        <w:t xml:space="preserve">over </w:t>
      </w:r>
      <w:r w:rsidRPr="006B0173">
        <w:rPr>
          <w:rFonts w:ascii="Arial" w:eastAsia="Times New Roman" w:hAnsi="Arial" w:cs="Arial"/>
          <w:color w:val="000000"/>
          <w:sz w:val="24"/>
          <w:szCs w:val="24"/>
          <w:lang w:eastAsia="en-GB"/>
        </w:rPr>
        <w:t>half a century, with the Government in 1963 increasing the MARC from 8 years old to 10 years old in the Children and Young Persons Act (1963), despite the Report of the Committee on Children and Young Persons - which took place in 1960 - recommending an increase for criminal responsibility to be raised to 12 years old, with even an emphasis on a potential future further increase to 13 or 14 years old also being recommended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xml:space="preserve">, 2020).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xml:space="preserve"> (2020) states that although there was a provision to increase the MARC to 14 years old in the updated Children and Young Persons Act (1969), a change in Government in the form of a political party switch following an election, resulted in the provision not being implemented, with future Governments taking the view that a 10-year-old should be able to tell the difference between right and wrong, therefore justifying the current age of criminal responsibility.</w:t>
      </w:r>
    </w:p>
    <w:p w14:paraId="33F126D4" w14:textId="77777777" w:rsidR="000F4E6C" w:rsidRPr="006B0173" w:rsidRDefault="000F4E6C" w:rsidP="006B0173">
      <w:pPr>
        <w:spacing w:after="0" w:line="480" w:lineRule="auto"/>
        <w:rPr>
          <w:rFonts w:ascii="Arial" w:eastAsia="Times New Roman" w:hAnsi="Arial" w:cs="Arial"/>
          <w:sz w:val="24"/>
          <w:szCs w:val="24"/>
          <w:lang w:eastAsia="en-GB"/>
        </w:rPr>
      </w:pPr>
    </w:p>
    <w:p w14:paraId="456B545A" w14:textId="1D5FE334"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Using data provided by the Child Rights International Network (CRIN, 2019), the average age of MARC in Europe is 14 years old, with the youngest being 10 for England and Wales, and the oldest being found in nations such as Iceland and Finland where the MARC is 15 years old for all offences, with Finland also giving the courts the power to waive punishment for an offence committed by an individual of </w:t>
      </w:r>
      <w:r w:rsidRPr="006B0173">
        <w:rPr>
          <w:rFonts w:ascii="Arial" w:eastAsia="Times New Roman" w:hAnsi="Arial" w:cs="Arial"/>
          <w:color w:val="000000"/>
          <w:sz w:val="24"/>
          <w:szCs w:val="24"/>
          <w:lang w:eastAsia="en-GB"/>
        </w:rPr>
        <w:lastRenderedPageBreak/>
        <w:t>18 years or younger (CRIN, 2019). Even though the average age of MARC is 14 years old for Europe, the majority of the 46 countries listed by CRIN (2019) had versions of “</w:t>
      </w:r>
      <w:proofErr w:type="spellStart"/>
      <w:r w:rsidRPr="006B0173">
        <w:rPr>
          <w:rFonts w:ascii="Arial" w:eastAsia="Times New Roman" w:hAnsi="Arial" w:cs="Arial"/>
          <w:color w:val="000000"/>
          <w:sz w:val="24"/>
          <w:szCs w:val="24"/>
          <w:lang w:eastAsia="en-GB"/>
        </w:rPr>
        <w:t>doli</w:t>
      </w:r>
      <w:proofErr w:type="spellEnd"/>
      <w:r w:rsidRPr="006B0173">
        <w:rPr>
          <w:rFonts w:ascii="Arial" w:eastAsia="Times New Roman" w:hAnsi="Arial" w:cs="Arial"/>
          <w:color w:val="000000"/>
          <w:sz w:val="24"/>
          <w:szCs w:val="24"/>
          <w:lang w:eastAsia="en-GB"/>
        </w:rPr>
        <w:t xml:space="preserve"> incapax” in place, where not only did the offender have to be - for the most part - between the ages of 14-16, but would also have to demonstrate awareness that their actions were wrong, which in turn adds an extra layer of protection with regards to criminal responsibility, especially when compared to the lack of “</w:t>
      </w:r>
      <w:proofErr w:type="spellStart"/>
      <w:r w:rsidRPr="006B0173">
        <w:rPr>
          <w:rFonts w:ascii="Arial" w:eastAsia="Times New Roman" w:hAnsi="Arial" w:cs="Arial"/>
          <w:color w:val="000000"/>
          <w:sz w:val="24"/>
          <w:szCs w:val="24"/>
          <w:lang w:eastAsia="en-GB"/>
        </w:rPr>
        <w:t>doli</w:t>
      </w:r>
      <w:proofErr w:type="spellEnd"/>
      <w:r w:rsidRPr="006B0173">
        <w:rPr>
          <w:rFonts w:ascii="Arial" w:eastAsia="Times New Roman" w:hAnsi="Arial" w:cs="Arial"/>
          <w:color w:val="000000"/>
          <w:sz w:val="24"/>
          <w:szCs w:val="24"/>
          <w:lang w:eastAsia="en-GB"/>
        </w:rPr>
        <w:t xml:space="preserve"> incapax” and the already lowest age of criminal responsibility seen in England and Wales, further supporting the arguments made by youth service professionals and academics, that this minimum needs to be raised.</w:t>
      </w:r>
    </w:p>
    <w:p w14:paraId="418FE985" w14:textId="77777777" w:rsidR="000F4E6C" w:rsidRPr="006B0173" w:rsidRDefault="000F4E6C" w:rsidP="006B0173">
      <w:pPr>
        <w:spacing w:after="0" w:line="480" w:lineRule="auto"/>
        <w:rPr>
          <w:rFonts w:ascii="Arial" w:eastAsia="Times New Roman" w:hAnsi="Arial" w:cs="Arial"/>
          <w:sz w:val="24"/>
          <w:szCs w:val="24"/>
          <w:lang w:eastAsia="en-GB"/>
        </w:rPr>
      </w:pPr>
    </w:p>
    <w:p w14:paraId="48FE7193" w14:textId="0DA054C0"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Although there is seemingly little evidential opposition to raising the MARC in England and Wales, cases such as the abduction, torture and murder of James Bulger in 1993 were and </w:t>
      </w:r>
      <w:r w:rsidR="00F87D34" w:rsidRPr="006B0173">
        <w:rPr>
          <w:rFonts w:ascii="Arial" w:eastAsia="Times New Roman" w:hAnsi="Arial" w:cs="Arial"/>
          <w:color w:val="000000"/>
          <w:sz w:val="24"/>
          <w:szCs w:val="24"/>
          <w:lang w:eastAsia="en-GB"/>
        </w:rPr>
        <w:t>still are</w:t>
      </w:r>
      <w:r w:rsidRPr="006B0173">
        <w:rPr>
          <w:rFonts w:ascii="Arial" w:eastAsia="Times New Roman" w:hAnsi="Arial" w:cs="Arial"/>
          <w:color w:val="000000"/>
          <w:sz w:val="24"/>
          <w:szCs w:val="24"/>
          <w:lang w:eastAsia="en-GB"/>
        </w:rPr>
        <w:t xml:space="preserve"> both the primary motivator for the removal of “</w:t>
      </w:r>
      <w:proofErr w:type="spellStart"/>
      <w:r w:rsidRPr="006B0173">
        <w:rPr>
          <w:rFonts w:ascii="Arial" w:eastAsia="Times New Roman" w:hAnsi="Arial" w:cs="Arial"/>
          <w:color w:val="000000"/>
          <w:sz w:val="24"/>
          <w:szCs w:val="24"/>
          <w:lang w:eastAsia="en-GB"/>
        </w:rPr>
        <w:t>doli</w:t>
      </w:r>
      <w:proofErr w:type="spellEnd"/>
      <w:r w:rsidRPr="006B0173">
        <w:rPr>
          <w:rFonts w:ascii="Arial" w:eastAsia="Times New Roman" w:hAnsi="Arial" w:cs="Arial"/>
          <w:color w:val="000000"/>
          <w:sz w:val="24"/>
          <w:szCs w:val="24"/>
          <w:lang w:eastAsia="en-GB"/>
        </w:rPr>
        <w:t xml:space="preserve"> incapax” in the Crime and Disorder Act (1998), and the modern defence for the maintenance of the status quo</w:t>
      </w:r>
      <w:r w:rsidR="001C1CBB">
        <w:rPr>
          <w:rFonts w:ascii="Arial" w:eastAsia="Times New Roman" w:hAnsi="Arial" w:cs="Arial"/>
          <w:color w:val="000000"/>
          <w:sz w:val="24"/>
          <w:szCs w:val="24"/>
          <w:lang w:eastAsia="en-GB"/>
        </w:rPr>
        <w:t xml:space="preserve">, </w:t>
      </w:r>
      <w:r w:rsidRPr="006B0173">
        <w:rPr>
          <w:rFonts w:ascii="Arial" w:eastAsia="Times New Roman" w:hAnsi="Arial" w:cs="Arial"/>
          <w:color w:val="000000"/>
          <w:sz w:val="24"/>
          <w:szCs w:val="24"/>
          <w:lang w:eastAsia="en-GB"/>
        </w:rPr>
        <w:t xml:space="preserve">being: children at the age of 10 know right from wrong (Case and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2016). Case and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(2016) discuss how the case is often used to validate Government policy when it comes to MARC in England and Wales, with large media followings often g</w:t>
      </w:r>
      <w:r w:rsidR="00F87D34" w:rsidRPr="006B0173">
        <w:rPr>
          <w:rFonts w:ascii="Arial" w:eastAsia="Times New Roman" w:hAnsi="Arial" w:cs="Arial"/>
          <w:color w:val="000000"/>
          <w:sz w:val="24"/>
          <w:szCs w:val="24"/>
          <w:lang w:eastAsia="en-GB"/>
        </w:rPr>
        <w:t>enerating</w:t>
      </w:r>
      <w:r w:rsidRPr="006B0173">
        <w:rPr>
          <w:rFonts w:ascii="Arial" w:eastAsia="Times New Roman" w:hAnsi="Arial" w:cs="Arial"/>
          <w:color w:val="000000"/>
          <w:sz w:val="24"/>
          <w:szCs w:val="24"/>
          <w:lang w:eastAsia="en-GB"/>
        </w:rPr>
        <w:t xml:space="preserve"> public opinions to typically agree with this stance, despite Case and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(2016) explaining cases such as James Bulger are very rare.</w:t>
      </w:r>
    </w:p>
    <w:p w14:paraId="64580192" w14:textId="77777777" w:rsidR="000F4E6C" w:rsidRPr="006B0173" w:rsidRDefault="000F4E6C" w:rsidP="006B0173">
      <w:pPr>
        <w:spacing w:after="0" w:line="480" w:lineRule="auto"/>
        <w:rPr>
          <w:rFonts w:ascii="Arial" w:eastAsia="Times New Roman" w:hAnsi="Arial" w:cs="Arial"/>
          <w:sz w:val="24"/>
          <w:szCs w:val="24"/>
          <w:lang w:eastAsia="en-GB"/>
        </w:rPr>
      </w:pPr>
    </w:p>
    <w:p w14:paraId="1F4130D5" w14:textId="77777777" w:rsidR="000F4E6C" w:rsidRPr="006B0173" w:rsidRDefault="000F4E6C" w:rsidP="006B0173">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Case,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and Smith (2018) observes that the James Bulger case was large enough that media, public and political opinions became visible in the wider domain, with young offenders eventually being painted as wicked and evil - instead of society </w:t>
      </w:r>
      <w:r w:rsidRPr="006B0173">
        <w:rPr>
          <w:rFonts w:ascii="Arial" w:eastAsia="Times New Roman" w:hAnsi="Arial" w:cs="Arial"/>
          <w:color w:val="000000"/>
          <w:sz w:val="24"/>
          <w:szCs w:val="24"/>
          <w:lang w:eastAsia="en-GB"/>
        </w:rPr>
        <w:lastRenderedPageBreak/>
        <w:t>taking the blame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2020) - with a reduced MARC being perceived as necessary to bring those responsible to justice. </w:t>
      </w:r>
    </w:p>
    <w:p w14:paraId="22FB1959" w14:textId="77777777" w:rsidR="000F4E6C" w:rsidRPr="006B0173" w:rsidRDefault="000F4E6C" w:rsidP="006B0173">
      <w:pPr>
        <w:spacing w:after="0" w:line="480" w:lineRule="auto"/>
        <w:rPr>
          <w:rFonts w:ascii="Arial" w:eastAsia="Times New Roman" w:hAnsi="Arial" w:cs="Arial"/>
          <w:sz w:val="24"/>
          <w:szCs w:val="24"/>
          <w:lang w:eastAsia="en-GB"/>
        </w:rPr>
      </w:pPr>
    </w:p>
    <w:p w14:paraId="16082721" w14:textId="7BD8D8FE" w:rsidR="000F4E6C" w:rsidRPr="006B0173" w:rsidRDefault="000F4E6C" w:rsidP="006B0173">
      <w:pPr>
        <w:spacing w:after="0" w:line="480" w:lineRule="auto"/>
        <w:rPr>
          <w:rFonts w:ascii="Arial" w:eastAsia="Times New Roman" w:hAnsi="Arial" w:cs="Arial"/>
          <w:sz w:val="24"/>
          <w:szCs w:val="24"/>
          <w:lang w:eastAsia="en-GB"/>
        </w:rPr>
      </w:pPr>
      <w:proofErr w:type="spellStart"/>
      <w:r w:rsidRPr="006B0173">
        <w:rPr>
          <w:rFonts w:ascii="Arial" w:eastAsia="Times New Roman" w:hAnsi="Arial" w:cs="Arial"/>
          <w:color w:val="000000"/>
          <w:sz w:val="24"/>
          <w:szCs w:val="24"/>
          <w:lang w:eastAsia="en-GB"/>
        </w:rPr>
        <w:t>Fionda</w:t>
      </w:r>
      <w:proofErr w:type="spellEnd"/>
      <w:r w:rsidRPr="006B0173">
        <w:rPr>
          <w:rFonts w:ascii="Arial" w:eastAsia="Times New Roman" w:hAnsi="Arial" w:cs="Arial"/>
          <w:color w:val="000000"/>
          <w:sz w:val="24"/>
          <w:szCs w:val="24"/>
          <w:lang w:eastAsia="en-GB"/>
        </w:rPr>
        <w:t xml:space="preserve"> (2005) discusses how society’s perception of childhood often caters from one extreme to the next, with children often garnering a sense of “innocence” and inability for malicious wrongdoing. However, once there is a crime committed, children immediately lose this “angelic” status and become vilified (</w:t>
      </w:r>
      <w:proofErr w:type="spellStart"/>
      <w:r w:rsidRPr="006B0173">
        <w:rPr>
          <w:rFonts w:ascii="Arial" w:eastAsia="Times New Roman" w:hAnsi="Arial" w:cs="Arial"/>
          <w:color w:val="000000"/>
          <w:sz w:val="24"/>
          <w:szCs w:val="24"/>
          <w:lang w:eastAsia="en-GB"/>
        </w:rPr>
        <w:t>Fionda</w:t>
      </w:r>
      <w:proofErr w:type="spellEnd"/>
      <w:r w:rsidRPr="006B0173">
        <w:rPr>
          <w:rFonts w:ascii="Arial" w:eastAsia="Times New Roman" w:hAnsi="Arial" w:cs="Arial"/>
          <w:color w:val="000000"/>
          <w:sz w:val="24"/>
          <w:szCs w:val="24"/>
          <w:lang w:eastAsia="en-GB"/>
        </w:rPr>
        <w:t xml:space="preserve">, 2005;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xml:space="preserve">, 2019) within the media and society, with terms such as “devil” or “evil” being present, with the Prime Minister at the time feeding into this observation by describing James Bulger’s killers as “evil” and “nasty” (Case,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and Smith, 2018), despite some academics arguing that the child offenders are ultimately victims themselves, as society has led them to act the way they did, with failings as a collective potentially being the root cause</w:t>
      </w:r>
      <w:r w:rsidR="000074B7">
        <w:rPr>
          <w:rFonts w:ascii="Arial" w:eastAsia="Times New Roman" w:hAnsi="Arial" w:cs="Arial"/>
          <w:color w:val="000000"/>
          <w:sz w:val="24"/>
          <w:szCs w:val="24"/>
          <w:lang w:eastAsia="en-GB"/>
        </w:rPr>
        <w:t xml:space="preserve"> according to Case, </w:t>
      </w:r>
      <w:proofErr w:type="spellStart"/>
      <w:r w:rsidR="000074B7">
        <w:rPr>
          <w:rFonts w:ascii="Arial" w:eastAsia="Times New Roman" w:hAnsi="Arial" w:cs="Arial"/>
          <w:color w:val="000000"/>
          <w:sz w:val="24"/>
          <w:szCs w:val="24"/>
          <w:lang w:eastAsia="en-GB"/>
        </w:rPr>
        <w:t>Creaney</w:t>
      </w:r>
      <w:proofErr w:type="spellEnd"/>
      <w:r w:rsidR="000074B7">
        <w:rPr>
          <w:rFonts w:ascii="Arial" w:eastAsia="Times New Roman" w:hAnsi="Arial" w:cs="Arial"/>
          <w:color w:val="000000"/>
          <w:sz w:val="24"/>
          <w:szCs w:val="24"/>
          <w:lang w:eastAsia="en-GB"/>
        </w:rPr>
        <w:t xml:space="preserve"> and Smith (2018)</w:t>
      </w:r>
      <w:r w:rsidRPr="006B0173">
        <w:rPr>
          <w:rFonts w:ascii="Arial" w:eastAsia="Times New Roman" w:hAnsi="Arial" w:cs="Arial"/>
          <w:color w:val="000000"/>
          <w:sz w:val="24"/>
          <w:szCs w:val="24"/>
          <w:lang w:eastAsia="en-GB"/>
        </w:rPr>
        <w:t xml:space="preserve">. Therefore, </w:t>
      </w:r>
      <w:proofErr w:type="spellStart"/>
      <w:r w:rsidRPr="006B0173">
        <w:rPr>
          <w:rFonts w:ascii="Arial" w:eastAsia="Times New Roman" w:hAnsi="Arial" w:cs="Arial"/>
          <w:color w:val="000000"/>
          <w:sz w:val="24"/>
          <w:szCs w:val="24"/>
          <w:lang w:eastAsia="en-GB"/>
        </w:rPr>
        <w:t>Fionda</w:t>
      </w:r>
      <w:proofErr w:type="spellEnd"/>
      <w:r w:rsidRPr="006B0173">
        <w:rPr>
          <w:rFonts w:ascii="Arial" w:eastAsia="Times New Roman" w:hAnsi="Arial" w:cs="Arial"/>
          <w:color w:val="000000"/>
          <w:sz w:val="24"/>
          <w:szCs w:val="24"/>
          <w:lang w:eastAsia="en-GB"/>
        </w:rPr>
        <w:t xml:space="preserve"> (2005) and Case,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and Smith (2018) argue that less blame should be placed on young offenders, not more in the form of a low MARC seen in England and Wales as a result of the death of James Bulger.</w:t>
      </w:r>
    </w:p>
    <w:p w14:paraId="51D1CE84" w14:textId="77777777" w:rsidR="000F4E6C" w:rsidRPr="006B0173" w:rsidRDefault="000F4E6C" w:rsidP="006B0173">
      <w:pPr>
        <w:spacing w:after="0" w:line="480" w:lineRule="auto"/>
        <w:rPr>
          <w:rFonts w:ascii="Arial" w:eastAsia="Times New Roman" w:hAnsi="Arial" w:cs="Arial"/>
          <w:sz w:val="24"/>
          <w:szCs w:val="24"/>
          <w:lang w:eastAsia="en-GB"/>
        </w:rPr>
      </w:pPr>
    </w:p>
    <w:p w14:paraId="78EC7A43" w14:textId="2FBAAA2C" w:rsidR="000F4E6C" w:rsidRPr="006B0173" w:rsidRDefault="000F4E6C" w:rsidP="00F1474D">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Case,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and Smith (2018) argue that when incidents such as James Bulger’s death as well as the Spalding murders occur, these incidents do not accurately reflect the mindset of children around those ages, and do not demonstrate full awareness either. Case,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and Smith (2018) state that almost all child offenders have histories of physical, emotional and sexual abuse, as well as </w:t>
      </w:r>
      <w:r w:rsidR="000D6A35" w:rsidRPr="006B0173">
        <w:rPr>
          <w:rFonts w:ascii="Arial" w:eastAsia="Times New Roman" w:hAnsi="Arial" w:cs="Arial"/>
          <w:color w:val="000000"/>
          <w:sz w:val="24"/>
          <w:szCs w:val="24"/>
          <w:lang w:eastAsia="en-GB"/>
        </w:rPr>
        <w:t>d</w:t>
      </w:r>
      <w:r w:rsidR="000D6A35">
        <w:rPr>
          <w:rFonts w:ascii="Arial" w:eastAsia="Times New Roman" w:hAnsi="Arial" w:cs="Arial"/>
          <w:color w:val="000000"/>
          <w:sz w:val="24"/>
          <w:szCs w:val="24"/>
          <w:lang w:eastAsia="en-GB"/>
        </w:rPr>
        <w:t>y</w:t>
      </w:r>
      <w:r w:rsidR="000D6A35" w:rsidRPr="006B0173">
        <w:rPr>
          <w:rFonts w:ascii="Arial" w:eastAsia="Times New Roman" w:hAnsi="Arial" w:cs="Arial"/>
          <w:color w:val="000000"/>
          <w:sz w:val="24"/>
          <w:szCs w:val="24"/>
          <w:lang w:eastAsia="en-GB"/>
        </w:rPr>
        <w:t>sfunctional</w:t>
      </w:r>
      <w:r w:rsidRPr="006B0173">
        <w:rPr>
          <w:rFonts w:ascii="Arial" w:eastAsia="Times New Roman" w:hAnsi="Arial" w:cs="Arial"/>
          <w:color w:val="000000"/>
          <w:sz w:val="24"/>
          <w:szCs w:val="24"/>
          <w:lang w:eastAsia="en-GB"/>
        </w:rPr>
        <w:t xml:space="preserve"> family dynamics and backgrounds, on top of severe poor mental health which brings into question their mental capacity to intentionally do harm, with rare </w:t>
      </w:r>
      <w:r w:rsidRPr="006B0173">
        <w:rPr>
          <w:rFonts w:ascii="Arial" w:eastAsia="Times New Roman" w:hAnsi="Arial" w:cs="Arial"/>
          <w:color w:val="000000"/>
          <w:sz w:val="24"/>
          <w:szCs w:val="24"/>
          <w:lang w:eastAsia="en-GB"/>
        </w:rPr>
        <w:lastRenderedPageBreak/>
        <w:t>instances at the very least not being a contemporary reflection of the entire age group of those subjected to the MARC in England and Wales.</w:t>
      </w:r>
    </w:p>
    <w:p w14:paraId="231B5427" w14:textId="77777777" w:rsidR="000F4E6C" w:rsidRPr="006B0173" w:rsidRDefault="000F4E6C" w:rsidP="00F1474D">
      <w:pPr>
        <w:spacing w:after="0" w:line="480" w:lineRule="auto"/>
        <w:rPr>
          <w:rFonts w:ascii="Arial" w:eastAsia="Times New Roman" w:hAnsi="Arial" w:cs="Arial"/>
          <w:sz w:val="24"/>
          <w:szCs w:val="24"/>
          <w:lang w:eastAsia="en-GB"/>
        </w:rPr>
      </w:pPr>
    </w:p>
    <w:p w14:paraId="6A7820BA" w14:textId="2B8545EC" w:rsidR="000F4E6C" w:rsidRPr="006B0173" w:rsidRDefault="000F4E6C" w:rsidP="00F1474D">
      <w:pPr>
        <w:spacing w:after="0" w:line="480" w:lineRule="auto"/>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Case and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(2016) conclude by stating that claims by Government ministers such as the Home Secretary saying young offenders can no longer use age as justification for prosecution immunity, as well as what the academics consider to be the incorrect and misrepresentation of youth crime portrayed by politicians and media to serve their interests, have resulted in children being: “deprived of their innocence, vulnerability and status as a child” (Case and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2016).</w:t>
      </w:r>
    </w:p>
    <w:p w14:paraId="32D83432" w14:textId="77777777" w:rsidR="00BE02F2" w:rsidRPr="006B0173" w:rsidRDefault="00BE02F2" w:rsidP="00F1474D">
      <w:pPr>
        <w:spacing w:after="0" w:line="480" w:lineRule="auto"/>
        <w:rPr>
          <w:rFonts w:ascii="Arial" w:eastAsia="Times New Roman" w:hAnsi="Arial" w:cs="Arial"/>
          <w:color w:val="000000"/>
          <w:sz w:val="24"/>
          <w:szCs w:val="24"/>
          <w:lang w:eastAsia="en-GB"/>
        </w:rPr>
      </w:pPr>
    </w:p>
    <w:p w14:paraId="04164161" w14:textId="1FAC6120" w:rsidR="00BE02F2" w:rsidRDefault="00BE02F2" w:rsidP="00F1474D">
      <w:pPr>
        <w:spacing w:line="480" w:lineRule="auto"/>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Although the MARC in England and Wales is 10 years old, one of the biggest defence’s against raising this threshold is the fact that children of this age very rarely go to an adult </w:t>
      </w:r>
      <w:r w:rsidR="00ED52AE" w:rsidRPr="006B0173">
        <w:rPr>
          <w:rFonts w:ascii="Arial" w:eastAsia="Times New Roman" w:hAnsi="Arial" w:cs="Arial"/>
          <w:color w:val="000000"/>
          <w:sz w:val="24"/>
          <w:szCs w:val="24"/>
          <w:lang w:eastAsia="en-GB"/>
        </w:rPr>
        <w:t>court</w:t>
      </w:r>
      <w:r w:rsidRPr="006B0173">
        <w:rPr>
          <w:rFonts w:ascii="Arial" w:eastAsia="Times New Roman" w:hAnsi="Arial" w:cs="Arial"/>
          <w:color w:val="000000"/>
          <w:sz w:val="24"/>
          <w:szCs w:val="24"/>
          <w:lang w:eastAsia="en-GB"/>
        </w:rPr>
        <w:t xml:space="preserve"> and are in fact dealt with in the Youth Justice System through the Youth Courts between the ages of 10-17 (Sentencing Council, 2017). The Sentencing Council (2017) state that when sentencing children or young people for offences, the youth courts must prioritise and consider the primary aims of the youth justice system, which is to both ensure the welfare of the child but also minimise and prevent offending by children – although as discussed by Brown and Charles (2019), contact and criminalisation by the system in fact leads to higher likelihood of reoffending.</w:t>
      </w:r>
    </w:p>
    <w:p w14:paraId="3316BB34" w14:textId="77777777" w:rsidR="00F1474D" w:rsidRPr="006B0173" w:rsidRDefault="00F1474D" w:rsidP="00F1474D">
      <w:pPr>
        <w:spacing w:line="480" w:lineRule="auto"/>
        <w:rPr>
          <w:rFonts w:ascii="Arial" w:eastAsia="Times New Roman" w:hAnsi="Arial" w:cs="Arial"/>
          <w:color w:val="000000"/>
          <w:sz w:val="24"/>
          <w:szCs w:val="24"/>
          <w:lang w:eastAsia="en-GB"/>
        </w:rPr>
      </w:pPr>
    </w:p>
    <w:p w14:paraId="64D6DFA2" w14:textId="1EF78698" w:rsidR="00BE02F2" w:rsidRDefault="00BE02F2" w:rsidP="00F1474D">
      <w:pPr>
        <w:spacing w:line="480" w:lineRule="auto"/>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Despite the seemingly contradictory motives between the intended aims of the youth justice system with that of child reoffending rates, the Sentencing Council (2021) state that in 2019 out of the 18,000 cases presented to the youth courts, 67% of children and young people were issued with a community sentence, with only 7% </w:t>
      </w:r>
      <w:r w:rsidRPr="006B0173">
        <w:rPr>
          <w:rFonts w:ascii="Arial" w:eastAsia="Times New Roman" w:hAnsi="Arial" w:cs="Arial"/>
          <w:color w:val="000000"/>
          <w:sz w:val="24"/>
          <w:szCs w:val="24"/>
          <w:lang w:eastAsia="en-GB"/>
        </w:rPr>
        <w:lastRenderedPageBreak/>
        <w:t>sentenced to immediate custody. This, along with the less intimidating setting of a youth court room suggests a more lenient approach when dealing with child offenders</w:t>
      </w:r>
      <w:r w:rsidR="00ED52AE" w:rsidRPr="006B0173">
        <w:rPr>
          <w:rFonts w:ascii="Arial" w:eastAsia="Times New Roman" w:hAnsi="Arial" w:cs="Arial"/>
          <w:color w:val="000000"/>
          <w:sz w:val="24"/>
          <w:szCs w:val="24"/>
          <w:lang w:eastAsia="en-GB"/>
        </w:rPr>
        <w:t>. H</w:t>
      </w:r>
      <w:r w:rsidRPr="006B0173">
        <w:rPr>
          <w:rFonts w:ascii="Arial" w:eastAsia="Times New Roman" w:hAnsi="Arial" w:cs="Arial"/>
          <w:color w:val="000000"/>
          <w:sz w:val="24"/>
          <w:szCs w:val="24"/>
          <w:lang w:eastAsia="en-GB"/>
        </w:rPr>
        <w:t>owever</w:t>
      </w:r>
      <w:r w:rsidR="00ED52AE" w:rsidRPr="006B0173">
        <w:rPr>
          <w:rFonts w:ascii="Arial" w:eastAsia="Times New Roman" w:hAnsi="Arial" w:cs="Arial"/>
          <w:color w:val="000000"/>
          <w:sz w:val="24"/>
          <w:szCs w:val="24"/>
          <w:lang w:eastAsia="en-GB"/>
        </w:rPr>
        <w:t xml:space="preserve">, </w:t>
      </w:r>
      <w:r w:rsidRPr="006B0173">
        <w:rPr>
          <w:rFonts w:ascii="Arial" w:eastAsia="Times New Roman" w:hAnsi="Arial" w:cs="Arial"/>
          <w:color w:val="000000"/>
          <w:sz w:val="24"/>
          <w:szCs w:val="24"/>
          <w:lang w:eastAsia="en-GB"/>
        </w:rPr>
        <w:t>the system is not perfect</w:t>
      </w:r>
      <w:r w:rsidR="00ED7B31">
        <w:rPr>
          <w:rFonts w:ascii="Arial" w:eastAsia="Times New Roman" w:hAnsi="Arial" w:cs="Arial"/>
          <w:color w:val="000000"/>
          <w:sz w:val="24"/>
          <w:szCs w:val="24"/>
          <w:lang w:eastAsia="en-GB"/>
        </w:rPr>
        <w:t xml:space="preserve">, </w:t>
      </w:r>
      <w:r w:rsidRPr="006B0173">
        <w:rPr>
          <w:rFonts w:ascii="Arial" w:eastAsia="Times New Roman" w:hAnsi="Arial" w:cs="Arial"/>
          <w:color w:val="000000"/>
          <w:sz w:val="24"/>
          <w:szCs w:val="24"/>
          <w:lang w:eastAsia="en-GB"/>
        </w:rPr>
        <w:t xml:space="preserve">as established by </w:t>
      </w:r>
      <w:proofErr w:type="spellStart"/>
      <w:r w:rsidRPr="006B0173">
        <w:rPr>
          <w:rFonts w:ascii="Arial" w:eastAsia="Times New Roman" w:hAnsi="Arial" w:cs="Arial"/>
          <w:color w:val="000000"/>
          <w:sz w:val="24"/>
          <w:szCs w:val="24"/>
          <w:lang w:eastAsia="en-GB"/>
        </w:rPr>
        <w:t>Batesman</w:t>
      </w:r>
      <w:proofErr w:type="spellEnd"/>
      <w:r w:rsidRPr="006B0173">
        <w:rPr>
          <w:rFonts w:ascii="Arial" w:eastAsia="Times New Roman" w:hAnsi="Arial" w:cs="Arial"/>
          <w:color w:val="000000"/>
          <w:sz w:val="24"/>
          <w:szCs w:val="24"/>
          <w:lang w:eastAsia="en-GB"/>
        </w:rPr>
        <w:t xml:space="preserve"> (2012) where they state even the lightest</w:t>
      </w:r>
      <w:r w:rsidR="0031408B" w:rsidRPr="006B0173">
        <w:rPr>
          <w:rFonts w:ascii="Arial" w:eastAsia="Times New Roman" w:hAnsi="Arial" w:cs="Arial"/>
          <w:color w:val="000000"/>
          <w:sz w:val="24"/>
          <w:szCs w:val="24"/>
          <w:lang w:eastAsia="en-GB"/>
        </w:rPr>
        <w:t xml:space="preserve"> of contact with the criminal justice system can drastically impact a child’s life, with the youngest individuals being impacted the most with an MARC of 10 years old in England and Wales receiving heavy criticisms.</w:t>
      </w:r>
    </w:p>
    <w:p w14:paraId="69A67899" w14:textId="77777777" w:rsidR="00F1474D" w:rsidRPr="006B0173" w:rsidRDefault="00F1474D" w:rsidP="00F1474D">
      <w:pPr>
        <w:spacing w:line="480" w:lineRule="auto"/>
        <w:rPr>
          <w:rFonts w:ascii="Arial" w:eastAsia="Times New Roman" w:hAnsi="Arial" w:cs="Arial"/>
          <w:color w:val="000000"/>
          <w:sz w:val="24"/>
          <w:szCs w:val="24"/>
          <w:lang w:eastAsia="en-GB"/>
        </w:rPr>
      </w:pPr>
    </w:p>
    <w:p w14:paraId="1D8C6121" w14:textId="278B43DA" w:rsidR="000F4E6C" w:rsidRPr="006B0173" w:rsidRDefault="00F1474D" w:rsidP="00F1474D">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Furthermore, </w:t>
      </w:r>
      <w:r w:rsidR="00BE02F2" w:rsidRPr="006B0173">
        <w:rPr>
          <w:rFonts w:ascii="Arial" w:eastAsia="Times New Roman" w:hAnsi="Arial" w:cs="Arial"/>
          <w:color w:val="000000"/>
          <w:sz w:val="24"/>
          <w:szCs w:val="24"/>
          <w:lang w:eastAsia="en-GB"/>
        </w:rPr>
        <w:t xml:space="preserve">Butler (2021) </w:t>
      </w:r>
      <w:r>
        <w:rPr>
          <w:rFonts w:ascii="Arial" w:eastAsia="Times New Roman" w:hAnsi="Arial" w:cs="Arial"/>
          <w:color w:val="000000"/>
          <w:sz w:val="24"/>
          <w:szCs w:val="24"/>
          <w:lang w:eastAsia="en-GB"/>
        </w:rPr>
        <w:t xml:space="preserve">demonstrates the imperfections within the system when they </w:t>
      </w:r>
      <w:r w:rsidR="00BE02F2" w:rsidRPr="006B0173">
        <w:rPr>
          <w:rFonts w:ascii="Arial" w:eastAsia="Times New Roman" w:hAnsi="Arial" w:cs="Arial"/>
          <w:color w:val="000000"/>
          <w:sz w:val="24"/>
          <w:szCs w:val="24"/>
          <w:lang w:eastAsia="en-GB"/>
        </w:rPr>
        <w:t>explain that currently in law, if a child commits an offence but has their first court appearance after their 18</w:t>
      </w:r>
      <w:r w:rsidR="00BE02F2" w:rsidRPr="006B0173">
        <w:rPr>
          <w:rFonts w:ascii="Arial" w:eastAsia="Times New Roman" w:hAnsi="Arial" w:cs="Arial"/>
          <w:color w:val="000000"/>
          <w:sz w:val="24"/>
          <w:szCs w:val="24"/>
          <w:vertAlign w:val="superscript"/>
          <w:lang w:eastAsia="en-GB"/>
        </w:rPr>
        <w:t>th</w:t>
      </w:r>
      <w:r w:rsidR="00BE02F2" w:rsidRPr="006B0173">
        <w:rPr>
          <w:rFonts w:ascii="Arial" w:eastAsia="Times New Roman" w:hAnsi="Arial" w:cs="Arial"/>
          <w:color w:val="000000"/>
          <w:sz w:val="24"/>
          <w:szCs w:val="24"/>
          <w:lang w:eastAsia="en-GB"/>
        </w:rPr>
        <w:t xml:space="preserve"> birthday, they are treated as a full adult despite committing the offence under the age of 18. Butler (2021) argues that this system </w:t>
      </w:r>
      <w:r w:rsidR="00611431">
        <w:rPr>
          <w:rFonts w:ascii="Arial" w:eastAsia="Times New Roman" w:hAnsi="Arial" w:cs="Arial"/>
          <w:color w:val="000000"/>
          <w:sz w:val="24"/>
          <w:szCs w:val="24"/>
          <w:lang w:eastAsia="en-GB"/>
        </w:rPr>
        <w:t>needs</w:t>
      </w:r>
      <w:r w:rsidR="00BE02F2" w:rsidRPr="006B0173">
        <w:rPr>
          <w:rFonts w:ascii="Arial" w:eastAsia="Times New Roman" w:hAnsi="Arial" w:cs="Arial"/>
          <w:color w:val="000000"/>
          <w:sz w:val="24"/>
          <w:szCs w:val="24"/>
          <w:lang w:eastAsia="en-GB"/>
        </w:rPr>
        <w:t xml:space="preserve"> be changed so that if an offence is committed by an individual under the age of 18, their entire contact and case jurisdiction should remain in the youth courts and youth justice system, not passed on to an adult magistrate or crown court. The current youth justice system is described by Butler (2021) as a “postcode lottery”, with the example given: Two 17-year-olds could commit the same offence on the same day and have the same birthday but </w:t>
      </w:r>
      <w:r w:rsidR="00AE2B0B">
        <w:rPr>
          <w:rFonts w:ascii="Arial" w:eastAsia="Times New Roman" w:hAnsi="Arial" w:cs="Arial"/>
          <w:color w:val="000000"/>
          <w:sz w:val="24"/>
          <w:szCs w:val="24"/>
          <w:lang w:eastAsia="en-GB"/>
        </w:rPr>
        <w:t>c</w:t>
      </w:r>
      <w:r w:rsidR="00BE02F2" w:rsidRPr="006B0173">
        <w:rPr>
          <w:rFonts w:ascii="Arial" w:eastAsia="Times New Roman" w:hAnsi="Arial" w:cs="Arial"/>
          <w:color w:val="000000"/>
          <w:sz w:val="24"/>
          <w:szCs w:val="24"/>
          <w:lang w:eastAsia="en-GB"/>
        </w:rPr>
        <w:t>ould be tried in two different courts and two different systems based entirely on how quick their case went to court. With COVID-19 impacting courts and increasing the delays in trials, this issue is one of the criticisms given to the youth justice system and demonstrates issues not just at the bottom end of the spectrum with regards to offenders aged 10, but also at the top.</w:t>
      </w:r>
    </w:p>
    <w:p w14:paraId="3FBA8148" w14:textId="77777777" w:rsidR="00BE02F2" w:rsidRPr="006B0173" w:rsidRDefault="00BE02F2" w:rsidP="00F1474D">
      <w:pPr>
        <w:spacing w:line="480" w:lineRule="auto"/>
        <w:rPr>
          <w:rFonts w:ascii="Arial" w:eastAsia="Times New Roman" w:hAnsi="Arial" w:cs="Arial"/>
          <w:color w:val="000000"/>
          <w:sz w:val="24"/>
          <w:szCs w:val="24"/>
          <w:lang w:eastAsia="en-GB"/>
        </w:rPr>
      </w:pPr>
    </w:p>
    <w:p w14:paraId="2D76F57F" w14:textId="2FEB1BD9" w:rsidR="000F4E6C" w:rsidRPr="006B0173" w:rsidRDefault="000F4E6C" w:rsidP="00F1474D">
      <w:p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lastRenderedPageBreak/>
        <w:t>Throughout the research process there has been very little to suggest there is evidentiary backing behind arguments against raising the MARC in England and Wales. Primarily</w:t>
      </w:r>
      <w:r w:rsidR="00C34A8D" w:rsidRPr="006B0173">
        <w:rPr>
          <w:rFonts w:ascii="Arial" w:eastAsia="Times New Roman" w:hAnsi="Arial" w:cs="Arial"/>
          <w:color w:val="000000"/>
          <w:sz w:val="24"/>
          <w:szCs w:val="24"/>
          <w:lang w:eastAsia="en-GB"/>
        </w:rPr>
        <w:t xml:space="preserve">, </w:t>
      </w:r>
      <w:r w:rsidRPr="006B0173">
        <w:rPr>
          <w:rFonts w:ascii="Arial" w:eastAsia="Times New Roman" w:hAnsi="Arial" w:cs="Arial"/>
          <w:color w:val="000000"/>
          <w:sz w:val="24"/>
          <w:szCs w:val="24"/>
          <w:lang w:eastAsia="en-GB"/>
        </w:rPr>
        <w:t xml:space="preserve">the main justification seen with regards to opposition to the increase of the MARC has been on </w:t>
      </w:r>
      <w:r w:rsidR="00BE02F2" w:rsidRPr="006B0173">
        <w:rPr>
          <w:rFonts w:ascii="Arial" w:eastAsia="Times New Roman" w:hAnsi="Arial" w:cs="Arial"/>
          <w:color w:val="000000"/>
          <w:sz w:val="24"/>
          <w:szCs w:val="24"/>
          <w:lang w:eastAsia="en-GB"/>
        </w:rPr>
        <w:t>three</w:t>
      </w:r>
      <w:r w:rsidRPr="006B0173">
        <w:rPr>
          <w:rFonts w:ascii="Arial" w:eastAsia="Times New Roman" w:hAnsi="Arial" w:cs="Arial"/>
          <w:color w:val="000000"/>
          <w:sz w:val="24"/>
          <w:szCs w:val="24"/>
          <w:lang w:eastAsia="en-GB"/>
        </w:rPr>
        <w:t xml:space="preserve"> fronts. Firstly, historical precedent of serious and horrific child offenders has demonstrated the perceived necessity for a lower MARC, to ensure justice is served to those young offenders (Case and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2019; </w:t>
      </w: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2019). Secondly, the admittedly isolated view taken by Hungary as explored by Balogh (2014), where they state Hungary lowered their MARC due to the belief that children have neurologically developed quicker due to technology, so the innocence and arguable naivety placed on children is in their belief, no longer an accurate portrayal of modern society.</w:t>
      </w:r>
      <w:r w:rsidR="00BE02F2" w:rsidRPr="006B0173">
        <w:rPr>
          <w:rFonts w:ascii="Arial" w:eastAsia="Times New Roman" w:hAnsi="Arial" w:cs="Arial"/>
          <w:color w:val="000000"/>
          <w:sz w:val="24"/>
          <w:szCs w:val="24"/>
          <w:lang w:eastAsia="en-GB"/>
        </w:rPr>
        <w:t xml:space="preserve"> Thirdly, the belief that the youth justice system is equipped to deal with children who offend and do not impose a custodial sentence lightly.</w:t>
      </w:r>
    </w:p>
    <w:p w14:paraId="47B4E00E" w14:textId="77777777" w:rsidR="000F4E6C" w:rsidRPr="006B0173" w:rsidRDefault="000F4E6C" w:rsidP="00F1474D">
      <w:pPr>
        <w:spacing w:after="0" w:line="480" w:lineRule="auto"/>
        <w:rPr>
          <w:rFonts w:ascii="Arial" w:eastAsia="Times New Roman" w:hAnsi="Arial" w:cs="Arial"/>
          <w:sz w:val="24"/>
          <w:szCs w:val="24"/>
          <w:lang w:eastAsia="en-GB"/>
        </w:rPr>
      </w:pPr>
    </w:p>
    <w:p w14:paraId="0823AFE4" w14:textId="28BA8EFA" w:rsidR="00E313F8" w:rsidRPr="006B0173" w:rsidRDefault="000F4E6C" w:rsidP="00F1474D">
      <w:pPr>
        <w:spacing w:after="0" w:line="480" w:lineRule="auto"/>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Despite these selective oppositions, most professionals, academics and charitable bodies from across the UK and the world, tend to agree that the MARC in England and Wales is one that needs to be drastically increased. This, according to Halliday (et al., 2019) would comply with the requests and recommendations provided by: the UN, the head of the Youth Justice Board in England and Wales, the Association of Directors of Children’s Services, the Association of Youth Offending Team Managers, the Children’s Commissioner for England, leading children’s charity Just for Kids Law, Lord Thomas of </w:t>
      </w:r>
      <w:proofErr w:type="spellStart"/>
      <w:r w:rsidRPr="006B0173">
        <w:rPr>
          <w:rFonts w:ascii="Arial" w:eastAsia="Times New Roman" w:hAnsi="Arial" w:cs="Arial"/>
          <w:color w:val="000000"/>
          <w:sz w:val="24"/>
          <w:szCs w:val="24"/>
          <w:lang w:eastAsia="en-GB"/>
        </w:rPr>
        <w:t>Cwmgiedd</w:t>
      </w:r>
      <w:proofErr w:type="spellEnd"/>
      <w:r w:rsidRPr="006B0173">
        <w:rPr>
          <w:rFonts w:ascii="Arial" w:eastAsia="Times New Roman" w:hAnsi="Arial" w:cs="Arial"/>
          <w:color w:val="000000"/>
          <w:sz w:val="24"/>
          <w:szCs w:val="24"/>
          <w:lang w:eastAsia="en-GB"/>
        </w:rPr>
        <w:t xml:space="preserve"> a former Lord Chief Justice of England and Wales, the chair of the Magistrates Association, the Equality and Human Rights Commission (EHRC), and the Association of Directors of Children’s Services, alongside hundreds of academics that are supported by neurological evidence and </w:t>
      </w:r>
      <w:r w:rsidRPr="006B0173">
        <w:rPr>
          <w:rFonts w:ascii="Arial" w:eastAsia="Times New Roman" w:hAnsi="Arial" w:cs="Arial"/>
          <w:color w:val="000000"/>
          <w:sz w:val="24"/>
          <w:szCs w:val="24"/>
          <w:lang w:eastAsia="en-GB"/>
        </w:rPr>
        <w:lastRenderedPageBreak/>
        <w:t>behavioural theories (Bateman, 2013; Brown and Charles, 2019; Farrow et al., 2011).</w:t>
      </w:r>
    </w:p>
    <w:p w14:paraId="79B5A045" w14:textId="126419E0" w:rsidR="00D50115" w:rsidRPr="006B0173" w:rsidRDefault="00D50115" w:rsidP="006B0173">
      <w:pPr>
        <w:spacing w:line="480" w:lineRule="auto"/>
        <w:rPr>
          <w:rFonts w:ascii="Arial" w:eastAsia="Times New Roman" w:hAnsi="Arial" w:cs="Arial"/>
          <w:b/>
          <w:bCs/>
          <w:i/>
          <w:iCs/>
          <w:color w:val="000000"/>
          <w:sz w:val="24"/>
          <w:szCs w:val="24"/>
          <w:u w:val="single"/>
          <w:lang w:eastAsia="en-GB"/>
        </w:rPr>
      </w:pPr>
      <w:r w:rsidRPr="006B0173">
        <w:rPr>
          <w:rFonts w:ascii="Arial" w:eastAsia="Times New Roman" w:hAnsi="Arial" w:cs="Arial"/>
          <w:b/>
          <w:bCs/>
          <w:i/>
          <w:iCs/>
          <w:color w:val="000000"/>
          <w:sz w:val="24"/>
          <w:szCs w:val="24"/>
          <w:u w:val="single"/>
          <w:lang w:eastAsia="en-GB"/>
        </w:rPr>
        <w:br w:type="page"/>
      </w:r>
    </w:p>
    <w:p w14:paraId="7370528A" w14:textId="30357769" w:rsidR="006B0173" w:rsidRDefault="00D50115" w:rsidP="006B0173">
      <w:pPr>
        <w:spacing w:after="0" w:line="480" w:lineRule="auto"/>
        <w:rPr>
          <w:rFonts w:ascii="Arial" w:eastAsia="Times New Roman" w:hAnsi="Arial" w:cs="Arial"/>
          <w:sz w:val="24"/>
          <w:szCs w:val="24"/>
          <w:u w:val="single"/>
          <w:lang w:eastAsia="en-GB"/>
        </w:rPr>
      </w:pPr>
      <w:r w:rsidRPr="006B0173">
        <w:rPr>
          <w:rFonts w:ascii="Arial" w:eastAsia="Times New Roman" w:hAnsi="Arial" w:cs="Arial"/>
          <w:sz w:val="24"/>
          <w:szCs w:val="24"/>
          <w:u w:val="single"/>
          <w:lang w:eastAsia="en-GB"/>
        </w:rPr>
        <w:lastRenderedPageBreak/>
        <w:t>Reference List</w:t>
      </w:r>
    </w:p>
    <w:p w14:paraId="0E32BA22" w14:textId="77777777" w:rsidR="006B0173" w:rsidRPr="006B0173" w:rsidRDefault="006B0173" w:rsidP="006B0173">
      <w:pPr>
        <w:spacing w:after="0" w:line="480" w:lineRule="auto"/>
        <w:rPr>
          <w:rFonts w:ascii="Arial" w:eastAsia="Times New Roman" w:hAnsi="Arial" w:cs="Arial"/>
          <w:sz w:val="24"/>
          <w:szCs w:val="24"/>
          <w:u w:val="single"/>
          <w:lang w:eastAsia="en-GB"/>
        </w:rPr>
      </w:pPr>
    </w:p>
    <w:p w14:paraId="3FE83A02" w14:textId="0068DF36" w:rsidR="00D50115" w:rsidRPr="006B0173" w:rsidRDefault="009A4658" w:rsidP="006B0173">
      <w:pPr>
        <w:pStyle w:val="ListParagraph"/>
        <w:numPr>
          <w:ilvl w:val="0"/>
          <w:numId w:val="33"/>
        </w:numPr>
        <w:spacing w:after="0" w:line="480" w:lineRule="auto"/>
        <w:rPr>
          <w:rFonts w:ascii="Arial" w:eastAsia="Times New Roman" w:hAnsi="Arial" w:cs="Arial"/>
          <w:sz w:val="24"/>
          <w:szCs w:val="24"/>
          <w:lang w:eastAsia="en-GB"/>
        </w:rPr>
      </w:pPr>
      <w:proofErr w:type="spellStart"/>
      <w:r w:rsidRPr="006B0173">
        <w:rPr>
          <w:rFonts w:ascii="Arial" w:hAnsi="Arial" w:cs="Arial"/>
          <w:color w:val="000000"/>
          <w:sz w:val="24"/>
          <w:szCs w:val="24"/>
        </w:rPr>
        <w:t>Andow</w:t>
      </w:r>
      <w:proofErr w:type="spellEnd"/>
      <w:r w:rsidRPr="006B0173">
        <w:rPr>
          <w:rFonts w:ascii="Arial" w:hAnsi="Arial" w:cs="Arial"/>
          <w:color w:val="000000"/>
          <w:sz w:val="24"/>
          <w:szCs w:val="24"/>
        </w:rPr>
        <w:t xml:space="preserve">, C., </w:t>
      </w:r>
      <w:proofErr w:type="spellStart"/>
      <w:r w:rsidRPr="006B0173">
        <w:rPr>
          <w:rFonts w:ascii="Arial" w:hAnsi="Arial" w:cs="Arial"/>
          <w:color w:val="000000"/>
          <w:sz w:val="24"/>
          <w:szCs w:val="24"/>
        </w:rPr>
        <w:t>Bryne</w:t>
      </w:r>
      <w:proofErr w:type="spellEnd"/>
      <w:r w:rsidRPr="006B0173">
        <w:rPr>
          <w:rFonts w:ascii="Arial" w:hAnsi="Arial" w:cs="Arial"/>
          <w:color w:val="000000"/>
          <w:sz w:val="24"/>
          <w:szCs w:val="24"/>
        </w:rPr>
        <w:t xml:space="preserve">, B., </w:t>
      </w:r>
      <w:proofErr w:type="spellStart"/>
      <w:r w:rsidRPr="006B0173">
        <w:rPr>
          <w:rFonts w:ascii="Arial" w:hAnsi="Arial" w:cs="Arial"/>
          <w:color w:val="000000"/>
          <w:sz w:val="24"/>
          <w:szCs w:val="24"/>
        </w:rPr>
        <w:t>D'Cruz</w:t>
      </w:r>
      <w:proofErr w:type="spellEnd"/>
      <w:r w:rsidRPr="006B0173">
        <w:rPr>
          <w:rFonts w:ascii="Arial" w:hAnsi="Arial" w:cs="Arial"/>
          <w:color w:val="000000"/>
          <w:sz w:val="24"/>
          <w:szCs w:val="24"/>
        </w:rPr>
        <w:t xml:space="preserve">, C., Estep, B., Goodfellow, P., Hart, D., Janes, L., Johns, D., </w:t>
      </w:r>
      <w:proofErr w:type="spellStart"/>
      <w:r w:rsidRPr="006B0173">
        <w:rPr>
          <w:rFonts w:ascii="Arial" w:hAnsi="Arial" w:cs="Arial"/>
          <w:color w:val="000000"/>
          <w:sz w:val="24"/>
          <w:szCs w:val="24"/>
        </w:rPr>
        <w:t>McAra</w:t>
      </w:r>
      <w:proofErr w:type="spellEnd"/>
      <w:r w:rsidRPr="006B0173">
        <w:rPr>
          <w:rFonts w:ascii="Arial" w:hAnsi="Arial" w:cs="Arial"/>
          <w:color w:val="000000"/>
          <w:sz w:val="24"/>
          <w:szCs w:val="24"/>
        </w:rPr>
        <w:t xml:space="preserve">, L., Phoenix, J., Sands, C., Stacey, C. and Twite, J. (2019). </w:t>
      </w:r>
      <w:r w:rsidRPr="006B0173">
        <w:rPr>
          <w:rFonts w:ascii="Arial" w:hAnsi="Arial" w:cs="Arial"/>
          <w:i/>
          <w:iCs/>
          <w:color w:val="000000"/>
          <w:sz w:val="24"/>
          <w:szCs w:val="24"/>
        </w:rPr>
        <w:t>Child-Friendly Youth Justice?</w:t>
      </w:r>
      <w:r w:rsidRPr="006B0173">
        <w:rPr>
          <w:rFonts w:ascii="Arial" w:hAnsi="Arial" w:cs="Arial"/>
          <w:color w:val="000000"/>
          <w:sz w:val="24"/>
          <w:szCs w:val="24"/>
        </w:rPr>
        <w:t>. [</w:t>
      </w:r>
      <w:proofErr w:type="spellStart"/>
      <w:r w:rsidRPr="006B0173">
        <w:rPr>
          <w:rFonts w:ascii="Arial" w:hAnsi="Arial" w:cs="Arial"/>
          <w:color w:val="000000"/>
          <w:sz w:val="24"/>
          <w:szCs w:val="24"/>
        </w:rPr>
        <w:t>ebook</w:t>
      </w:r>
      <w:proofErr w:type="spellEnd"/>
      <w:r w:rsidRPr="006B0173">
        <w:rPr>
          <w:rFonts w:ascii="Arial" w:hAnsi="Arial" w:cs="Arial"/>
          <w:color w:val="000000"/>
          <w:sz w:val="24"/>
          <w:szCs w:val="24"/>
        </w:rPr>
        <w:t xml:space="preserve">] National Association for Youth Justice. Available at: </w:t>
      </w:r>
      <w:hyperlink r:id="rId7" w:history="1">
        <w:r w:rsidRPr="006B0173">
          <w:rPr>
            <w:rFonts w:ascii="Arial" w:hAnsi="Arial" w:cs="Arial"/>
            <w:color w:val="1155CC"/>
            <w:sz w:val="24"/>
            <w:szCs w:val="24"/>
            <w:u w:val="single"/>
          </w:rPr>
          <w:t>https://thenayj.org.uk/wp-content/uploads/2019/02/NAYJ-Child-friendly-youth-justice-May-18.pdf</w:t>
        </w:r>
      </w:hyperlink>
      <w:r w:rsidRPr="006B0173">
        <w:rPr>
          <w:rFonts w:ascii="Arial" w:hAnsi="Arial" w:cs="Arial"/>
          <w:color w:val="000000"/>
          <w:sz w:val="24"/>
          <w:szCs w:val="24"/>
        </w:rPr>
        <w:t xml:space="preserve"> [Accessed 29 October 2021].</w:t>
      </w:r>
    </w:p>
    <w:p w14:paraId="5247D2D0" w14:textId="77777777" w:rsidR="009A4658" w:rsidRPr="006B0173" w:rsidRDefault="009A4658" w:rsidP="006B0173">
      <w:pPr>
        <w:spacing w:after="0" w:line="480" w:lineRule="auto"/>
        <w:rPr>
          <w:rFonts w:ascii="Arial" w:eastAsia="Times New Roman" w:hAnsi="Arial" w:cs="Arial"/>
          <w:sz w:val="24"/>
          <w:szCs w:val="24"/>
          <w:lang w:eastAsia="en-GB"/>
        </w:rPr>
      </w:pPr>
    </w:p>
    <w:p w14:paraId="260ED457" w14:textId="1915420D" w:rsidR="00D50115" w:rsidRPr="006B0173" w:rsidRDefault="00D50115" w:rsidP="006B0173">
      <w:pPr>
        <w:numPr>
          <w:ilvl w:val="0"/>
          <w:numId w:val="1"/>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Balogh, Á. (2014). </w:t>
      </w:r>
      <w:r w:rsidRPr="006B0173">
        <w:rPr>
          <w:rFonts w:ascii="Arial" w:eastAsia="Times New Roman" w:hAnsi="Arial" w:cs="Arial"/>
          <w:i/>
          <w:iCs/>
          <w:color w:val="000000"/>
          <w:sz w:val="24"/>
          <w:szCs w:val="24"/>
          <w:lang w:eastAsia="en-GB"/>
        </w:rPr>
        <w:t>Do Children Have the Capacity to Commit a Crime? The Question of Minimum Age of Criminal Responsibility</w:t>
      </w:r>
      <w:r w:rsidRPr="006B0173">
        <w:rPr>
          <w:rFonts w:ascii="Arial" w:eastAsia="Times New Roman" w:hAnsi="Arial" w:cs="Arial"/>
          <w:color w:val="000000"/>
          <w:sz w:val="24"/>
          <w:szCs w:val="24"/>
          <w:lang w:eastAsia="en-GB"/>
        </w:rPr>
        <w:t>. [</w:t>
      </w:r>
      <w:proofErr w:type="spellStart"/>
      <w:r w:rsidRPr="006B0173">
        <w:rPr>
          <w:rFonts w:ascii="Arial" w:eastAsia="Times New Roman" w:hAnsi="Arial" w:cs="Arial"/>
          <w:color w:val="000000"/>
          <w:sz w:val="24"/>
          <w:szCs w:val="24"/>
          <w:lang w:eastAsia="en-GB"/>
        </w:rPr>
        <w:t>ebook</w:t>
      </w:r>
      <w:proofErr w:type="spellEnd"/>
      <w:r w:rsidRPr="006B0173">
        <w:rPr>
          <w:rFonts w:ascii="Arial" w:eastAsia="Times New Roman" w:hAnsi="Arial" w:cs="Arial"/>
          <w:color w:val="000000"/>
          <w:sz w:val="24"/>
          <w:szCs w:val="24"/>
          <w:lang w:eastAsia="en-GB"/>
        </w:rPr>
        <w:t xml:space="preserve">] Opole: University of Opole. Available at: </w:t>
      </w:r>
      <w:hyperlink r:id="rId8" w:history="1">
        <w:r w:rsidRPr="006B0173">
          <w:rPr>
            <w:rFonts w:ascii="Arial" w:eastAsia="Times New Roman" w:hAnsi="Arial" w:cs="Arial"/>
            <w:color w:val="1155CC"/>
            <w:sz w:val="24"/>
            <w:szCs w:val="24"/>
            <w:u w:val="single"/>
            <w:lang w:eastAsia="en-GB"/>
          </w:rPr>
          <w:t>https://www.ceeol.com/search/article-detail?id=107674</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49D603CE" w14:textId="6F554FD3" w:rsidR="00D50115" w:rsidRPr="006B0173" w:rsidRDefault="00D50115" w:rsidP="006B0173">
      <w:pPr>
        <w:numPr>
          <w:ilvl w:val="0"/>
          <w:numId w:val="2"/>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Bateman, T. (2012). </w:t>
      </w:r>
      <w:r w:rsidRPr="006B0173">
        <w:rPr>
          <w:rFonts w:ascii="Arial" w:eastAsia="Times New Roman" w:hAnsi="Arial" w:cs="Arial"/>
          <w:i/>
          <w:iCs/>
          <w:color w:val="000000"/>
          <w:sz w:val="24"/>
          <w:szCs w:val="24"/>
          <w:lang w:eastAsia="en-GB"/>
        </w:rPr>
        <w:t>Criminalising Children for No Good Purpose: The Age of Criminal Responsibility in England and Wales</w:t>
      </w:r>
      <w:r w:rsidRPr="006B0173">
        <w:rPr>
          <w:rFonts w:ascii="Arial" w:eastAsia="Times New Roman" w:hAnsi="Arial" w:cs="Arial"/>
          <w:color w:val="000000"/>
          <w:sz w:val="24"/>
          <w:szCs w:val="24"/>
          <w:lang w:eastAsia="en-GB"/>
        </w:rPr>
        <w:t>. [</w:t>
      </w:r>
      <w:proofErr w:type="spellStart"/>
      <w:r w:rsidRPr="006B0173">
        <w:rPr>
          <w:rFonts w:ascii="Arial" w:eastAsia="Times New Roman" w:hAnsi="Arial" w:cs="Arial"/>
          <w:color w:val="000000"/>
          <w:sz w:val="24"/>
          <w:szCs w:val="24"/>
          <w:lang w:eastAsia="en-GB"/>
        </w:rPr>
        <w:t>ebook</w:t>
      </w:r>
      <w:proofErr w:type="spellEnd"/>
      <w:r w:rsidRPr="006B0173">
        <w:rPr>
          <w:rFonts w:ascii="Arial" w:eastAsia="Times New Roman" w:hAnsi="Arial" w:cs="Arial"/>
          <w:color w:val="000000"/>
          <w:sz w:val="24"/>
          <w:szCs w:val="24"/>
          <w:lang w:eastAsia="en-GB"/>
        </w:rPr>
        <w:t xml:space="preserve">] National Association for Youth Justice. Available at: </w:t>
      </w:r>
      <w:hyperlink r:id="rId9" w:history="1">
        <w:r w:rsidRPr="006B0173">
          <w:rPr>
            <w:rFonts w:ascii="Arial" w:eastAsia="Times New Roman" w:hAnsi="Arial" w:cs="Arial"/>
            <w:color w:val="1155CC"/>
            <w:sz w:val="24"/>
            <w:szCs w:val="24"/>
            <w:u w:val="single"/>
            <w:lang w:eastAsia="en-GB"/>
          </w:rPr>
          <w:t>https://thenayj.org.uk/wp-content/uploads/2015/06/2012-The-Age-of-Criminal-responsibility.pdf</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2BE5E50D" w14:textId="3D14A8E1" w:rsidR="00D50115" w:rsidRPr="006B0173" w:rsidRDefault="00D50115" w:rsidP="006B0173">
      <w:pPr>
        <w:numPr>
          <w:ilvl w:val="0"/>
          <w:numId w:val="3"/>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Bateman, T. (2013). </w:t>
      </w:r>
      <w:r w:rsidRPr="006B0173">
        <w:rPr>
          <w:rFonts w:ascii="Arial" w:eastAsia="Times New Roman" w:hAnsi="Arial" w:cs="Arial"/>
          <w:i/>
          <w:iCs/>
          <w:color w:val="000000"/>
          <w:sz w:val="24"/>
          <w:szCs w:val="24"/>
          <w:lang w:eastAsia="en-GB"/>
        </w:rPr>
        <w:t>Keeping Up (Tough) Appearances: The Age of Criminal Responsibility</w:t>
      </w:r>
      <w:r w:rsidRPr="006B0173">
        <w:rPr>
          <w:rFonts w:ascii="Arial" w:eastAsia="Times New Roman" w:hAnsi="Arial" w:cs="Arial"/>
          <w:color w:val="000000"/>
          <w:sz w:val="24"/>
          <w:szCs w:val="24"/>
          <w:lang w:eastAsia="en-GB"/>
        </w:rPr>
        <w:t xml:space="preserve">. Criminal Justice Matters, [online] (102). Available at: </w:t>
      </w:r>
      <w:hyperlink r:id="rId10" w:history="1">
        <w:r w:rsidRPr="006B0173">
          <w:rPr>
            <w:rFonts w:ascii="Arial" w:eastAsia="Times New Roman" w:hAnsi="Arial" w:cs="Arial"/>
            <w:color w:val="1155CC"/>
            <w:sz w:val="24"/>
            <w:szCs w:val="24"/>
            <w:u w:val="single"/>
            <w:lang w:eastAsia="en-GB"/>
          </w:rPr>
          <w:t>https://www.crimeandjustice.org.uk/publications/cjm/article/keeping-tough-appearances-age-criminal-responsibility</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29D0235D" w14:textId="0BEE0D0E" w:rsidR="00D50115" w:rsidRPr="006B0173" w:rsidRDefault="00D50115" w:rsidP="006B0173">
      <w:pPr>
        <w:numPr>
          <w:ilvl w:val="0"/>
          <w:numId w:val="4"/>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lastRenderedPageBreak/>
        <w:t xml:space="preserve">Brown, A. and Charles, A. (2019). </w:t>
      </w:r>
      <w:r w:rsidRPr="006B0173">
        <w:rPr>
          <w:rFonts w:ascii="Arial" w:eastAsia="Times New Roman" w:hAnsi="Arial" w:cs="Arial"/>
          <w:i/>
          <w:iCs/>
          <w:color w:val="000000"/>
          <w:sz w:val="24"/>
          <w:szCs w:val="24"/>
          <w:lang w:eastAsia="en-GB"/>
        </w:rPr>
        <w:t>The Minimum Age of Criminal Responsibility: The Need for an Holistic Approach</w:t>
      </w:r>
      <w:r w:rsidRPr="006B0173">
        <w:rPr>
          <w:rFonts w:ascii="Arial" w:eastAsia="Times New Roman" w:hAnsi="Arial" w:cs="Arial"/>
          <w:color w:val="000000"/>
          <w:sz w:val="24"/>
          <w:szCs w:val="24"/>
          <w:lang w:eastAsia="en-GB"/>
        </w:rPr>
        <w:t xml:space="preserve">. Youth Justice, [online] 21(3). Available at: </w:t>
      </w:r>
      <w:hyperlink r:id="rId11" w:history="1">
        <w:r w:rsidRPr="006B0173">
          <w:rPr>
            <w:rFonts w:ascii="Arial" w:eastAsia="Times New Roman" w:hAnsi="Arial" w:cs="Arial"/>
            <w:color w:val="1155CC"/>
            <w:sz w:val="24"/>
            <w:szCs w:val="24"/>
            <w:u w:val="single"/>
            <w:lang w:eastAsia="en-GB"/>
          </w:rPr>
          <w:t>https://cronfa.swan.ac.uk/Record/cronfa52705/Download/52705__16090__83bcd69ba5a246c8b80ebe26aa8bdf34.pdf</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62380926" w14:textId="0E159276" w:rsidR="003408C7" w:rsidRPr="006B0173" w:rsidRDefault="00D50115" w:rsidP="006B0173">
      <w:pPr>
        <w:numPr>
          <w:ilvl w:val="0"/>
          <w:numId w:val="5"/>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Brownlee, J., Johansson, E., Scholes, L., Walker, S. and Wallace, E. (2019). </w:t>
      </w:r>
      <w:r w:rsidRPr="006B0173">
        <w:rPr>
          <w:rFonts w:ascii="Arial" w:eastAsia="Times New Roman" w:hAnsi="Arial" w:cs="Arial"/>
          <w:i/>
          <w:iCs/>
          <w:color w:val="000000"/>
          <w:sz w:val="24"/>
          <w:szCs w:val="24"/>
          <w:lang w:eastAsia="en-GB"/>
        </w:rPr>
        <w:t>Doing the Right Thing in the Early Years of Primary School: A Longitudinal Study of Children's Reasoning About Right and Wrong</w:t>
      </w:r>
      <w:r w:rsidRPr="006B0173">
        <w:rPr>
          <w:rFonts w:ascii="Arial" w:eastAsia="Times New Roman" w:hAnsi="Arial" w:cs="Arial"/>
          <w:color w:val="000000"/>
          <w:sz w:val="24"/>
          <w:szCs w:val="24"/>
          <w:lang w:eastAsia="en-GB"/>
        </w:rPr>
        <w:t xml:space="preserve">. Australian Educational Researcher, [online] (46). Available at: </w:t>
      </w:r>
      <w:hyperlink r:id="rId12" w:history="1">
        <w:r w:rsidRPr="006B0173">
          <w:rPr>
            <w:rFonts w:ascii="Arial" w:eastAsia="Times New Roman" w:hAnsi="Arial" w:cs="Arial"/>
            <w:color w:val="1155CC"/>
            <w:sz w:val="24"/>
            <w:szCs w:val="24"/>
            <w:u w:val="single"/>
            <w:lang w:eastAsia="en-GB"/>
          </w:rPr>
          <w:t>https://link.springer.com/article/10.1007/s13384-019-00306-6</w:t>
        </w:r>
      </w:hyperlink>
      <w:r w:rsidRPr="006B0173">
        <w:rPr>
          <w:rFonts w:ascii="Arial" w:eastAsia="Times New Roman" w:hAnsi="Arial" w:cs="Arial"/>
          <w:color w:val="000000"/>
          <w:sz w:val="24"/>
          <w:szCs w:val="24"/>
          <w:lang w:eastAsia="en-GB"/>
        </w:rPr>
        <w:t xml:space="preserve"> [Accessed 18 October 2021].</w:t>
      </w:r>
    </w:p>
    <w:p w14:paraId="6CA07CD3" w14:textId="77777777" w:rsidR="003408C7" w:rsidRPr="006B0173" w:rsidRDefault="003408C7" w:rsidP="006B0173">
      <w:pPr>
        <w:spacing w:after="0" w:line="480" w:lineRule="auto"/>
        <w:textAlignment w:val="baseline"/>
        <w:rPr>
          <w:rFonts w:ascii="Arial" w:eastAsia="Times New Roman" w:hAnsi="Arial" w:cs="Arial"/>
          <w:color w:val="000000"/>
          <w:sz w:val="24"/>
          <w:szCs w:val="24"/>
          <w:lang w:eastAsia="en-GB"/>
        </w:rPr>
      </w:pPr>
    </w:p>
    <w:p w14:paraId="060FCD4C" w14:textId="7982B142" w:rsidR="00D50115" w:rsidRPr="006B0173" w:rsidRDefault="003408C7" w:rsidP="006B0173">
      <w:pPr>
        <w:numPr>
          <w:ilvl w:val="0"/>
          <w:numId w:val="5"/>
        </w:numPr>
        <w:spacing w:after="0" w:line="480" w:lineRule="auto"/>
        <w:textAlignment w:val="baseline"/>
        <w:rPr>
          <w:rFonts w:ascii="Arial" w:eastAsia="Times New Roman" w:hAnsi="Arial" w:cs="Arial"/>
          <w:color w:val="000000"/>
          <w:sz w:val="24"/>
          <w:szCs w:val="24"/>
          <w:lang w:eastAsia="en-GB"/>
        </w:rPr>
      </w:pPr>
      <w:r w:rsidRPr="006B0173">
        <w:rPr>
          <w:rFonts w:ascii="Arial" w:hAnsi="Arial" w:cs="Arial"/>
          <w:color w:val="000000"/>
          <w:sz w:val="24"/>
          <w:szCs w:val="24"/>
        </w:rPr>
        <w:t xml:space="preserve">Butler, R. (2021). </w:t>
      </w:r>
      <w:r w:rsidRPr="006B0173">
        <w:rPr>
          <w:rFonts w:ascii="Arial" w:hAnsi="Arial" w:cs="Arial"/>
          <w:i/>
          <w:iCs/>
          <w:color w:val="000000"/>
          <w:sz w:val="24"/>
          <w:szCs w:val="24"/>
        </w:rPr>
        <w:t>Youth Courts Offer Best Way to Serve Young Offenders’ Needs</w:t>
      </w:r>
      <w:r w:rsidRPr="006B0173">
        <w:rPr>
          <w:rFonts w:ascii="Arial" w:hAnsi="Arial" w:cs="Arial"/>
          <w:color w:val="000000"/>
          <w:sz w:val="24"/>
          <w:szCs w:val="24"/>
        </w:rPr>
        <w:t xml:space="preserve">. [online] Children &amp; Young People Now. Available at: </w:t>
      </w:r>
      <w:hyperlink r:id="rId13" w:history="1">
        <w:r w:rsidRPr="006B0173">
          <w:rPr>
            <w:rFonts w:ascii="Arial" w:hAnsi="Arial" w:cs="Arial"/>
            <w:color w:val="1155CC"/>
            <w:sz w:val="24"/>
            <w:szCs w:val="24"/>
            <w:u w:val="single"/>
          </w:rPr>
          <w:t>https://www.cypnow.co.uk/opinion/article/youth-courts-offer-best-way-to-serve-young-offenders-needs</w:t>
        </w:r>
      </w:hyperlink>
      <w:r w:rsidRPr="006B0173">
        <w:rPr>
          <w:rFonts w:ascii="Arial" w:hAnsi="Arial" w:cs="Arial"/>
          <w:color w:val="000000"/>
          <w:sz w:val="24"/>
          <w:szCs w:val="24"/>
        </w:rPr>
        <w:t xml:space="preserve"> [Accessed 29 October 2021].</w:t>
      </w:r>
      <w:r w:rsidR="00D50115" w:rsidRPr="006B0173">
        <w:rPr>
          <w:rFonts w:ascii="Arial" w:eastAsia="Times New Roman" w:hAnsi="Arial" w:cs="Arial"/>
          <w:sz w:val="24"/>
          <w:szCs w:val="24"/>
          <w:lang w:eastAsia="en-GB"/>
        </w:rPr>
        <w:br/>
      </w:r>
    </w:p>
    <w:p w14:paraId="64E49A35" w14:textId="2EAEFBF9" w:rsidR="00D50115" w:rsidRPr="006B0173" w:rsidRDefault="00D50115" w:rsidP="006B0173">
      <w:pPr>
        <w:numPr>
          <w:ilvl w:val="0"/>
          <w:numId w:val="6"/>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Case, S. and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S. (2016). </w:t>
      </w:r>
      <w:r w:rsidRPr="006B0173">
        <w:rPr>
          <w:rFonts w:ascii="Arial" w:eastAsia="Times New Roman" w:hAnsi="Arial" w:cs="Arial"/>
          <w:i/>
          <w:iCs/>
          <w:color w:val="000000"/>
          <w:sz w:val="24"/>
          <w:szCs w:val="24"/>
          <w:lang w:eastAsia="en-GB"/>
        </w:rPr>
        <w:t>Spalding Murders Must Not be Used to Justify More Punitive Responses to Young Offenders</w:t>
      </w:r>
      <w:r w:rsidRPr="006B0173">
        <w:rPr>
          <w:rFonts w:ascii="Arial" w:eastAsia="Times New Roman" w:hAnsi="Arial" w:cs="Arial"/>
          <w:color w:val="000000"/>
          <w:sz w:val="24"/>
          <w:szCs w:val="24"/>
          <w:lang w:eastAsia="en-GB"/>
        </w:rPr>
        <w:t xml:space="preserve">. [online] The Conversation. Available at: </w:t>
      </w:r>
      <w:hyperlink r:id="rId14" w:history="1">
        <w:r w:rsidRPr="006B0173">
          <w:rPr>
            <w:rFonts w:ascii="Arial" w:eastAsia="Times New Roman" w:hAnsi="Arial" w:cs="Arial"/>
            <w:color w:val="1155CC"/>
            <w:sz w:val="24"/>
            <w:szCs w:val="24"/>
            <w:u w:val="single"/>
            <w:lang w:eastAsia="en-GB"/>
          </w:rPr>
          <w:t>https://theconversation.com/spalding-murders-must-not-be-used-to-justify-more-punitive-responses-to-young-offenders-67681</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6D47D85C" w14:textId="174BFFA8" w:rsidR="00D50115" w:rsidRPr="006B0173" w:rsidRDefault="00D50115" w:rsidP="006B0173">
      <w:pPr>
        <w:numPr>
          <w:ilvl w:val="0"/>
          <w:numId w:val="7"/>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lastRenderedPageBreak/>
        <w:t xml:space="preserve">Case, S., </w:t>
      </w:r>
      <w:proofErr w:type="spellStart"/>
      <w:r w:rsidRPr="006B0173">
        <w:rPr>
          <w:rFonts w:ascii="Arial" w:eastAsia="Times New Roman" w:hAnsi="Arial" w:cs="Arial"/>
          <w:color w:val="000000"/>
          <w:sz w:val="24"/>
          <w:szCs w:val="24"/>
          <w:lang w:eastAsia="en-GB"/>
        </w:rPr>
        <w:t>Creaney</w:t>
      </w:r>
      <w:proofErr w:type="spellEnd"/>
      <w:r w:rsidRPr="006B0173">
        <w:rPr>
          <w:rFonts w:ascii="Arial" w:eastAsia="Times New Roman" w:hAnsi="Arial" w:cs="Arial"/>
          <w:color w:val="000000"/>
          <w:sz w:val="24"/>
          <w:szCs w:val="24"/>
          <w:lang w:eastAsia="en-GB"/>
        </w:rPr>
        <w:t xml:space="preserve">, S. and Smith, R. (2018). </w:t>
      </w:r>
      <w:r w:rsidRPr="006B0173">
        <w:rPr>
          <w:rFonts w:ascii="Arial" w:eastAsia="Times New Roman" w:hAnsi="Arial" w:cs="Arial"/>
          <w:i/>
          <w:iCs/>
          <w:color w:val="000000"/>
          <w:sz w:val="24"/>
          <w:szCs w:val="24"/>
          <w:lang w:eastAsia="en-GB"/>
        </w:rPr>
        <w:t>The James Bulger Case should not set the Age of Criminal Responsibility</w:t>
      </w:r>
      <w:r w:rsidRPr="006B0173">
        <w:rPr>
          <w:rFonts w:ascii="Arial" w:eastAsia="Times New Roman" w:hAnsi="Arial" w:cs="Arial"/>
          <w:color w:val="000000"/>
          <w:sz w:val="24"/>
          <w:szCs w:val="24"/>
          <w:lang w:eastAsia="en-GB"/>
        </w:rPr>
        <w:t xml:space="preserve">. [online] The Conversation. Available at: </w:t>
      </w:r>
      <w:hyperlink r:id="rId15" w:history="1">
        <w:r w:rsidRPr="006B0173">
          <w:rPr>
            <w:rFonts w:ascii="Arial" w:eastAsia="Times New Roman" w:hAnsi="Arial" w:cs="Arial"/>
            <w:color w:val="1155CC"/>
            <w:sz w:val="24"/>
            <w:szCs w:val="24"/>
            <w:u w:val="single"/>
            <w:lang w:eastAsia="en-GB"/>
          </w:rPr>
          <w:t>https://theconversation.com/the-james-bulger-case-should-not-set-the-age-of-criminal-responsibility-91342</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6AED2798" w14:textId="71F01D2E" w:rsidR="00D50115" w:rsidRPr="006B0173" w:rsidRDefault="00D50115" w:rsidP="006B0173">
      <w:pPr>
        <w:numPr>
          <w:ilvl w:val="0"/>
          <w:numId w:val="8"/>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Chaudhury, S., Prakash, O., </w:t>
      </w:r>
      <w:proofErr w:type="spellStart"/>
      <w:r w:rsidRPr="006B0173">
        <w:rPr>
          <w:rFonts w:ascii="Arial" w:eastAsia="Times New Roman" w:hAnsi="Arial" w:cs="Arial"/>
          <w:color w:val="000000"/>
          <w:sz w:val="24"/>
          <w:szCs w:val="24"/>
          <w:lang w:eastAsia="en-GB"/>
        </w:rPr>
        <w:t>Sengar</w:t>
      </w:r>
      <w:proofErr w:type="spellEnd"/>
      <w:r w:rsidRPr="006B0173">
        <w:rPr>
          <w:rFonts w:ascii="Arial" w:eastAsia="Times New Roman" w:hAnsi="Arial" w:cs="Arial"/>
          <w:color w:val="000000"/>
          <w:sz w:val="24"/>
          <w:szCs w:val="24"/>
          <w:lang w:eastAsia="en-GB"/>
        </w:rPr>
        <w:t xml:space="preserve">, K., Singh, A. and Sharma, N. (2015). </w:t>
      </w:r>
      <w:r w:rsidRPr="006B0173">
        <w:rPr>
          <w:rFonts w:ascii="Arial" w:eastAsia="Times New Roman" w:hAnsi="Arial" w:cs="Arial"/>
          <w:i/>
          <w:iCs/>
          <w:color w:val="000000"/>
          <w:sz w:val="24"/>
          <w:szCs w:val="24"/>
          <w:lang w:eastAsia="en-GB"/>
        </w:rPr>
        <w:t>The Relation Between Emotional Intelligence and Criminal Behaviour: A Study Among Convicted Criminals</w:t>
      </w:r>
      <w:r w:rsidRPr="006B0173">
        <w:rPr>
          <w:rFonts w:ascii="Arial" w:eastAsia="Times New Roman" w:hAnsi="Arial" w:cs="Arial"/>
          <w:color w:val="000000"/>
          <w:sz w:val="24"/>
          <w:szCs w:val="24"/>
          <w:lang w:eastAsia="en-GB"/>
        </w:rPr>
        <w:t xml:space="preserve">. Independent Psychiatry Journal, [online] 24(1). Available at: </w:t>
      </w:r>
      <w:hyperlink r:id="rId16" w:history="1">
        <w:r w:rsidRPr="006B0173">
          <w:rPr>
            <w:rFonts w:ascii="Arial" w:eastAsia="Times New Roman" w:hAnsi="Arial" w:cs="Arial"/>
            <w:color w:val="1155CC"/>
            <w:sz w:val="24"/>
            <w:szCs w:val="24"/>
            <w:u w:val="single"/>
            <w:lang w:eastAsia="en-GB"/>
          </w:rPr>
          <w:t>https://www.ncbi.nlm.nih.gov/pmc/articles/PMC4525433/#</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2714EB3B" w14:textId="77777777" w:rsidR="00D50115" w:rsidRPr="006B0173" w:rsidRDefault="00D50115" w:rsidP="006B0173">
      <w:pPr>
        <w:numPr>
          <w:ilvl w:val="0"/>
          <w:numId w:val="9"/>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Children and Young Persons Act 1963. Available at: </w:t>
      </w:r>
      <w:hyperlink r:id="rId17" w:history="1">
        <w:r w:rsidRPr="006B0173">
          <w:rPr>
            <w:rFonts w:ascii="Arial" w:eastAsia="Times New Roman" w:hAnsi="Arial" w:cs="Arial"/>
            <w:color w:val="1155CC"/>
            <w:sz w:val="24"/>
            <w:szCs w:val="24"/>
            <w:u w:val="single"/>
            <w:lang w:eastAsia="en-GB"/>
          </w:rPr>
          <w:t>https://www.legislation.gov.uk/ukpga/1963/37/contents</w:t>
        </w:r>
      </w:hyperlink>
      <w:r w:rsidRPr="006B0173">
        <w:rPr>
          <w:rFonts w:ascii="Arial" w:eastAsia="Times New Roman" w:hAnsi="Arial" w:cs="Arial"/>
          <w:color w:val="000000"/>
          <w:sz w:val="24"/>
          <w:szCs w:val="24"/>
          <w:lang w:eastAsia="en-GB"/>
        </w:rPr>
        <w:t xml:space="preserve"> [Accessed 18 October 2021].</w:t>
      </w:r>
    </w:p>
    <w:p w14:paraId="6890F765" w14:textId="239C648D" w:rsidR="00D50115" w:rsidRPr="006B0173" w:rsidRDefault="00D50115" w:rsidP="006B0173">
      <w:pPr>
        <w:spacing w:after="0" w:line="480" w:lineRule="auto"/>
        <w:rPr>
          <w:rFonts w:ascii="Arial" w:eastAsia="Times New Roman" w:hAnsi="Arial" w:cs="Arial"/>
          <w:sz w:val="24"/>
          <w:szCs w:val="24"/>
          <w:lang w:eastAsia="en-GB"/>
        </w:rPr>
      </w:pPr>
    </w:p>
    <w:p w14:paraId="07A6AE23" w14:textId="49A4969A" w:rsidR="00D50115" w:rsidRPr="006B0173" w:rsidRDefault="00D50115" w:rsidP="006B0173">
      <w:pPr>
        <w:numPr>
          <w:ilvl w:val="0"/>
          <w:numId w:val="10"/>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Children and Young Persons Act 1969. Available at: </w:t>
      </w:r>
      <w:hyperlink r:id="rId18" w:history="1">
        <w:r w:rsidRPr="006B0173">
          <w:rPr>
            <w:rFonts w:ascii="Arial" w:eastAsia="Times New Roman" w:hAnsi="Arial" w:cs="Arial"/>
            <w:color w:val="1155CC"/>
            <w:sz w:val="24"/>
            <w:szCs w:val="24"/>
            <w:u w:val="single"/>
            <w:lang w:eastAsia="en-GB"/>
          </w:rPr>
          <w:t>https://www.legislation.gov.uk/ukpga/1969/54/contents</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7F777356" w14:textId="74B7C82E" w:rsidR="00D50115" w:rsidRPr="006B0173" w:rsidRDefault="00D50115" w:rsidP="006B0173">
      <w:pPr>
        <w:numPr>
          <w:ilvl w:val="0"/>
          <w:numId w:val="11"/>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CJA. (2017). </w:t>
      </w:r>
      <w:r w:rsidRPr="006B0173">
        <w:rPr>
          <w:rFonts w:ascii="Arial" w:eastAsia="Times New Roman" w:hAnsi="Arial" w:cs="Arial"/>
          <w:i/>
          <w:iCs/>
          <w:color w:val="000000"/>
          <w:sz w:val="24"/>
          <w:szCs w:val="24"/>
          <w:lang w:eastAsia="en-GB"/>
        </w:rPr>
        <w:t>Parliamentary Briefing: Age of Criminal Responsibility Bill</w:t>
      </w:r>
      <w:r w:rsidRPr="006B0173">
        <w:rPr>
          <w:rFonts w:ascii="Arial" w:eastAsia="Times New Roman" w:hAnsi="Arial" w:cs="Arial"/>
          <w:color w:val="000000"/>
          <w:sz w:val="24"/>
          <w:szCs w:val="24"/>
          <w:lang w:eastAsia="en-GB"/>
        </w:rPr>
        <w:t>. [</w:t>
      </w:r>
      <w:proofErr w:type="spellStart"/>
      <w:r w:rsidRPr="006B0173">
        <w:rPr>
          <w:rFonts w:ascii="Arial" w:eastAsia="Times New Roman" w:hAnsi="Arial" w:cs="Arial"/>
          <w:color w:val="000000"/>
          <w:sz w:val="24"/>
          <w:szCs w:val="24"/>
          <w:lang w:eastAsia="en-GB"/>
        </w:rPr>
        <w:t>ebook</w:t>
      </w:r>
      <w:proofErr w:type="spellEnd"/>
      <w:r w:rsidRPr="006B0173">
        <w:rPr>
          <w:rFonts w:ascii="Arial" w:eastAsia="Times New Roman" w:hAnsi="Arial" w:cs="Arial"/>
          <w:color w:val="000000"/>
          <w:sz w:val="24"/>
          <w:szCs w:val="24"/>
          <w:lang w:eastAsia="en-GB"/>
        </w:rPr>
        <w:t xml:space="preserve">] London: CJA - Criminal Justice Alliance. Available at: </w:t>
      </w:r>
      <w:hyperlink r:id="rId19" w:history="1">
        <w:r w:rsidRPr="006B0173">
          <w:rPr>
            <w:rFonts w:ascii="Arial" w:eastAsia="Times New Roman" w:hAnsi="Arial" w:cs="Arial"/>
            <w:color w:val="1155CC"/>
            <w:sz w:val="24"/>
            <w:szCs w:val="24"/>
            <w:u w:val="single"/>
            <w:lang w:eastAsia="en-GB"/>
          </w:rPr>
          <w:t>https://criminaljusticealliance.org/wp-content/uploads/Age-of-Criminal-Responsibility-Bill-Lords-Second-Reading-080917.pdf</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5CAB4BF3" w14:textId="6619ED7C" w:rsidR="00D50115" w:rsidRPr="006B0173" w:rsidRDefault="00D50115" w:rsidP="006B0173">
      <w:pPr>
        <w:numPr>
          <w:ilvl w:val="0"/>
          <w:numId w:val="12"/>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lastRenderedPageBreak/>
        <w:t xml:space="preserve">CPS. (2017). </w:t>
      </w:r>
      <w:r w:rsidRPr="006B0173">
        <w:rPr>
          <w:rFonts w:ascii="Arial" w:eastAsia="Times New Roman" w:hAnsi="Arial" w:cs="Arial"/>
          <w:i/>
          <w:iCs/>
          <w:color w:val="000000"/>
          <w:sz w:val="24"/>
          <w:szCs w:val="24"/>
          <w:lang w:eastAsia="en-GB"/>
        </w:rPr>
        <w:t>Youth Crime</w:t>
      </w:r>
      <w:r w:rsidRPr="006B0173">
        <w:rPr>
          <w:rFonts w:ascii="Arial" w:eastAsia="Times New Roman" w:hAnsi="Arial" w:cs="Arial"/>
          <w:color w:val="000000"/>
          <w:sz w:val="24"/>
          <w:szCs w:val="24"/>
          <w:lang w:eastAsia="en-GB"/>
        </w:rPr>
        <w:t xml:space="preserve">. [online] CPS - Crown Prosecution Service. Available at: </w:t>
      </w:r>
      <w:hyperlink r:id="rId20" w:history="1">
        <w:r w:rsidRPr="006B0173">
          <w:rPr>
            <w:rFonts w:ascii="Arial" w:eastAsia="Times New Roman" w:hAnsi="Arial" w:cs="Arial"/>
            <w:color w:val="1155CC"/>
            <w:sz w:val="24"/>
            <w:szCs w:val="24"/>
            <w:u w:val="single"/>
            <w:lang w:eastAsia="en-GB"/>
          </w:rPr>
          <w:t>https://www.cps.gov.uk/crime-info/youth-crime</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7D69DF59" w14:textId="00DC3805" w:rsidR="00D50115" w:rsidRPr="006B0173" w:rsidRDefault="00D50115" w:rsidP="006B0173">
      <w:pPr>
        <w:numPr>
          <w:ilvl w:val="0"/>
          <w:numId w:val="13"/>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Crime and Disorder Act 1998. Available at: </w:t>
      </w:r>
      <w:hyperlink r:id="rId21" w:history="1">
        <w:r w:rsidRPr="006B0173">
          <w:rPr>
            <w:rFonts w:ascii="Arial" w:eastAsia="Times New Roman" w:hAnsi="Arial" w:cs="Arial"/>
            <w:color w:val="1155CC"/>
            <w:sz w:val="24"/>
            <w:szCs w:val="24"/>
            <w:u w:val="single"/>
            <w:lang w:eastAsia="en-GB"/>
          </w:rPr>
          <w:t>https://www.legislation.gov.uk/ukpga/1998/37/contents</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5CCFAA3F" w14:textId="744353DA" w:rsidR="00D50115" w:rsidRPr="006B0173" w:rsidRDefault="00D50115" w:rsidP="006B0173">
      <w:pPr>
        <w:numPr>
          <w:ilvl w:val="0"/>
          <w:numId w:val="14"/>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CRIN. (2019). </w:t>
      </w:r>
      <w:r w:rsidRPr="006B0173">
        <w:rPr>
          <w:rFonts w:ascii="Arial" w:eastAsia="Times New Roman" w:hAnsi="Arial" w:cs="Arial"/>
          <w:i/>
          <w:iCs/>
          <w:color w:val="000000"/>
          <w:sz w:val="24"/>
          <w:szCs w:val="24"/>
          <w:lang w:eastAsia="en-GB"/>
        </w:rPr>
        <w:t>Minimum Ages of Criminal Responsibility in Europe</w:t>
      </w:r>
      <w:r w:rsidRPr="006B0173">
        <w:rPr>
          <w:rFonts w:ascii="Arial" w:eastAsia="Times New Roman" w:hAnsi="Arial" w:cs="Arial"/>
          <w:color w:val="000000"/>
          <w:sz w:val="24"/>
          <w:szCs w:val="24"/>
          <w:lang w:eastAsia="en-GB"/>
        </w:rPr>
        <w:t xml:space="preserve">. [online] CRIN - Child Rights International Network. Available at: </w:t>
      </w:r>
      <w:hyperlink r:id="rId22" w:history="1">
        <w:r w:rsidRPr="006B0173">
          <w:rPr>
            <w:rFonts w:ascii="Arial" w:eastAsia="Times New Roman" w:hAnsi="Arial" w:cs="Arial"/>
            <w:color w:val="1155CC"/>
            <w:sz w:val="24"/>
            <w:szCs w:val="24"/>
            <w:u w:val="single"/>
            <w:lang w:eastAsia="en-GB"/>
          </w:rPr>
          <w:t>https://archive.crin.org/en/home/ages/europe.html</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4747A7AE" w14:textId="31AF2C5B" w:rsidR="00D50115" w:rsidRPr="006B0173" w:rsidRDefault="00D50115" w:rsidP="006B0173">
      <w:pPr>
        <w:numPr>
          <w:ilvl w:val="0"/>
          <w:numId w:val="15"/>
        </w:numPr>
        <w:spacing w:after="0" w:line="480" w:lineRule="auto"/>
        <w:textAlignment w:val="baseline"/>
        <w:rPr>
          <w:rFonts w:ascii="Arial" w:eastAsia="Times New Roman" w:hAnsi="Arial" w:cs="Arial"/>
          <w:color w:val="000000"/>
          <w:sz w:val="24"/>
          <w:szCs w:val="24"/>
          <w:lang w:eastAsia="en-GB"/>
        </w:rPr>
      </w:pPr>
      <w:proofErr w:type="spellStart"/>
      <w:r w:rsidRPr="006B0173">
        <w:rPr>
          <w:rFonts w:ascii="Arial" w:eastAsia="Times New Roman" w:hAnsi="Arial" w:cs="Arial"/>
          <w:color w:val="000000"/>
          <w:sz w:val="24"/>
          <w:szCs w:val="24"/>
          <w:lang w:eastAsia="en-GB"/>
        </w:rPr>
        <w:t>Delmage</w:t>
      </w:r>
      <w:proofErr w:type="spellEnd"/>
      <w:r w:rsidRPr="006B0173">
        <w:rPr>
          <w:rFonts w:ascii="Arial" w:eastAsia="Times New Roman" w:hAnsi="Arial" w:cs="Arial"/>
          <w:color w:val="000000"/>
          <w:sz w:val="24"/>
          <w:szCs w:val="24"/>
          <w:lang w:eastAsia="en-GB"/>
        </w:rPr>
        <w:t xml:space="preserve">, E. (2013). </w:t>
      </w:r>
      <w:r w:rsidRPr="006B0173">
        <w:rPr>
          <w:rFonts w:ascii="Arial" w:eastAsia="Times New Roman" w:hAnsi="Arial" w:cs="Arial"/>
          <w:i/>
          <w:iCs/>
          <w:color w:val="000000"/>
          <w:sz w:val="24"/>
          <w:szCs w:val="24"/>
          <w:lang w:eastAsia="en-GB"/>
        </w:rPr>
        <w:t>The Minimum Age of Criminal Responsibility: A Medico-Legal Perspective</w:t>
      </w:r>
      <w:r w:rsidRPr="006B0173">
        <w:rPr>
          <w:rFonts w:ascii="Arial" w:eastAsia="Times New Roman" w:hAnsi="Arial" w:cs="Arial"/>
          <w:color w:val="000000"/>
          <w:sz w:val="24"/>
          <w:szCs w:val="24"/>
          <w:lang w:eastAsia="en-GB"/>
        </w:rPr>
        <w:t xml:space="preserve">. Youth Justice, [online] 13(2). Available at: </w:t>
      </w:r>
      <w:hyperlink r:id="rId23" w:history="1">
        <w:r w:rsidRPr="006B0173">
          <w:rPr>
            <w:rFonts w:ascii="Arial" w:eastAsia="Times New Roman" w:hAnsi="Arial" w:cs="Arial"/>
            <w:color w:val="1155CC"/>
            <w:sz w:val="24"/>
            <w:szCs w:val="24"/>
            <w:u w:val="single"/>
            <w:lang w:eastAsia="en-GB"/>
          </w:rPr>
          <w:t>https://www.researchgate.net/publication/258200827_The_Minimum_Age_of_Criminal_Responsibility_A_Medico-Legal_Perspective</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380D43F4" w14:textId="079012B1" w:rsidR="00D50115" w:rsidRPr="006B0173" w:rsidRDefault="00D50115" w:rsidP="006B0173">
      <w:pPr>
        <w:numPr>
          <w:ilvl w:val="0"/>
          <w:numId w:val="16"/>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Department for Education. (2017). </w:t>
      </w:r>
      <w:r w:rsidRPr="006B0173">
        <w:rPr>
          <w:rFonts w:ascii="Arial" w:eastAsia="Times New Roman" w:hAnsi="Arial" w:cs="Arial"/>
          <w:i/>
          <w:iCs/>
          <w:color w:val="000000"/>
          <w:sz w:val="24"/>
          <w:szCs w:val="24"/>
          <w:lang w:eastAsia="en-GB"/>
        </w:rPr>
        <w:t>Education and Training Statistics for the United Kingdom: 2017</w:t>
      </w:r>
      <w:r w:rsidRPr="006B0173">
        <w:rPr>
          <w:rFonts w:ascii="Arial" w:eastAsia="Times New Roman" w:hAnsi="Arial" w:cs="Arial"/>
          <w:color w:val="000000"/>
          <w:sz w:val="24"/>
          <w:szCs w:val="24"/>
          <w:lang w:eastAsia="en-GB"/>
        </w:rPr>
        <w:t>. [</w:t>
      </w:r>
      <w:proofErr w:type="spellStart"/>
      <w:r w:rsidRPr="006B0173">
        <w:rPr>
          <w:rFonts w:ascii="Arial" w:eastAsia="Times New Roman" w:hAnsi="Arial" w:cs="Arial"/>
          <w:color w:val="000000"/>
          <w:sz w:val="24"/>
          <w:szCs w:val="24"/>
          <w:lang w:eastAsia="en-GB"/>
        </w:rPr>
        <w:t>ebook</w:t>
      </w:r>
      <w:proofErr w:type="spellEnd"/>
      <w:r w:rsidRPr="006B0173">
        <w:rPr>
          <w:rFonts w:ascii="Arial" w:eastAsia="Times New Roman" w:hAnsi="Arial" w:cs="Arial"/>
          <w:color w:val="000000"/>
          <w:sz w:val="24"/>
          <w:szCs w:val="24"/>
          <w:lang w:eastAsia="en-GB"/>
        </w:rPr>
        <w:t xml:space="preserve">] London: Department for Education. Available at: </w:t>
      </w:r>
      <w:hyperlink r:id="rId24" w:history="1">
        <w:r w:rsidRPr="006B0173">
          <w:rPr>
            <w:rFonts w:ascii="Arial" w:eastAsia="Times New Roman" w:hAnsi="Arial" w:cs="Arial"/>
            <w:color w:val="1155CC"/>
            <w:sz w:val="24"/>
            <w:szCs w:val="24"/>
            <w:u w:val="single"/>
            <w:lang w:eastAsia="en-GB"/>
          </w:rPr>
          <w:t>https://assets.publishing.service.gov.uk/government/uploads/system/uploads/attachment_data/file/657822/SFR64_2017_Additional_Text.pdf</w:t>
        </w:r>
      </w:hyperlink>
      <w:r w:rsidRPr="006B0173">
        <w:rPr>
          <w:rFonts w:ascii="Arial" w:eastAsia="Times New Roman" w:hAnsi="Arial" w:cs="Arial"/>
          <w:color w:val="000000"/>
          <w:sz w:val="24"/>
          <w:szCs w:val="24"/>
          <w:lang w:eastAsia="en-GB"/>
        </w:rPr>
        <w:t xml:space="preserve"> [Accessed 18 </w:t>
      </w:r>
      <w:r w:rsidRPr="006B0173">
        <w:rPr>
          <w:rFonts w:ascii="Arial" w:eastAsia="Times New Roman" w:hAnsi="Arial" w:cs="Arial"/>
          <w:color w:val="000000"/>
          <w:sz w:val="24"/>
          <w:szCs w:val="24"/>
          <w:lang w:eastAsia="en-GB"/>
        </w:rPr>
        <w:lastRenderedPageBreak/>
        <w:t>October 2021].</w:t>
      </w:r>
      <w:r w:rsidRPr="006B0173">
        <w:rPr>
          <w:rFonts w:ascii="Arial" w:eastAsia="Times New Roman" w:hAnsi="Arial" w:cs="Arial"/>
          <w:sz w:val="24"/>
          <w:szCs w:val="24"/>
          <w:lang w:eastAsia="en-GB"/>
        </w:rPr>
        <w:br/>
      </w:r>
    </w:p>
    <w:p w14:paraId="19E0922E" w14:textId="58B32CD0" w:rsidR="00D50115" w:rsidRPr="006B0173" w:rsidRDefault="00D50115" w:rsidP="006B0173">
      <w:pPr>
        <w:numPr>
          <w:ilvl w:val="0"/>
          <w:numId w:val="17"/>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Dwyer, C. and McAlister, S. (2017). </w:t>
      </w:r>
      <w:r w:rsidRPr="006B0173">
        <w:rPr>
          <w:rFonts w:ascii="Arial" w:eastAsia="Times New Roman" w:hAnsi="Arial" w:cs="Arial"/>
          <w:i/>
          <w:iCs/>
          <w:color w:val="000000"/>
          <w:sz w:val="24"/>
          <w:szCs w:val="24"/>
          <w:lang w:eastAsia="en-GB"/>
        </w:rPr>
        <w:t>Raising the Age of Criminal Responsibility: Endless Debate, Limited Progress</w:t>
      </w:r>
      <w:r w:rsidRPr="006B0173">
        <w:rPr>
          <w:rFonts w:ascii="Arial" w:eastAsia="Times New Roman" w:hAnsi="Arial" w:cs="Arial"/>
          <w:color w:val="000000"/>
          <w:sz w:val="24"/>
          <w:szCs w:val="24"/>
          <w:lang w:eastAsia="en-GB"/>
        </w:rPr>
        <w:t>. [</w:t>
      </w:r>
      <w:proofErr w:type="spellStart"/>
      <w:r w:rsidRPr="006B0173">
        <w:rPr>
          <w:rFonts w:ascii="Arial" w:eastAsia="Times New Roman" w:hAnsi="Arial" w:cs="Arial"/>
          <w:color w:val="000000"/>
          <w:sz w:val="24"/>
          <w:szCs w:val="24"/>
          <w:lang w:eastAsia="en-GB"/>
        </w:rPr>
        <w:t>ebook</w:t>
      </w:r>
      <w:proofErr w:type="spellEnd"/>
      <w:r w:rsidRPr="006B0173">
        <w:rPr>
          <w:rFonts w:ascii="Arial" w:eastAsia="Times New Roman" w:hAnsi="Arial" w:cs="Arial"/>
          <w:color w:val="000000"/>
          <w:sz w:val="24"/>
          <w:szCs w:val="24"/>
          <w:lang w:eastAsia="en-GB"/>
        </w:rPr>
        <w:t xml:space="preserve">] Belfast: ARK. Available at: </w:t>
      </w:r>
      <w:hyperlink r:id="rId25" w:history="1">
        <w:r w:rsidRPr="006B0173">
          <w:rPr>
            <w:rFonts w:ascii="Arial" w:eastAsia="Times New Roman" w:hAnsi="Arial" w:cs="Arial"/>
            <w:color w:val="1155CC"/>
            <w:sz w:val="24"/>
            <w:szCs w:val="24"/>
            <w:u w:val="single"/>
            <w:lang w:eastAsia="en-GB"/>
          </w:rPr>
          <w:t>https://pureadmin.qub.ac.uk/ws/portalfiles/portal/163931412/Ark_Feature_MACR.pdf</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66828A3A" w14:textId="5F5EC99D" w:rsidR="00D50115" w:rsidRPr="006B0173" w:rsidRDefault="00D50115" w:rsidP="006B0173">
      <w:pPr>
        <w:numPr>
          <w:ilvl w:val="0"/>
          <w:numId w:val="18"/>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Ellis, T. and </w:t>
      </w:r>
      <w:proofErr w:type="spellStart"/>
      <w:r w:rsidRPr="006B0173">
        <w:rPr>
          <w:rFonts w:ascii="Arial" w:eastAsia="Times New Roman" w:hAnsi="Arial" w:cs="Arial"/>
          <w:color w:val="000000"/>
          <w:sz w:val="24"/>
          <w:szCs w:val="24"/>
          <w:lang w:eastAsia="en-GB"/>
        </w:rPr>
        <w:t>Kyo</w:t>
      </w:r>
      <w:proofErr w:type="spellEnd"/>
      <w:r w:rsidRPr="006B0173">
        <w:rPr>
          <w:rFonts w:ascii="Arial" w:eastAsia="Times New Roman" w:hAnsi="Arial" w:cs="Arial"/>
          <w:color w:val="000000"/>
          <w:sz w:val="24"/>
          <w:szCs w:val="24"/>
          <w:lang w:eastAsia="en-GB"/>
        </w:rPr>
        <w:t xml:space="preserve">, A. (2018). </w:t>
      </w:r>
      <w:r w:rsidRPr="006B0173">
        <w:rPr>
          <w:rFonts w:ascii="Arial" w:eastAsia="Times New Roman" w:hAnsi="Arial" w:cs="Arial"/>
          <w:i/>
          <w:iCs/>
          <w:color w:val="000000"/>
          <w:sz w:val="24"/>
          <w:szCs w:val="24"/>
          <w:lang w:eastAsia="en-GB"/>
        </w:rPr>
        <w:t>Youth Justice in England &amp; Wales: Past, Present &amp; Future</w:t>
      </w:r>
      <w:r w:rsidRPr="006B0173">
        <w:rPr>
          <w:rFonts w:ascii="Arial" w:eastAsia="Times New Roman" w:hAnsi="Arial" w:cs="Arial"/>
          <w:color w:val="000000"/>
          <w:sz w:val="24"/>
          <w:szCs w:val="24"/>
          <w:lang w:eastAsia="en-GB"/>
        </w:rPr>
        <w:t xml:space="preserve">. </w:t>
      </w:r>
      <w:proofErr w:type="spellStart"/>
      <w:r w:rsidRPr="006B0173">
        <w:rPr>
          <w:rFonts w:ascii="Arial" w:eastAsia="Times New Roman" w:hAnsi="Arial" w:cs="Arial"/>
          <w:color w:val="000000"/>
          <w:sz w:val="24"/>
          <w:szCs w:val="24"/>
          <w:lang w:eastAsia="en-GB"/>
        </w:rPr>
        <w:t>Ryukoku</w:t>
      </w:r>
      <w:proofErr w:type="spellEnd"/>
      <w:r w:rsidRPr="006B0173">
        <w:rPr>
          <w:rFonts w:ascii="Arial" w:eastAsia="Times New Roman" w:hAnsi="Arial" w:cs="Arial"/>
          <w:color w:val="000000"/>
          <w:sz w:val="24"/>
          <w:szCs w:val="24"/>
          <w:lang w:eastAsia="en-GB"/>
        </w:rPr>
        <w:t xml:space="preserve"> Corrections and Rehabilitation Centre, [online] (8). Available at: </w:t>
      </w:r>
      <w:hyperlink r:id="rId26" w:history="1">
        <w:r w:rsidRPr="006B0173">
          <w:rPr>
            <w:rFonts w:ascii="Arial" w:eastAsia="Times New Roman" w:hAnsi="Arial" w:cs="Arial"/>
            <w:color w:val="1155CC"/>
            <w:sz w:val="24"/>
            <w:szCs w:val="24"/>
            <w:u w:val="single"/>
            <w:lang w:eastAsia="en-GB"/>
          </w:rPr>
          <w:t>https://pure.port.ac.uk/ws/portalfiles/portal/13541340/Ryukoku_64_92.pdf</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789FA423" w14:textId="329372D6" w:rsidR="00D50115" w:rsidRPr="006B0173" w:rsidRDefault="00D50115" w:rsidP="006B0173">
      <w:pPr>
        <w:numPr>
          <w:ilvl w:val="0"/>
          <w:numId w:val="19"/>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Farrow, K., Hughes, N., Kelly, G., </w:t>
      </w:r>
      <w:proofErr w:type="spellStart"/>
      <w:r w:rsidRPr="006B0173">
        <w:rPr>
          <w:rFonts w:ascii="Arial" w:eastAsia="Times New Roman" w:hAnsi="Arial" w:cs="Arial"/>
          <w:color w:val="000000"/>
          <w:sz w:val="24"/>
          <w:szCs w:val="24"/>
          <w:lang w:eastAsia="en-GB"/>
        </w:rPr>
        <w:t>Manders</w:t>
      </w:r>
      <w:proofErr w:type="spellEnd"/>
      <w:r w:rsidRPr="006B0173">
        <w:rPr>
          <w:rFonts w:ascii="Arial" w:eastAsia="Times New Roman" w:hAnsi="Arial" w:cs="Arial"/>
          <w:color w:val="000000"/>
          <w:sz w:val="24"/>
          <w:szCs w:val="24"/>
          <w:lang w:eastAsia="en-GB"/>
        </w:rPr>
        <w:t xml:space="preserve">, G., White, S. and Wilkinson, B. (2011). </w:t>
      </w:r>
      <w:r w:rsidRPr="006B0173">
        <w:rPr>
          <w:rFonts w:ascii="Arial" w:eastAsia="Times New Roman" w:hAnsi="Arial" w:cs="Arial"/>
          <w:i/>
          <w:iCs/>
          <w:color w:val="000000"/>
          <w:sz w:val="24"/>
          <w:szCs w:val="24"/>
          <w:lang w:eastAsia="en-GB"/>
        </w:rPr>
        <w:t>Maturity, Young Adults and Criminal Justice: A Literature Review</w:t>
      </w:r>
      <w:r w:rsidRPr="006B0173">
        <w:rPr>
          <w:rFonts w:ascii="Arial" w:eastAsia="Times New Roman" w:hAnsi="Arial" w:cs="Arial"/>
          <w:color w:val="000000"/>
          <w:sz w:val="24"/>
          <w:szCs w:val="24"/>
          <w:lang w:eastAsia="en-GB"/>
        </w:rPr>
        <w:t>. [</w:t>
      </w:r>
      <w:proofErr w:type="spellStart"/>
      <w:r w:rsidRPr="006B0173">
        <w:rPr>
          <w:rFonts w:ascii="Arial" w:eastAsia="Times New Roman" w:hAnsi="Arial" w:cs="Arial"/>
          <w:color w:val="000000"/>
          <w:sz w:val="24"/>
          <w:szCs w:val="24"/>
          <w:lang w:eastAsia="en-GB"/>
        </w:rPr>
        <w:t>ebook</w:t>
      </w:r>
      <w:proofErr w:type="spellEnd"/>
      <w:r w:rsidRPr="006B0173">
        <w:rPr>
          <w:rFonts w:ascii="Arial" w:eastAsia="Times New Roman" w:hAnsi="Arial" w:cs="Arial"/>
          <w:color w:val="000000"/>
          <w:sz w:val="24"/>
          <w:szCs w:val="24"/>
          <w:lang w:eastAsia="en-GB"/>
        </w:rPr>
        <w:t xml:space="preserve">] Birmingham: University of Birmingham. Available at: </w:t>
      </w:r>
      <w:hyperlink r:id="rId27" w:history="1">
        <w:r w:rsidRPr="006B0173">
          <w:rPr>
            <w:rFonts w:ascii="Arial" w:eastAsia="Times New Roman" w:hAnsi="Arial" w:cs="Arial"/>
            <w:color w:val="1155CC"/>
            <w:sz w:val="24"/>
            <w:szCs w:val="24"/>
            <w:u w:val="single"/>
            <w:lang w:eastAsia="en-GB"/>
          </w:rPr>
          <w:t>https://t2a.org.uk/wp-content/uploads/2011/09/Birmingham-University-Maturity-final-literature-review-report.pdf</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14C383DC" w14:textId="2F43CB2F" w:rsidR="00D50115" w:rsidRPr="006B0173" w:rsidRDefault="00D50115" w:rsidP="006B0173">
      <w:pPr>
        <w:numPr>
          <w:ilvl w:val="0"/>
          <w:numId w:val="20"/>
        </w:numPr>
        <w:spacing w:after="0" w:line="480" w:lineRule="auto"/>
        <w:textAlignment w:val="baseline"/>
        <w:rPr>
          <w:rFonts w:ascii="Arial" w:eastAsia="Times New Roman" w:hAnsi="Arial" w:cs="Arial"/>
          <w:color w:val="000000"/>
          <w:sz w:val="24"/>
          <w:szCs w:val="24"/>
          <w:lang w:eastAsia="en-GB"/>
        </w:rPr>
      </w:pPr>
      <w:proofErr w:type="spellStart"/>
      <w:r w:rsidRPr="006B0173">
        <w:rPr>
          <w:rFonts w:ascii="Arial" w:eastAsia="Times New Roman" w:hAnsi="Arial" w:cs="Arial"/>
          <w:color w:val="000000"/>
          <w:sz w:val="24"/>
          <w:szCs w:val="24"/>
          <w:lang w:eastAsia="en-GB"/>
        </w:rPr>
        <w:t>Fionda</w:t>
      </w:r>
      <w:proofErr w:type="spellEnd"/>
      <w:r w:rsidRPr="006B0173">
        <w:rPr>
          <w:rFonts w:ascii="Arial" w:eastAsia="Times New Roman" w:hAnsi="Arial" w:cs="Arial"/>
          <w:color w:val="000000"/>
          <w:sz w:val="24"/>
          <w:szCs w:val="24"/>
          <w:lang w:eastAsia="en-GB"/>
        </w:rPr>
        <w:t xml:space="preserve">, J. (2005). </w:t>
      </w:r>
      <w:r w:rsidRPr="006B0173">
        <w:rPr>
          <w:rFonts w:ascii="Arial" w:eastAsia="Times New Roman" w:hAnsi="Arial" w:cs="Arial"/>
          <w:i/>
          <w:iCs/>
          <w:color w:val="000000"/>
          <w:sz w:val="24"/>
          <w:szCs w:val="24"/>
          <w:lang w:eastAsia="en-GB"/>
        </w:rPr>
        <w:t>Devils and Angels: Youth, Policy and Crime</w:t>
      </w:r>
      <w:r w:rsidRPr="006B0173">
        <w:rPr>
          <w:rFonts w:ascii="Arial" w:eastAsia="Times New Roman" w:hAnsi="Arial" w:cs="Arial"/>
          <w:color w:val="000000"/>
          <w:sz w:val="24"/>
          <w:szCs w:val="24"/>
          <w:lang w:eastAsia="en-GB"/>
        </w:rPr>
        <w:t>. Oxford: Hart Publishing.</w:t>
      </w:r>
      <w:r w:rsidRPr="006B0173">
        <w:rPr>
          <w:rFonts w:ascii="Arial" w:eastAsia="Times New Roman" w:hAnsi="Arial" w:cs="Arial"/>
          <w:sz w:val="24"/>
          <w:szCs w:val="24"/>
          <w:lang w:eastAsia="en-GB"/>
        </w:rPr>
        <w:br/>
      </w:r>
    </w:p>
    <w:p w14:paraId="27255402" w14:textId="1EFCFA52" w:rsidR="00D50115" w:rsidRPr="006B0173" w:rsidRDefault="00D50115" w:rsidP="006B0173">
      <w:pPr>
        <w:numPr>
          <w:ilvl w:val="0"/>
          <w:numId w:val="21"/>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Gray, P. (2015). </w:t>
      </w:r>
      <w:r w:rsidRPr="006B0173">
        <w:rPr>
          <w:rFonts w:ascii="Arial" w:eastAsia="Times New Roman" w:hAnsi="Arial" w:cs="Arial"/>
          <w:i/>
          <w:iCs/>
          <w:color w:val="000000"/>
          <w:sz w:val="24"/>
          <w:szCs w:val="24"/>
          <w:lang w:eastAsia="en-GB"/>
        </w:rPr>
        <w:t>Youth Justice</w:t>
      </w:r>
      <w:r w:rsidRPr="006B0173">
        <w:rPr>
          <w:rFonts w:ascii="Arial" w:eastAsia="Times New Roman" w:hAnsi="Arial" w:cs="Arial"/>
          <w:color w:val="000000"/>
          <w:sz w:val="24"/>
          <w:szCs w:val="24"/>
          <w:lang w:eastAsia="en-GB"/>
        </w:rPr>
        <w:t xml:space="preserve">. British Society of Criminology, [online] 76. Available at: </w:t>
      </w:r>
      <w:hyperlink r:id="rId28" w:history="1">
        <w:r w:rsidRPr="006B0173">
          <w:rPr>
            <w:rFonts w:ascii="Arial" w:eastAsia="Times New Roman" w:hAnsi="Arial" w:cs="Arial"/>
            <w:color w:val="1155CC"/>
            <w:sz w:val="24"/>
            <w:szCs w:val="24"/>
            <w:u w:val="single"/>
            <w:lang w:eastAsia="en-GB"/>
          </w:rPr>
          <w:t>https://www.britsoccrim.org/wp-content/uploads/2016/04/bscn-</w:t>
        </w:r>
        <w:r w:rsidRPr="006B0173">
          <w:rPr>
            <w:rFonts w:ascii="Arial" w:eastAsia="Times New Roman" w:hAnsi="Arial" w:cs="Arial"/>
            <w:color w:val="1155CC"/>
            <w:sz w:val="24"/>
            <w:szCs w:val="24"/>
            <w:u w:val="single"/>
            <w:lang w:eastAsia="en-GB"/>
          </w:rPr>
          <w:lastRenderedPageBreak/>
          <w:t>76-Gray.pdf</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58C97AE4" w14:textId="061F45CA" w:rsidR="00D50115" w:rsidRPr="006B0173" w:rsidRDefault="00D50115" w:rsidP="006B0173">
      <w:pPr>
        <w:numPr>
          <w:ilvl w:val="0"/>
          <w:numId w:val="22"/>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Halliday, J., Parveen, N., </w:t>
      </w:r>
      <w:proofErr w:type="spellStart"/>
      <w:r w:rsidRPr="006B0173">
        <w:rPr>
          <w:rFonts w:ascii="Arial" w:eastAsia="Times New Roman" w:hAnsi="Arial" w:cs="Arial"/>
          <w:color w:val="000000"/>
          <w:sz w:val="24"/>
          <w:szCs w:val="24"/>
          <w:lang w:eastAsia="en-GB"/>
        </w:rPr>
        <w:t>Pidd</w:t>
      </w:r>
      <w:proofErr w:type="spellEnd"/>
      <w:r w:rsidRPr="006B0173">
        <w:rPr>
          <w:rFonts w:ascii="Arial" w:eastAsia="Times New Roman" w:hAnsi="Arial" w:cs="Arial"/>
          <w:color w:val="000000"/>
          <w:sz w:val="24"/>
          <w:szCs w:val="24"/>
          <w:lang w:eastAsia="en-GB"/>
        </w:rPr>
        <w:t xml:space="preserve">, H. and Wolfe-Robinson, M. (2019). </w:t>
      </w:r>
      <w:r w:rsidRPr="006B0173">
        <w:rPr>
          <w:rFonts w:ascii="Arial" w:eastAsia="Times New Roman" w:hAnsi="Arial" w:cs="Arial"/>
          <w:i/>
          <w:iCs/>
          <w:color w:val="000000"/>
          <w:sz w:val="24"/>
          <w:szCs w:val="24"/>
          <w:lang w:eastAsia="en-GB"/>
        </w:rPr>
        <w:t>Age of Criminal Responsibility Must be Raised, say experts</w:t>
      </w:r>
      <w:r w:rsidRPr="006B0173">
        <w:rPr>
          <w:rFonts w:ascii="Arial" w:eastAsia="Times New Roman" w:hAnsi="Arial" w:cs="Arial"/>
          <w:color w:val="000000"/>
          <w:sz w:val="24"/>
          <w:szCs w:val="24"/>
          <w:lang w:eastAsia="en-GB"/>
        </w:rPr>
        <w:t xml:space="preserve">. Guardian, [online] Available at: </w:t>
      </w:r>
      <w:hyperlink r:id="rId29" w:history="1">
        <w:r w:rsidRPr="006B0173">
          <w:rPr>
            <w:rFonts w:ascii="Arial" w:eastAsia="Times New Roman" w:hAnsi="Arial" w:cs="Arial"/>
            <w:color w:val="1155CC"/>
            <w:sz w:val="24"/>
            <w:szCs w:val="24"/>
            <w:u w:val="single"/>
            <w:lang w:eastAsia="en-GB"/>
          </w:rPr>
          <w:t>https://www.theguardian.com/society/2019/nov/04/age-of-criminal-responsibility-must-be-raised-say-experts</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736E74C3" w14:textId="44371596" w:rsidR="00D50115" w:rsidRPr="006B0173" w:rsidRDefault="00D50115" w:rsidP="006B0173">
      <w:pPr>
        <w:numPr>
          <w:ilvl w:val="0"/>
          <w:numId w:val="23"/>
        </w:numPr>
        <w:spacing w:after="0" w:line="480" w:lineRule="auto"/>
        <w:textAlignment w:val="baseline"/>
        <w:rPr>
          <w:rFonts w:ascii="Arial" w:eastAsia="Times New Roman" w:hAnsi="Arial" w:cs="Arial"/>
          <w:color w:val="000000"/>
          <w:sz w:val="24"/>
          <w:szCs w:val="24"/>
          <w:lang w:eastAsia="en-GB"/>
        </w:rPr>
      </w:pPr>
      <w:proofErr w:type="spellStart"/>
      <w:r w:rsidRPr="006B0173">
        <w:rPr>
          <w:rFonts w:ascii="Arial" w:eastAsia="Times New Roman" w:hAnsi="Arial" w:cs="Arial"/>
          <w:color w:val="000000"/>
          <w:sz w:val="24"/>
          <w:szCs w:val="24"/>
          <w:lang w:eastAsia="en-GB"/>
        </w:rPr>
        <w:t>Henderon</w:t>
      </w:r>
      <w:proofErr w:type="spellEnd"/>
      <w:r w:rsidRPr="006B0173">
        <w:rPr>
          <w:rFonts w:ascii="Arial" w:eastAsia="Times New Roman" w:hAnsi="Arial" w:cs="Arial"/>
          <w:color w:val="000000"/>
          <w:sz w:val="24"/>
          <w:szCs w:val="24"/>
          <w:lang w:eastAsia="en-GB"/>
        </w:rPr>
        <w:t xml:space="preserve">, G., </w:t>
      </w:r>
      <w:proofErr w:type="spellStart"/>
      <w:r w:rsidRPr="006B0173">
        <w:rPr>
          <w:rFonts w:ascii="Arial" w:eastAsia="Times New Roman" w:hAnsi="Arial" w:cs="Arial"/>
          <w:color w:val="000000"/>
          <w:sz w:val="24"/>
          <w:szCs w:val="24"/>
          <w:lang w:eastAsia="en-GB"/>
        </w:rPr>
        <w:t>Kurlus</w:t>
      </w:r>
      <w:proofErr w:type="spellEnd"/>
      <w:r w:rsidRPr="006B0173">
        <w:rPr>
          <w:rFonts w:ascii="Arial" w:eastAsia="Times New Roman" w:hAnsi="Arial" w:cs="Arial"/>
          <w:color w:val="000000"/>
          <w:sz w:val="24"/>
          <w:szCs w:val="24"/>
          <w:lang w:eastAsia="en-GB"/>
        </w:rPr>
        <w:t xml:space="preserve">, I. and McNiven, G. (2016). </w:t>
      </w:r>
      <w:r w:rsidRPr="006B0173">
        <w:rPr>
          <w:rFonts w:ascii="Arial" w:eastAsia="Times New Roman" w:hAnsi="Arial" w:cs="Arial"/>
          <w:i/>
          <w:iCs/>
          <w:color w:val="000000"/>
          <w:sz w:val="24"/>
          <w:szCs w:val="24"/>
          <w:lang w:eastAsia="en-GB"/>
        </w:rPr>
        <w:t>Backgrounds and Outcomes for Children Aged 8 to 11 Years old who have been referred to the Children's Reporter for Offending</w:t>
      </w:r>
      <w:r w:rsidRPr="006B0173">
        <w:rPr>
          <w:rFonts w:ascii="Arial" w:eastAsia="Times New Roman" w:hAnsi="Arial" w:cs="Arial"/>
          <w:color w:val="000000"/>
          <w:sz w:val="24"/>
          <w:szCs w:val="24"/>
          <w:lang w:eastAsia="en-GB"/>
        </w:rPr>
        <w:t>. [</w:t>
      </w:r>
      <w:proofErr w:type="spellStart"/>
      <w:r w:rsidRPr="006B0173">
        <w:rPr>
          <w:rFonts w:ascii="Arial" w:eastAsia="Times New Roman" w:hAnsi="Arial" w:cs="Arial"/>
          <w:color w:val="000000"/>
          <w:sz w:val="24"/>
          <w:szCs w:val="24"/>
          <w:lang w:eastAsia="en-GB"/>
        </w:rPr>
        <w:t>ebook</w:t>
      </w:r>
      <w:proofErr w:type="spellEnd"/>
      <w:r w:rsidRPr="006B0173">
        <w:rPr>
          <w:rFonts w:ascii="Arial" w:eastAsia="Times New Roman" w:hAnsi="Arial" w:cs="Arial"/>
          <w:color w:val="000000"/>
          <w:sz w:val="24"/>
          <w:szCs w:val="24"/>
          <w:lang w:eastAsia="en-GB"/>
        </w:rPr>
        <w:t xml:space="preserve">] Scottish Children's Reporter Administration. Available at: </w:t>
      </w:r>
      <w:hyperlink r:id="rId30" w:history="1">
        <w:r w:rsidRPr="006B0173">
          <w:rPr>
            <w:rFonts w:ascii="Arial" w:eastAsia="Times New Roman" w:hAnsi="Arial" w:cs="Arial"/>
            <w:color w:val="1155CC"/>
            <w:sz w:val="24"/>
            <w:szCs w:val="24"/>
            <w:u w:val="single"/>
            <w:lang w:eastAsia="en-GB"/>
          </w:rPr>
          <w:t>http://www.scra.gov.uk/wp-content/uploads/2016/03/Backgrounds-and-outcomes-for-children-aged-8-11-years-old-who-have-been-referred-for-offending.pdf</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748EFF77" w14:textId="79ECD789" w:rsidR="00D50115" w:rsidRPr="006B0173" w:rsidRDefault="00D50115" w:rsidP="006B0173">
      <w:pPr>
        <w:numPr>
          <w:ilvl w:val="0"/>
          <w:numId w:val="24"/>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Howard League for Penal Reform. (2018). </w:t>
      </w:r>
      <w:r w:rsidRPr="006B0173">
        <w:rPr>
          <w:rFonts w:ascii="Arial" w:eastAsia="Times New Roman" w:hAnsi="Arial" w:cs="Arial"/>
          <w:i/>
          <w:iCs/>
          <w:color w:val="000000"/>
          <w:sz w:val="24"/>
          <w:szCs w:val="24"/>
          <w:lang w:eastAsia="en-GB"/>
        </w:rPr>
        <w:t>Raising the Bar of Youth Justice: The Minimum Age of Criminal Responsibility</w:t>
      </w:r>
      <w:r w:rsidRPr="006B0173">
        <w:rPr>
          <w:rFonts w:ascii="Arial" w:eastAsia="Times New Roman" w:hAnsi="Arial" w:cs="Arial"/>
          <w:color w:val="000000"/>
          <w:sz w:val="24"/>
          <w:szCs w:val="24"/>
          <w:lang w:eastAsia="en-GB"/>
        </w:rPr>
        <w:t xml:space="preserve">. [online] Howard League for Penal Reform. Available at: </w:t>
      </w:r>
      <w:hyperlink r:id="rId31" w:history="1">
        <w:r w:rsidRPr="006B0173">
          <w:rPr>
            <w:rFonts w:ascii="Arial" w:eastAsia="Times New Roman" w:hAnsi="Arial" w:cs="Arial"/>
            <w:color w:val="1155CC"/>
            <w:sz w:val="24"/>
            <w:szCs w:val="24"/>
            <w:u w:val="single"/>
            <w:lang w:eastAsia="en-GB"/>
          </w:rPr>
          <w:t>http://howardleague.scot/news/2018/july/raising-bar-youth-justice-minimum-age-criminal-responsibility</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5F64187C" w14:textId="3FAAF68D" w:rsidR="00D50115" w:rsidRPr="006B0173" w:rsidRDefault="00D50115" w:rsidP="006B0173">
      <w:pPr>
        <w:numPr>
          <w:ilvl w:val="0"/>
          <w:numId w:val="25"/>
        </w:numPr>
        <w:spacing w:after="0" w:line="480" w:lineRule="auto"/>
        <w:textAlignment w:val="baseline"/>
        <w:rPr>
          <w:rFonts w:ascii="Arial" w:eastAsia="Times New Roman" w:hAnsi="Arial" w:cs="Arial"/>
          <w:color w:val="000000"/>
          <w:sz w:val="24"/>
          <w:szCs w:val="24"/>
          <w:lang w:eastAsia="en-GB"/>
        </w:rPr>
      </w:pPr>
      <w:proofErr w:type="spellStart"/>
      <w:r w:rsidRPr="006B0173">
        <w:rPr>
          <w:rFonts w:ascii="Arial" w:eastAsia="Times New Roman" w:hAnsi="Arial" w:cs="Arial"/>
          <w:color w:val="000000"/>
          <w:sz w:val="24"/>
          <w:szCs w:val="24"/>
          <w:lang w:eastAsia="en-GB"/>
        </w:rPr>
        <w:t>Jerrom</w:t>
      </w:r>
      <w:proofErr w:type="spellEnd"/>
      <w:r w:rsidRPr="006B0173">
        <w:rPr>
          <w:rFonts w:ascii="Arial" w:eastAsia="Times New Roman" w:hAnsi="Arial" w:cs="Arial"/>
          <w:color w:val="000000"/>
          <w:sz w:val="24"/>
          <w:szCs w:val="24"/>
          <w:lang w:eastAsia="en-GB"/>
        </w:rPr>
        <w:t xml:space="preserve">, C. (2010). </w:t>
      </w:r>
      <w:r w:rsidRPr="006B0173">
        <w:rPr>
          <w:rFonts w:ascii="Arial" w:eastAsia="Times New Roman" w:hAnsi="Arial" w:cs="Arial"/>
          <w:i/>
          <w:iCs/>
          <w:color w:val="000000"/>
          <w:sz w:val="24"/>
          <w:szCs w:val="24"/>
          <w:lang w:eastAsia="en-GB"/>
        </w:rPr>
        <w:t>Criminal Responsibility: The Age of Reason?</w:t>
      </w:r>
      <w:r w:rsidRPr="006B0173">
        <w:rPr>
          <w:rFonts w:ascii="Arial" w:eastAsia="Times New Roman" w:hAnsi="Arial" w:cs="Arial"/>
          <w:color w:val="000000"/>
          <w:sz w:val="24"/>
          <w:szCs w:val="24"/>
          <w:lang w:eastAsia="en-GB"/>
        </w:rPr>
        <w:t>. [</w:t>
      </w:r>
      <w:proofErr w:type="spellStart"/>
      <w:r w:rsidRPr="006B0173">
        <w:rPr>
          <w:rFonts w:ascii="Arial" w:eastAsia="Times New Roman" w:hAnsi="Arial" w:cs="Arial"/>
          <w:color w:val="000000"/>
          <w:sz w:val="24"/>
          <w:szCs w:val="24"/>
          <w:lang w:eastAsia="en-GB"/>
        </w:rPr>
        <w:t>ebook</w:t>
      </w:r>
      <w:proofErr w:type="spellEnd"/>
      <w:r w:rsidRPr="006B0173">
        <w:rPr>
          <w:rFonts w:ascii="Arial" w:eastAsia="Times New Roman" w:hAnsi="Arial" w:cs="Arial"/>
          <w:color w:val="000000"/>
          <w:sz w:val="24"/>
          <w:szCs w:val="24"/>
          <w:lang w:eastAsia="en-GB"/>
        </w:rPr>
        <w:t xml:space="preserve">] Professional Social Work. Available at: </w:t>
      </w:r>
      <w:hyperlink r:id="rId32" w:history="1">
        <w:r w:rsidRPr="006B0173">
          <w:rPr>
            <w:rFonts w:ascii="Arial" w:eastAsia="Times New Roman" w:hAnsi="Arial" w:cs="Arial"/>
            <w:color w:val="1155CC"/>
            <w:sz w:val="24"/>
            <w:szCs w:val="24"/>
            <w:u w:val="single"/>
            <w:lang w:eastAsia="en-GB"/>
          </w:rPr>
          <w:t>https://www.basw.co.uk/system/files/resources/basw_24143-1_0.pdf</w:t>
        </w:r>
      </w:hyperlink>
      <w:r w:rsidRPr="006B0173">
        <w:rPr>
          <w:rFonts w:ascii="Arial" w:eastAsia="Times New Roman" w:hAnsi="Arial" w:cs="Arial"/>
          <w:color w:val="000000"/>
          <w:sz w:val="24"/>
          <w:szCs w:val="24"/>
          <w:lang w:eastAsia="en-GB"/>
        </w:rPr>
        <w:t xml:space="preserve"> </w:t>
      </w:r>
      <w:r w:rsidRPr="006B0173">
        <w:rPr>
          <w:rFonts w:ascii="Arial" w:eastAsia="Times New Roman" w:hAnsi="Arial" w:cs="Arial"/>
          <w:color w:val="000000"/>
          <w:sz w:val="24"/>
          <w:szCs w:val="24"/>
          <w:lang w:eastAsia="en-GB"/>
        </w:rPr>
        <w:lastRenderedPageBreak/>
        <w:t>[Accessed 18 October 2021].</w:t>
      </w:r>
      <w:r w:rsidRPr="006B0173">
        <w:rPr>
          <w:rFonts w:ascii="Arial" w:eastAsia="Times New Roman" w:hAnsi="Arial" w:cs="Arial"/>
          <w:sz w:val="24"/>
          <w:szCs w:val="24"/>
          <w:lang w:eastAsia="en-GB"/>
        </w:rPr>
        <w:br/>
      </w:r>
    </w:p>
    <w:p w14:paraId="5602A431" w14:textId="15032E84" w:rsidR="00D50115" w:rsidRPr="006B0173" w:rsidRDefault="00D50115" w:rsidP="006B0173">
      <w:pPr>
        <w:numPr>
          <w:ilvl w:val="0"/>
          <w:numId w:val="26"/>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Johnson, S., Blum, R. and </w:t>
      </w:r>
      <w:proofErr w:type="spellStart"/>
      <w:r w:rsidRPr="006B0173">
        <w:rPr>
          <w:rFonts w:ascii="Arial" w:eastAsia="Times New Roman" w:hAnsi="Arial" w:cs="Arial"/>
          <w:color w:val="000000"/>
          <w:sz w:val="24"/>
          <w:szCs w:val="24"/>
          <w:lang w:eastAsia="en-GB"/>
        </w:rPr>
        <w:t>Giedd</w:t>
      </w:r>
      <w:proofErr w:type="spellEnd"/>
      <w:r w:rsidRPr="006B0173">
        <w:rPr>
          <w:rFonts w:ascii="Arial" w:eastAsia="Times New Roman" w:hAnsi="Arial" w:cs="Arial"/>
          <w:color w:val="000000"/>
          <w:sz w:val="24"/>
          <w:szCs w:val="24"/>
          <w:lang w:eastAsia="en-GB"/>
        </w:rPr>
        <w:t xml:space="preserve">, J. (2009). </w:t>
      </w:r>
      <w:r w:rsidRPr="006B0173">
        <w:rPr>
          <w:rFonts w:ascii="Arial" w:eastAsia="Times New Roman" w:hAnsi="Arial" w:cs="Arial"/>
          <w:i/>
          <w:iCs/>
          <w:color w:val="000000"/>
          <w:sz w:val="24"/>
          <w:szCs w:val="24"/>
          <w:lang w:eastAsia="en-GB"/>
        </w:rPr>
        <w:t>Adolescent Maturity and the Brain: The Promise and Pitfalls of Neuroscience Research in Adolescent Health Policy</w:t>
      </w:r>
      <w:r w:rsidRPr="006B0173">
        <w:rPr>
          <w:rFonts w:ascii="Arial" w:eastAsia="Times New Roman" w:hAnsi="Arial" w:cs="Arial"/>
          <w:color w:val="000000"/>
          <w:sz w:val="24"/>
          <w:szCs w:val="24"/>
          <w:lang w:eastAsia="en-GB"/>
        </w:rPr>
        <w:t xml:space="preserve">. Journal of Adolescent Health, [online] 45(3). Available at: </w:t>
      </w:r>
      <w:hyperlink r:id="rId33" w:history="1">
        <w:r w:rsidRPr="006B0173">
          <w:rPr>
            <w:rFonts w:ascii="Arial" w:eastAsia="Times New Roman" w:hAnsi="Arial" w:cs="Arial"/>
            <w:color w:val="1155CC"/>
            <w:sz w:val="24"/>
            <w:szCs w:val="24"/>
            <w:u w:val="single"/>
            <w:lang w:eastAsia="en-GB"/>
          </w:rPr>
          <w:t>https://www.ncbi.nlm.nih.gov/pmc/articles/PMC2892678/</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4A85B81E" w14:textId="56B14905" w:rsidR="00D50115" w:rsidRPr="006B0173" w:rsidRDefault="00D50115" w:rsidP="006B0173">
      <w:pPr>
        <w:numPr>
          <w:ilvl w:val="0"/>
          <w:numId w:val="27"/>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Maguire, J. (2018). </w:t>
      </w:r>
      <w:r w:rsidRPr="006B0173">
        <w:rPr>
          <w:rFonts w:ascii="Arial" w:eastAsia="Times New Roman" w:hAnsi="Arial" w:cs="Arial"/>
          <w:i/>
          <w:iCs/>
          <w:color w:val="000000"/>
          <w:sz w:val="24"/>
          <w:szCs w:val="24"/>
          <w:lang w:eastAsia="en-GB"/>
        </w:rPr>
        <w:t>Old Enough to Know Better? The Minimum Age of Criminal Responsibility</w:t>
      </w:r>
      <w:r w:rsidRPr="006B0173">
        <w:rPr>
          <w:rFonts w:ascii="Arial" w:eastAsia="Times New Roman" w:hAnsi="Arial" w:cs="Arial"/>
          <w:color w:val="000000"/>
          <w:sz w:val="24"/>
          <w:szCs w:val="24"/>
          <w:lang w:eastAsia="en-GB"/>
        </w:rPr>
        <w:t xml:space="preserve">. [online] </w:t>
      </w:r>
      <w:proofErr w:type="spellStart"/>
      <w:r w:rsidRPr="006B0173">
        <w:rPr>
          <w:rFonts w:ascii="Arial" w:eastAsia="Times New Roman" w:hAnsi="Arial" w:cs="Arial"/>
          <w:color w:val="000000"/>
          <w:sz w:val="24"/>
          <w:szCs w:val="24"/>
          <w:lang w:eastAsia="en-GB"/>
        </w:rPr>
        <w:t>Lexology</w:t>
      </w:r>
      <w:proofErr w:type="spellEnd"/>
      <w:r w:rsidRPr="006B0173">
        <w:rPr>
          <w:rFonts w:ascii="Arial" w:eastAsia="Times New Roman" w:hAnsi="Arial" w:cs="Arial"/>
          <w:color w:val="000000"/>
          <w:sz w:val="24"/>
          <w:szCs w:val="24"/>
          <w:lang w:eastAsia="en-GB"/>
        </w:rPr>
        <w:t xml:space="preserve"> (</w:t>
      </w:r>
      <w:proofErr w:type="spellStart"/>
      <w:r w:rsidRPr="006B0173">
        <w:rPr>
          <w:rFonts w:ascii="Arial" w:eastAsia="Times New Roman" w:hAnsi="Arial" w:cs="Arial"/>
          <w:color w:val="000000"/>
          <w:sz w:val="24"/>
          <w:szCs w:val="24"/>
          <w:lang w:eastAsia="en-GB"/>
        </w:rPr>
        <w:t>CrimeLine</w:t>
      </w:r>
      <w:proofErr w:type="spellEnd"/>
      <w:r w:rsidRPr="006B0173">
        <w:rPr>
          <w:rFonts w:ascii="Arial" w:eastAsia="Times New Roman" w:hAnsi="Arial" w:cs="Arial"/>
          <w:color w:val="000000"/>
          <w:sz w:val="24"/>
          <w:szCs w:val="24"/>
          <w:lang w:eastAsia="en-GB"/>
        </w:rPr>
        <w:t xml:space="preserve">). Available at: </w:t>
      </w:r>
      <w:hyperlink r:id="rId34" w:history="1">
        <w:r w:rsidRPr="006B0173">
          <w:rPr>
            <w:rFonts w:ascii="Arial" w:eastAsia="Times New Roman" w:hAnsi="Arial" w:cs="Arial"/>
            <w:color w:val="1155CC"/>
            <w:sz w:val="24"/>
            <w:szCs w:val="24"/>
            <w:u w:val="single"/>
            <w:lang w:eastAsia="en-GB"/>
          </w:rPr>
          <w:t>https://www.lexology.com/library/detail.aspx?g=10d0295c-0ff5-49ec-bbac-8cfaa212f9bf</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071F370D" w14:textId="0A73B6C6" w:rsidR="00D50115" w:rsidRPr="006B0173" w:rsidRDefault="00D50115" w:rsidP="006B0173">
      <w:pPr>
        <w:numPr>
          <w:ilvl w:val="0"/>
          <w:numId w:val="28"/>
        </w:numPr>
        <w:spacing w:after="0" w:line="480" w:lineRule="auto"/>
        <w:textAlignment w:val="baseline"/>
        <w:rPr>
          <w:rFonts w:ascii="Arial" w:eastAsia="Times New Roman" w:hAnsi="Arial" w:cs="Arial"/>
          <w:color w:val="000000"/>
          <w:sz w:val="24"/>
          <w:szCs w:val="24"/>
          <w:lang w:eastAsia="en-GB"/>
        </w:rPr>
      </w:pPr>
      <w:proofErr w:type="spellStart"/>
      <w:r w:rsidRPr="006B0173">
        <w:rPr>
          <w:rFonts w:ascii="Arial" w:eastAsia="Times New Roman" w:hAnsi="Arial" w:cs="Arial"/>
          <w:color w:val="000000"/>
          <w:sz w:val="24"/>
          <w:szCs w:val="24"/>
          <w:lang w:eastAsia="en-GB"/>
        </w:rPr>
        <w:t>McAra</w:t>
      </w:r>
      <w:proofErr w:type="spellEnd"/>
      <w:r w:rsidRPr="006B0173">
        <w:rPr>
          <w:rFonts w:ascii="Arial" w:eastAsia="Times New Roman" w:hAnsi="Arial" w:cs="Arial"/>
          <w:color w:val="000000"/>
          <w:sz w:val="24"/>
          <w:szCs w:val="24"/>
          <w:lang w:eastAsia="en-GB"/>
        </w:rPr>
        <w:t xml:space="preserve">, L. and McVie, S. (2007). </w:t>
      </w:r>
      <w:r w:rsidRPr="006B0173">
        <w:rPr>
          <w:rFonts w:ascii="Arial" w:eastAsia="Times New Roman" w:hAnsi="Arial" w:cs="Arial"/>
          <w:i/>
          <w:iCs/>
          <w:color w:val="000000"/>
          <w:sz w:val="24"/>
          <w:szCs w:val="24"/>
          <w:lang w:eastAsia="en-GB"/>
        </w:rPr>
        <w:t>Youth Justice?: The Impact of System Contact on Patterns of Desistance from Offending</w:t>
      </w:r>
      <w:r w:rsidRPr="006B0173">
        <w:rPr>
          <w:rFonts w:ascii="Arial" w:eastAsia="Times New Roman" w:hAnsi="Arial" w:cs="Arial"/>
          <w:color w:val="000000"/>
          <w:sz w:val="24"/>
          <w:szCs w:val="24"/>
          <w:lang w:eastAsia="en-GB"/>
        </w:rPr>
        <w:t xml:space="preserve">. European Journal of Criminology, [online] 4(3). Available at: </w:t>
      </w:r>
      <w:hyperlink r:id="rId35" w:history="1">
        <w:r w:rsidRPr="006B0173">
          <w:rPr>
            <w:rFonts w:ascii="Arial" w:eastAsia="Times New Roman" w:hAnsi="Arial" w:cs="Arial"/>
            <w:color w:val="1155CC"/>
            <w:sz w:val="24"/>
            <w:szCs w:val="24"/>
            <w:u w:val="single"/>
            <w:lang w:eastAsia="en-GB"/>
          </w:rPr>
          <w:t>https://journals.sagepub.com/doi/10.1177/1477370807077186</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498F4308" w14:textId="125845B7" w:rsidR="00D50115" w:rsidRPr="006B0173" w:rsidRDefault="00D50115" w:rsidP="006B0173">
      <w:pPr>
        <w:numPr>
          <w:ilvl w:val="0"/>
          <w:numId w:val="29"/>
        </w:numPr>
        <w:spacing w:after="0" w:line="480" w:lineRule="auto"/>
        <w:textAlignment w:val="baseline"/>
        <w:rPr>
          <w:rFonts w:ascii="Arial" w:eastAsia="Times New Roman" w:hAnsi="Arial" w:cs="Arial"/>
          <w:color w:val="000000"/>
          <w:sz w:val="24"/>
          <w:szCs w:val="24"/>
          <w:lang w:eastAsia="en-GB"/>
        </w:rPr>
      </w:pPr>
      <w:r w:rsidRPr="006B0173">
        <w:rPr>
          <w:rFonts w:ascii="Arial" w:eastAsia="Times New Roman" w:hAnsi="Arial" w:cs="Arial"/>
          <w:color w:val="000000"/>
          <w:sz w:val="24"/>
          <w:szCs w:val="24"/>
          <w:lang w:eastAsia="en-GB"/>
        </w:rPr>
        <w:t xml:space="preserve">McDiarmid, C. (2013). </w:t>
      </w:r>
      <w:r w:rsidRPr="006B0173">
        <w:rPr>
          <w:rFonts w:ascii="Arial" w:eastAsia="Times New Roman" w:hAnsi="Arial" w:cs="Arial"/>
          <w:i/>
          <w:iCs/>
          <w:color w:val="000000"/>
          <w:sz w:val="24"/>
          <w:szCs w:val="24"/>
          <w:lang w:eastAsia="en-GB"/>
        </w:rPr>
        <w:t>An Age of Complexity: Children and Criminal Responsibility in Law</w:t>
      </w:r>
      <w:r w:rsidRPr="006B0173">
        <w:rPr>
          <w:rFonts w:ascii="Arial" w:eastAsia="Times New Roman" w:hAnsi="Arial" w:cs="Arial"/>
          <w:color w:val="000000"/>
          <w:sz w:val="24"/>
          <w:szCs w:val="24"/>
          <w:lang w:eastAsia="en-GB"/>
        </w:rPr>
        <w:t xml:space="preserve">. SAGE, [online] Available at: </w:t>
      </w:r>
      <w:hyperlink r:id="rId36" w:history="1">
        <w:r w:rsidRPr="006B0173">
          <w:rPr>
            <w:rFonts w:ascii="Arial" w:eastAsia="Times New Roman" w:hAnsi="Arial" w:cs="Arial"/>
            <w:color w:val="1155CC"/>
            <w:sz w:val="24"/>
            <w:szCs w:val="24"/>
            <w:u w:val="single"/>
            <w:lang w:eastAsia="en-GB"/>
          </w:rPr>
          <w:t>https://strathprints.strath.ac.uk/44045/1/McDiarmid_An_age_of_complexity.pdf</w:t>
        </w:r>
      </w:hyperlink>
      <w:r w:rsidRPr="006B0173">
        <w:rPr>
          <w:rFonts w:ascii="Arial" w:eastAsia="Times New Roman" w:hAnsi="Arial" w:cs="Arial"/>
          <w:color w:val="000000"/>
          <w:sz w:val="24"/>
          <w:szCs w:val="24"/>
          <w:lang w:eastAsia="en-GB"/>
        </w:rPr>
        <w:t xml:space="preserve"> [Accessed 18 October 2021].</w:t>
      </w:r>
      <w:r w:rsidRPr="006B0173">
        <w:rPr>
          <w:rFonts w:ascii="Arial" w:eastAsia="Times New Roman" w:hAnsi="Arial" w:cs="Arial"/>
          <w:sz w:val="24"/>
          <w:szCs w:val="24"/>
          <w:lang w:eastAsia="en-GB"/>
        </w:rPr>
        <w:br/>
      </w:r>
    </w:p>
    <w:p w14:paraId="367F3BF7" w14:textId="49B77BA3" w:rsidR="003F4C24" w:rsidRPr="006B0173" w:rsidRDefault="00D50115" w:rsidP="006B0173">
      <w:pPr>
        <w:numPr>
          <w:ilvl w:val="0"/>
          <w:numId w:val="30"/>
        </w:numPr>
        <w:spacing w:after="0" w:line="480" w:lineRule="auto"/>
        <w:textAlignment w:val="baseline"/>
        <w:rPr>
          <w:rFonts w:ascii="Arial" w:eastAsia="Times New Roman" w:hAnsi="Arial" w:cs="Arial"/>
          <w:color w:val="000000"/>
          <w:sz w:val="24"/>
          <w:szCs w:val="24"/>
          <w:lang w:eastAsia="en-GB"/>
        </w:rPr>
      </w:pPr>
      <w:proofErr w:type="spellStart"/>
      <w:r w:rsidRPr="006B0173">
        <w:rPr>
          <w:rFonts w:ascii="Arial" w:eastAsia="Times New Roman" w:hAnsi="Arial" w:cs="Arial"/>
          <w:color w:val="000000"/>
          <w:sz w:val="24"/>
          <w:szCs w:val="24"/>
          <w:lang w:eastAsia="en-GB"/>
        </w:rPr>
        <w:lastRenderedPageBreak/>
        <w:t>Papamichael</w:t>
      </w:r>
      <w:proofErr w:type="spellEnd"/>
      <w:r w:rsidRPr="006B0173">
        <w:rPr>
          <w:rFonts w:ascii="Arial" w:eastAsia="Times New Roman" w:hAnsi="Arial" w:cs="Arial"/>
          <w:color w:val="000000"/>
          <w:sz w:val="24"/>
          <w:szCs w:val="24"/>
          <w:lang w:eastAsia="en-GB"/>
        </w:rPr>
        <w:t xml:space="preserve">, E. (2019). </w:t>
      </w:r>
      <w:proofErr w:type="spellStart"/>
      <w:r w:rsidRPr="006B0173">
        <w:rPr>
          <w:rFonts w:ascii="Arial" w:eastAsia="Times New Roman" w:hAnsi="Arial" w:cs="Arial"/>
          <w:i/>
          <w:iCs/>
          <w:color w:val="000000"/>
          <w:sz w:val="24"/>
          <w:szCs w:val="24"/>
          <w:lang w:eastAsia="en-GB"/>
        </w:rPr>
        <w:t>Doli</w:t>
      </w:r>
      <w:proofErr w:type="spellEnd"/>
      <w:r w:rsidRPr="006B0173">
        <w:rPr>
          <w:rFonts w:ascii="Arial" w:eastAsia="Times New Roman" w:hAnsi="Arial" w:cs="Arial"/>
          <w:i/>
          <w:iCs/>
          <w:color w:val="000000"/>
          <w:sz w:val="24"/>
          <w:szCs w:val="24"/>
          <w:lang w:eastAsia="en-GB"/>
        </w:rPr>
        <w:t xml:space="preserve"> Incapax: Why Do We Hold Our 10 Year Olds to Have Criminal Responsibility</w:t>
      </w:r>
      <w:r w:rsidRPr="006B0173">
        <w:rPr>
          <w:rFonts w:ascii="Arial" w:eastAsia="Times New Roman" w:hAnsi="Arial" w:cs="Arial"/>
          <w:color w:val="000000"/>
          <w:sz w:val="24"/>
          <w:szCs w:val="24"/>
          <w:lang w:eastAsia="en-GB"/>
        </w:rPr>
        <w:t xml:space="preserve">. Hodge Jones &amp; Allen. Available at: </w:t>
      </w:r>
      <w:hyperlink r:id="rId37" w:history="1">
        <w:r w:rsidRPr="006B0173">
          <w:rPr>
            <w:rFonts w:ascii="Arial" w:eastAsia="Times New Roman" w:hAnsi="Arial" w:cs="Arial"/>
            <w:color w:val="1155CC"/>
            <w:sz w:val="24"/>
            <w:szCs w:val="24"/>
            <w:u w:val="single"/>
            <w:lang w:eastAsia="en-GB"/>
          </w:rPr>
          <w:t>https://www.hja.net/expert-comments/opinion/general-crime/doli-incapax-why-do-we-hold-our-10-year-olds-to-have-criminal-responsibility/</w:t>
        </w:r>
      </w:hyperlink>
      <w:r w:rsidRPr="006B0173">
        <w:rPr>
          <w:rFonts w:ascii="Arial" w:eastAsia="Times New Roman" w:hAnsi="Arial" w:cs="Arial"/>
          <w:color w:val="000000"/>
          <w:sz w:val="24"/>
          <w:szCs w:val="24"/>
          <w:lang w:eastAsia="en-GB"/>
        </w:rPr>
        <w:t xml:space="preserve"> [Accessed 18 October 2021].</w:t>
      </w:r>
    </w:p>
    <w:p w14:paraId="1F0EE738" w14:textId="77777777" w:rsidR="003F4C24" w:rsidRPr="006B0173" w:rsidRDefault="003F4C24" w:rsidP="006B0173">
      <w:pPr>
        <w:spacing w:after="0" w:line="480" w:lineRule="auto"/>
        <w:textAlignment w:val="baseline"/>
        <w:rPr>
          <w:rFonts w:ascii="Arial" w:eastAsia="Times New Roman" w:hAnsi="Arial" w:cs="Arial"/>
          <w:color w:val="000000"/>
          <w:sz w:val="24"/>
          <w:szCs w:val="24"/>
          <w:lang w:eastAsia="en-GB"/>
        </w:rPr>
      </w:pPr>
    </w:p>
    <w:p w14:paraId="0B3762F2" w14:textId="32958981" w:rsidR="00D50115" w:rsidRPr="006B0173" w:rsidRDefault="003F4C24" w:rsidP="006B0173">
      <w:pPr>
        <w:numPr>
          <w:ilvl w:val="0"/>
          <w:numId w:val="30"/>
        </w:numPr>
        <w:spacing w:after="0" w:line="480" w:lineRule="auto"/>
        <w:textAlignment w:val="baseline"/>
        <w:rPr>
          <w:rFonts w:ascii="Arial" w:eastAsia="Times New Roman" w:hAnsi="Arial" w:cs="Arial"/>
          <w:color w:val="000000"/>
          <w:sz w:val="24"/>
          <w:szCs w:val="24"/>
          <w:lang w:eastAsia="en-GB"/>
        </w:rPr>
      </w:pPr>
      <w:proofErr w:type="spellStart"/>
      <w:r w:rsidRPr="006B0173">
        <w:rPr>
          <w:rFonts w:ascii="Arial" w:hAnsi="Arial" w:cs="Arial"/>
          <w:color w:val="000000"/>
          <w:sz w:val="24"/>
          <w:szCs w:val="24"/>
        </w:rPr>
        <w:t>Pidd</w:t>
      </w:r>
      <w:proofErr w:type="spellEnd"/>
      <w:r w:rsidRPr="006B0173">
        <w:rPr>
          <w:rFonts w:ascii="Arial" w:hAnsi="Arial" w:cs="Arial"/>
          <w:color w:val="000000"/>
          <w:sz w:val="24"/>
          <w:szCs w:val="24"/>
        </w:rPr>
        <w:t xml:space="preserve">, H. (2020). </w:t>
      </w:r>
      <w:r w:rsidRPr="006B0173">
        <w:rPr>
          <w:rFonts w:ascii="Arial" w:hAnsi="Arial" w:cs="Arial"/>
          <w:i/>
          <w:iCs/>
          <w:color w:val="000000"/>
          <w:sz w:val="24"/>
          <w:szCs w:val="24"/>
        </w:rPr>
        <w:t>MPs Call for Review of Age of Criminal Responsibility in England and Wales</w:t>
      </w:r>
      <w:r w:rsidRPr="006B0173">
        <w:rPr>
          <w:rFonts w:ascii="Arial" w:hAnsi="Arial" w:cs="Arial"/>
          <w:color w:val="000000"/>
          <w:sz w:val="24"/>
          <w:szCs w:val="24"/>
        </w:rPr>
        <w:t xml:space="preserve">. [online] Guardian. [online] Available at: </w:t>
      </w:r>
      <w:hyperlink r:id="rId38" w:history="1">
        <w:r w:rsidRPr="006B0173">
          <w:rPr>
            <w:rStyle w:val="Hyperlink"/>
            <w:rFonts w:ascii="Arial" w:hAnsi="Arial" w:cs="Arial"/>
            <w:color w:val="1155CC"/>
            <w:sz w:val="24"/>
            <w:szCs w:val="24"/>
          </w:rPr>
          <w:t>https://www.theguardian.com/society/2020/nov/12/review-age-criminal-responsibility-england-and-wales</w:t>
        </w:r>
      </w:hyperlink>
      <w:r w:rsidRPr="006B0173">
        <w:rPr>
          <w:rFonts w:ascii="Arial" w:hAnsi="Arial" w:cs="Arial"/>
          <w:color w:val="000000"/>
          <w:sz w:val="24"/>
          <w:szCs w:val="24"/>
        </w:rPr>
        <w:t xml:space="preserve"> [Accessed 18 October 2021].</w:t>
      </w:r>
      <w:r w:rsidR="00D50115" w:rsidRPr="006B0173">
        <w:rPr>
          <w:rFonts w:ascii="Arial" w:eastAsia="Times New Roman" w:hAnsi="Arial" w:cs="Arial"/>
          <w:sz w:val="24"/>
          <w:szCs w:val="24"/>
          <w:lang w:eastAsia="en-GB"/>
        </w:rPr>
        <w:br/>
      </w:r>
    </w:p>
    <w:p w14:paraId="6F50F3DD" w14:textId="0D4427DD" w:rsidR="00D50115" w:rsidRPr="006B0173" w:rsidRDefault="00D50115" w:rsidP="006B0173">
      <w:pPr>
        <w:numPr>
          <w:ilvl w:val="0"/>
          <w:numId w:val="31"/>
        </w:numPr>
        <w:spacing w:after="0" w:line="480" w:lineRule="auto"/>
        <w:textAlignment w:val="baseline"/>
        <w:rPr>
          <w:rFonts w:ascii="Arial" w:eastAsia="Times New Roman" w:hAnsi="Arial" w:cs="Arial"/>
          <w:color w:val="000000"/>
          <w:sz w:val="24"/>
          <w:szCs w:val="24"/>
          <w:lang w:eastAsia="en-GB"/>
        </w:rPr>
      </w:pPr>
      <w:proofErr w:type="spellStart"/>
      <w:r w:rsidRPr="006B0173">
        <w:rPr>
          <w:rFonts w:ascii="Arial" w:eastAsia="Times New Roman" w:hAnsi="Arial" w:cs="Arial"/>
          <w:color w:val="000000"/>
          <w:sz w:val="24"/>
          <w:szCs w:val="24"/>
          <w:lang w:eastAsia="en-GB"/>
        </w:rPr>
        <w:t>Pierpoint</w:t>
      </w:r>
      <w:proofErr w:type="spellEnd"/>
      <w:r w:rsidRPr="006B0173">
        <w:rPr>
          <w:rFonts w:ascii="Arial" w:eastAsia="Times New Roman" w:hAnsi="Arial" w:cs="Arial"/>
          <w:color w:val="000000"/>
          <w:sz w:val="24"/>
          <w:szCs w:val="24"/>
          <w:lang w:eastAsia="en-GB"/>
        </w:rPr>
        <w:t xml:space="preserve">, H. (2020). </w:t>
      </w:r>
      <w:r w:rsidRPr="006B0173">
        <w:rPr>
          <w:rFonts w:ascii="Arial" w:eastAsia="Times New Roman" w:hAnsi="Arial" w:cs="Arial"/>
          <w:i/>
          <w:iCs/>
          <w:color w:val="000000"/>
          <w:sz w:val="24"/>
          <w:szCs w:val="24"/>
          <w:lang w:eastAsia="en-GB"/>
        </w:rPr>
        <w:t>Age of Criminal Responsibility.</w:t>
      </w:r>
      <w:r w:rsidRPr="006B0173">
        <w:rPr>
          <w:rFonts w:ascii="Arial" w:eastAsia="Times New Roman" w:hAnsi="Arial" w:cs="Arial"/>
          <w:color w:val="000000"/>
          <w:sz w:val="24"/>
          <w:szCs w:val="24"/>
          <w:lang w:eastAsia="en-GB"/>
        </w:rPr>
        <w:t xml:space="preserve"> [</w:t>
      </w:r>
      <w:proofErr w:type="spellStart"/>
      <w:r w:rsidRPr="006B0173">
        <w:rPr>
          <w:rFonts w:ascii="Arial" w:eastAsia="Times New Roman" w:hAnsi="Arial" w:cs="Arial"/>
          <w:color w:val="000000"/>
          <w:sz w:val="24"/>
          <w:szCs w:val="24"/>
          <w:lang w:eastAsia="en-GB"/>
        </w:rPr>
        <w:t>ebook</w:t>
      </w:r>
      <w:proofErr w:type="spellEnd"/>
      <w:r w:rsidRPr="006B0173">
        <w:rPr>
          <w:rFonts w:ascii="Arial" w:eastAsia="Times New Roman" w:hAnsi="Arial" w:cs="Arial"/>
          <w:color w:val="000000"/>
          <w:sz w:val="24"/>
          <w:szCs w:val="24"/>
          <w:lang w:eastAsia="en-GB"/>
        </w:rPr>
        <w:t xml:space="preserve">] The British Academy. Available at: </w:t>
      </w:r>
      <w:hyperlink r:id="rId39" w:history="1">
        <w:r w:rsidRPr="006B0173">
          <w:rPr>
            <w:rFonts w:ascii="Arial" w:eastAsia="Times New Roman" w:hAnsi="Arial" w:cs="Arial"/>
            <w:color w:val="1155CC"/>
            <w:sz w:val="24"/>
            <w:szCs w:val="24"/>
            <w:u w:val="single"/>
            <w:lang w:eastAsia="en-GB"/>
          </w:rPr>
          <w:t>https://medium.com/reframing-childhood-past-and-present/age-of-criminal-responsibility-1e7714db9c1c</w:t>
        </w:r>
      </w:hyperlink>
      <w:r w:rsidRPr="006B0173">
        <w:rPr>
          <w:rFonts w:ascii="Arial" w:eastAsia="Times New Roman" w:hAnsi="Arial" w:cs="Arial"/>
          <w:color w:val="000000"/>
          <w:sz w:val="24"/>
          <w:szCs w:val="24"/>
          <w:lang w:eastAsia="en-GB"/>
        </w:rPr>
        <w:t xml:space="preserve"> [Accessed 18 October 2021].</w:t>
      </w:r>
    </w:p>
    <w:p w14:paraId="0AB9FB6A" w14:textId="77777777" w:rsidR="00E313F8" w:rsidRPr="006B0173" w:rsidRDefault="00E313F8" w:rsidP="006B0173">
      <w:pPr>
        <w:spacing w:after="0" w:line="480" w:lineRule="auto"/>
        <w:textAlignment w:val="baseline"/>
        <w:rPr>
          <w:rFonts w:ascii="Arial" w:eastAsia="Times New Roman" w:hAnsi="Arial" w:cs="Arial"/>
          <w:color w:val="000000"/>
          <w:sz w:val="24"/>
          <w:szCs w:val="24"/>
          <w:lang w:eastAsia="en-GB"/>
        </w:rPr>
      </w:pPr>
    </w:p>
    <w:p w14:paraId="543D1244" w14:textId="7D4EB765" w:rsidR="00E313F8" w:rsidRPr="006B0173" w:rsidRDefault="00E313F8" w:rsidP="006B0173">
      <w:pPr>
        <w:numPr>
          <w:ilvl w:val="0"/>
          <w:numId w:val="31"/>
        </w:numPr>
        <w:spacing w:after="0" w:line="480" w:lineRule="auto"/>
        <w:textAlignment w:val="baseline"/>
        <w:rPr>
          <w:rFonts w:ascii="Arial" w:eastAsia="Times New Roman" w:hAnsi="Arial" w:cs="Arial"/>
          <w:color w:val="000000"/>
          <w:sz w:val="24"/>
          <w:szCs w:val="24"/>
          <w:lang w:eastAsia="en-GB"/>
        </w:rPr>
      </w:pPr>
      <w:r w:rsidRPr="006B0173">
        <w:rPr>
          <w:rFonts w:ascii="Arial" w:hAnsi="Arial" w:cs="Arial"/>
          <w:color w:val="000000"/>
          <w:sz w:val="24"/>
          <w:szCs w:val="24"/>
        </w:rPr>
        <w:t xml:space="preserve">Sentencing Council. (2021). </w:t>
      </w:r>
      <w:r w:rsidRPr="006B0173">
        <w:rPr>
          <w:rFonts w:ascii="Arial" w:hAnsi="Arial" w:cs="Arial"/>
          <w:i/>
          <w:iCs/>
          <w:color w:val="000000"/>
          <w:sz w:val="24"/>
          <w:szCs w:val="24"/>
        </w:rPr>
        <w:t>Types of Sentences for Children and Young People</w:t>
      </w:r>
      <w:r w:rsidRPr="006B0173">
        <w:rPr>
          <w:rFonts w:ascii="Arial" w:hAnsi="Arial" w:cs="Arial"/>
          <w:color w:val="000000"/>
          <w:sz w:val="24"/>
          <w:szCs w:val="24"/>
        </w:rPr>
        <w:t xml:space="preserve">. [online] Sentencing Council. Available at: </w:t>
      </w:r>
      <w:hyperlink r:id="rId40" w:history="1">
        <w:r w:rsidRPr="006B0173">
          <w:rPr>
            <w:rFonts w:ascii="Arial" w:hAnsi="Arial" w:cs="Arial"/>
            <w:color w:val="1155CC"/>
            <w:sz w:val="24"/>
            <w:szCs w:val="24"/>
            <w:u w:val="single"/>
          </w:rPr>
          <w:t>https://www.sentencingcouncil.org.uk/sentencing-and-the-council/types-of-sentence/types-of-sentences-for-young-people/</w:t>
        </w:r>
      </w:hyperlink>
      <w:r w:rsidRPr="006B0173">
        <w:rPr>
          <w:rFonts w:ascii="Arial" w:hAnsi="Arial" w:cs="Arial"/>
          <w:color w:val="000000"/>
          <w:sz w:val="24"/>
          <w:szCs w:val="24"/>
        </w:rPr>
        <w:t xml:space="preserve"> [Accessed 29 October 2021].</w:t>
      </w:r>
    </w:p>
    <w:p w14:paraId="27BB8A34" w14:textId="77777777" w:rsidR="00D45181" w:rsidRPr="006B0173" w:rsidRDefault="00D45181" w:rsidP="006B0173">
      <w:pPr>
        <w:pStyle w:val="ListParagraph"/>
        <w:spacing w:line="480" w:lineRule="auto"/>
        <w:rPr>
          <w:rFonts w:ascii="Arial" w:eastAsia="Times New Roman" w:hAnsi="Arial" w:cs="Arial"/>
          <w:color w:val="000000"/>
          <w:sz w:val="24"/>
          <w:szCs w:val="24"/>
          <w:lang w:eastAsia="en-GB"/>
        </w:rPr>
      </w:pPr>
    </w:p>
    <w:p w14:paraId="43AC029D" w14:textId="77777777" w:rsidR="00D45181" w:rsidRPr="006B0173" w:rsidRDefault="00D45181" w:rsidP="006B0173">
      <w:pPr>
        <w:pStyle w:val="NormalWeb"/>
        <w:numPr>
          <w:ilvl w:val="0"/>
          <w:numId w:val="31"/>
        </w:numPr>
        <w:spacing w:before="0" w:beforeAutospacing="0" w:after="0" w:afterAutospacing="0" w:line="480" w:lineRule="auto"/>
        <w:textAlignment w:val="baseline"/>
        <w:rPr>
          <w:rFonts w:ascii="Arial" w:hAnsi="Arial" w:cs="Arial"/>
          <w:color w:val="000000"/>
        </w:rPr>
      </w:pPr>
      <w:r w:rsidRPr="006B0173">
        <w:rPr>
          <w:rFonts w:ascii="Arial" w:hAnsi="Arial" w:cs="Arial"/>
          <w:color w:val="000000"/>
        </w:rPr>
        <w:t xml:space="preserve">Sentencing Council. (2017). </w:t>
      </w:r>
      <w:r w:rsidRPr="006B0173">
        <w:rPr>
          <w:rFonts w:ascii="Arial" w:hAnsi="Arial" w:cs="Arial"/>
          <w:i/>
          <w:iCs/>
          <w:color w:val="000000"/>
        </w:rPr>
        <w:t>Sentencing Children and Young People</w:t>
      </w:r>
      <w:r w:rsidRPr="006B0173">
        <w:rPr>
          <w:rFonts w:ascii="Arial" w:hAnsi="Arial" w:cs="Arial"/>
          <w:color w:val="000000"/>
        </w:rPr>
        <w:t xml:space="preserve">. [online] Sentencing Council. Available at: </w:t>
      </w:r>
      <w:hyperlink r:id="rId41" w:history="1">
        <w:r w:rsidRPr="006B0173">
          <w:rPr>
            <w:rStyle w:val="Hyperlink"/>
            <w:rFonts w:ascii="Arial" w:hAnsi="Arial" w:cs="Arial"/>
            <w:color w:val="1155CC"/>
          </w:rPr>
          <w:t>https://www.sentencingcouncil.org.uk/overarching-guides/magistrates-</w:t>
        </w:r>
        <w:r w:rsidRPr="006B0173">
          <w:rPr>
            <w:rStyle w:val="Hyperlink"/>
            <w:rFonts w:ascii="Arial" w:hAnsi="Arial" w:cs="Arial"/>
            <w:color w:val="1155CC"/>
          </w:rPr>
          <w:lastRenderedPageBreak/>
          <w:t>court/item/sentencing-children-and-young-people/</w:t>
        </w:r>
      </w:hyperlink>
      <w:r w:rsidRPr="006B0173">
        <w:rPr>
          <w:rFonts w:ascii="Arial" w:hAnsi="Arial" w:cs="Arial"/>
          <w:color w:val="000000"/>
        </w:rPr>
        <w:t xml:space="preserve"> [Accessed 29 October 2021].</w:t>
      </w:r>
    </w:p>
    <w:p w14:paraId="38ED0E36" w14:textId="77777777" w:rsidR="00D45181" w:rsidRPr="006B0173" w:rsidRDefault="00D45181" w:rsidP="006B0173">
      <w:pPr>
        <w:pStyle w:val="ListParagraph"/>
        <w:spacing w:line="480" w:lineRule="auto"/>
        <w:rPr>
          <w:rFonts w:ascii="Arial" w:hAnsi="Arial" w:cs="Arial"/>
          <w:color w:val="000000"/>
          <w:sz w:val="24"/>
          <w:szCs w:val="24"/>
        </w:rPr>
      </w:pPr>
    </w:p>
    <w:p w14:paraId="4FDE8C5C" w14:textId="5A45AFEA" w:rsidR="00D45181" w:rsidRPr="006B0173" w:rsidRDefault="00D45181" w:rsidP="006B0173">
      <w:pPr>
        <w:pStyle w:val="NormalWeb"/>
        <w:numPr>
          <w:ilvl w:val="0"/>
          <w:numId w:val="31"/>
        </w:numPr>
        <w:spacing w:before="0" w:beforeAutospacing="0" w:after="0" w:afterAutospacing="0" w:line="480" w:lineRule="auto"/>
        <w:textAlignment w:val="baseline"/>
        <w:rPr>
          <w:rFonts w:ascii="Arial" w:hAnsi="Arial" w:cs="Arial"/>
          <w:color w:val="000000"/>
        </w:rPr>
      </w:pPr>
      <w:r w:rsidRPr="006B0173">
        <w:rPr>
          <w:rFonts w:ascii="Arial" w:hAnsi="Arial" w:cs="Arial"/>
          <w:color w:val="000000"/>
        </w:rPr>
        <w:t xml:space="preserve">Stephenson, J. (2017). </w:t>
      </w:r>
      <w:r w:rsidRPr="006B0173">
        <w:rPr>
          <w:rFonts w:ascii="Arial" w:hAnsi="Arial" w:cs="Arial"/>
          <w:i/>
          <w:iCs/>
          <w:color w:val="000000"/>
        </w:rPr>
        <w:t>Youth Courts: A Problem-Solving Approach</w:t>
      </w:r>
      <w:r w:rsidRPr="006B0173">
        <w:rPr>
          <w:rFonts w:ascii="Arial" w:hAnsi="Arial" w:cs="Arial"/>
          <w:color w:val="000000"/>
        </w:rPr>
        <w:t xml:space="preserve">. [online] Available at: </w:t>
      </w:r>
      <w:hyperlink r:id="rId42" w:history="1">
        <w:r w:rsidRPr="006B0173">
          <w:rPr>
            <w:rStyle w:val="Hyperlink"/>
            <w:rFonts w:ascii="Arial" w:hAnsi="Arial" w:cs="Arial"/>
            <w:color w:val="1155CC"/>
          </w:rPr>
          <w:t>https://www.cypnow.co.uk/features/article/youth-courts-a-problem-solving-approach</w:t>
        </w:r>
      </w:hyperlink>
      <w:r w:rsidRPr="006B0173">
        <w:rPr>
          <w:rFonts w:ascii="Arial" w:hAnsi="Arial" w:cs="Arial"/>
          <w:color w:val="000000"/>
        </w:rPr>
        <w:t xml:space="preserve"> [Accessed 29 October 2021].</w:t>
      </w:r>
    </w:p>
    <w:p w14:paraId="7BC7C4AC" w14:textId="77777777" w:rsidR="00825C33" w:rsidRPr="006B0173" w:rsidRDefault="00825C33" w:rsidP="006B0173">
      <w:pPr>
        <w:pStyle w:val="ListParagraph"/>
        <w:spacing w:line="480" w:lineRule="auto"/>
        <w:rPr>
          <w:rFonts w:ascii="Arial" w:hAnsi="Arial" w:cs="Arial"/>
          <w:color w:val="000000"/>
          <w:sz w:val="24"/>
          <w:szCs w:val="24"/>
        </w:rPr>
      </w:pPr>
    </w:p>
    <w:p w14:paraId="3E7A7ADA" w14:textId="1B2E0CDE" w:rsidR="00825C33" w:rsidRPr="006B0173" w:rsidRDefault="00825C33" w:rsidP="006B0173">
      <w:pPr>
        <w:pStyle w:val="NormalWeb"/>
        <w:numPr>
          <w:ilvl w:val="0"/>
          <w:numId w:val="31"/>
        </w:numPr>
        <w:spacing w:before="0" w:beforeAutospacing="0" w:after="0" w:afterAutospacing="0" w:line="480" w:lineRule="auto"/>
        <w:textAlignment w:val="baseline"/>
        <w:rPr>
          <w:rFonts w:ascii="Arial" w:hAnsi="Arial" w:cs="Arial"/>
          <w:color w:val="000000"/>
        </w:rPr>
      </w:pPr>
      <w:proofErr w:type="spellStart"/>
      <w:r w:rsidRPr="006B0173">
        <w:rPr>
          <w:rFonts w:ascii="Arial" w:eastAsiaTheme="minorHAnsi" w:hAnsi="Arial" w:cs="Arial"/>
          <w:color w:val="000000"/>
          <w:lang w:eastAsia="en-US"/>
        </w:rPr>
        <w:t>Unicef</w:t>
      </w:r>
      <w:proofErr w:type="spellEnd"/>
      <w:r w:rsidRPr="006B0173">
        <w:rPr>
          <w:rFonts w:ascii="Arial" w:eastAsiaTheme="minorHAnsi" w:hAnsi="Arial" w:cs="Arial"/>
          <w:color w:val="000000"/>
          <w:lang w:eastAsia="en-US"/>
        </w:rPr>
        <w:t xml:space="preserve">. (2020). </w:t>
      </w:r>
      <w:r w:rsidRPr="006B0173">
        <w:rPr>
          <w:rFonts w:ascii="Arial" w:eastAsiaTheme="minorHAnsi" w:hAnsi="Arial" w:cs="Arial"/>
          <w:i/>
          <w:iCs/>
          <w:color w:val="000000"/>
          <w:lang w:eastAsia="en-US"/>
        </w:rPr>
        <w:t>A Rights-Based Analysis of Youth Justice in the United Kingdom: Report and Recommendations</w:t>
      </w:r>
      <w:r w:rsidRPr="006B0173">
        <w:rPr>
          <w:rFonts w:ascii="Arial" w:eastAsiaTheme="minorHAnsi" w:hAnsi="Arial" w:cs="Arial"/>
          <w:color w:val="000000"/>
          <w:lang w:eastAsia="en-US"/>
        </w:rPr>
        <w:t>. [</w:t>
      </w:r>
      <w:proofErr w:type="spellStart"/>
      <w:r w:rsidRPr="006B0173">
        <w:rPr>
          <w:rFonts w:ascii="Arial" w:eastAsiaTheme="minorHAnsi" w:hAnsi="Arial" w:cs="Arial"/>
          <w:color w:val="000000"/>
          <w:lang w:eastAsia="en-US"/>
        </w:rPr>
        <w:t>ebook</w:t>
      </w:r>
      <w:proofErr w:type="spellEnd"/>
      <w:r w:rsidRPr="006B0173">
        <w:rPr>
          <w:rFonts w:ascii="Arial" w:eastAsiaTheme="minorHAnsi" w:hAnsi="Arial" w:cs="Arial"/>
          <w:color w:val="000000"/>
          <w:lang w:eastAsia="en-US"/>
        </w:rPr>
        <w:t xml:space="preserve">] London: </w:t>
      </w:r>
      <w:proofErr w:type="spellStart"/>
      <w:r w:rsidRPr="006B0173">
        <w:rPr>
          <w:rFonts w:ascii="Arial" w:eastAsiaTheme="minorHAnsi" w:hAnsi="Arial" w:cs="Arial"/>
          <w:color w:val="000000"/>
          <w:lang w:eastAsia="en-US"/>
        </w:rPr>
        <w:t>Unicef</w:t>
      </w:r>
      <w:proofErr w:type="spellEnd"/>
      <w:r w:rsidRPr="006B0173">
        <w:rPr>
          <w:rFonts w:ascii="Arial" w:eastAsiaTheme="minorHAnsi" w:hAnsi="Arial" w:cs="Arial"/>
          <w:color w:val="000000"/>
          <w:lang w:eastAsia="en-US"/>
        </w:rPr>
        <w:t xml:space="preserve">. Available at: </w:t>
      </w:r>
      <w:hyperlink r:id="rId43" w:history="1">
        <w:r w:rsidRPr="006B0173">
          <w:rPr>
            <w:rFonts w:ascii="Arial" w:eastAsiaTheme="minorHAnsi" w:hAnsi="Arial" w:cs="Arial"/>
            <w:color w:val="1155CC"/>
            <w:u w:val="single"/>
            <w:lang w:eastAsia="en-US"/>
          </w:rPr>
          <w:t>https://www.unicef.org.uk/wp-content/uploads/2020/12/UnicefUK_YouthJusticeReport2020_screen.pdf</w:t>
        </w:r>
      </w:hyperlink>
      <w:r w:rsidRPr="006B0173">
        <w:rPr>
          <w:rFonts w:ascii="Arial" w:eastAsiaTheme="minorHAnsi" w:hAnsi="Arial" w:cs="Arial"/>
          <w:color w:val="000000"/>
          <w:lang w:eastAsia="en-US"/>
        </w:rPr>
        <w:t xml:space="preserve"> [Accessed 29 October 2021].</w:t>
      </w:r>
    </w:p>
    <w:p w14:paraId="1ED2ACFC" w14:textId="77777777" w:rsidR="00D50115" w:rsidRPr="006B0173" w:rsidRDefault="00D50115" w:rsidP="006B0173">
      <w:pPr>
        <w:spacing w:after="0" w:line="480" w:lineRule="auto"/>
        <w:textAlignment w:val="baseline"/>
        <w:rPr>
          <w:rFonts w:ascii="Arial" w:eastAsia="Times New Roman" w:hAnsi="Arial" w:cs="Arial"/>
          <w:color w:val="000000"/>
          <w:sz w:val="24"/>
          <w:szCs w:val="24"/>
          <w:lang w:eastAsia="en-GB"/>
        </w:rPr>
      </w:pPr>
    </w:p>
    <w:p w14:paraId="01BD9D64" w14:textId="33361BD6" w:rsidR="00D50115" w:rsidRPr="006B0173" w:rsidRDefault="00D50115" w:rsidP="006B0173">
      <w:pPr>
        <w:pStyle w:val="ListParagraph"/>
        <w:numPr>
          <w:ilvl w:val="0"/>
          <w:numId w:val="31"/>
        </w:numPr>
        <w:spacing w:after="0" w:line="480" w:lineRule="auto"/>
        <w:rPr>
          <w:rFonts w:ascii="Arial" w:eastAsia="Times New Roman" w:hAnsi="Arial" w:cs="Arial"/>
          <w:sz w:val="24"/>
          <w:szCs w:val="24"/>
          <w:lang w:eastAsia="en-GB"/>
        </w:rPr>
      </w:pPr>
      <w:r w:rsidRPr="006B0173">
        <w:rPr>
          <w:rFonts w:ascii="Arial" w:eastAsia="Times New Roman" w:hAnsi="Arial" w:cs="Arial"/>
          <w:color w:val="000000"/>
          <w:sz w:val="24"/>
          <w:szCs w:val="24"/>
          <w:lang w:eastAsia="en-GB"/>
        </w:rPr>
        <w:t xml:space="preserve">United Nations. (2016). </w:t>
      </w:r>
      <w:r w:rsidRPr="006B0173">
        <w:rPr>
          <w:rFonts w:ascii="Arial" w:eastAsia="Times New Roman" w:hAnsi="Arial" w:cs="Arial"/>
          <w:i/>
          <w:iCs/>
          <w:color w:val="000000"/>
          <w:sz w:val="24"/>
          <w:szCs w:val="24"/>
          <w:lang w:eastAsia="en-GB"/>
        </w:rPr>
        <w:t>Convention on the Rights of the Child: Concluding Observations on the Fifth Periodic Report of the United Kingdom of Great Britain and Northern Ireland</w:t>
      </w:r>
      <w:r w:rsidRPr="006B0173">
        <w:rPr>
          <w:rFonts w:ascii="Arial" w:eastAsia="Times New Roman" w:hAnsi="Arial" w:cs="Arial"/>
          <w:color w:val="000000"/>
          <w:sz w:val="24"/>
          <w:szCs w:val="24"/>
          <w:lang w:eastAsia="en-GB"/>
        </w:rPr>
        <w:t xml:space="preserve">. United Nations. Available at: </w:t>
      </w:r>
      <w:hyperlink r:id="rId44" w:history="1">
        <w:r w:rsidRPr="006B0173">
          <w:rPr>
            <w:rFonts w:ascii="Arial" w:eastAsia="Times New Roman" w:hAnsi="Arial" w:cs="Arial"/>
            <w:color w:val="1155CC"/>
            <w:sz w:val="24"/>
            <w:szCs w:val="24"/>
            <w:u w:val="single"/>
            <w:lang w:eastAsia="en-GB"/>
          </w:rPr>
          <w:t>https://docstore.ohchr.org/SelfServices/FilesHandler.ashx?enc=6QkG1d%2FPPRiCAqhKb7yhskHOj6VpDS%2F%2FJqg2Jxb9gncnUyUgbnuttBweOlylfyYPkBbwffitW2JurgBRuMMxZqnGgerUdpjxij3uZ0bjQBOLNTNvQ9fUIEOvA5LtW0GL</w:t>
        </w:r>
      </w:hyperlink>
      <w:r w:rsidRPr="006B0173">
        <w:rPr>
          <w:rFonts w:ascii="Arial" w:eastAsia="Times New Roman" w:hAnsi="Arial" w:cs="Arial"/>
          <w:color w:val="000000"/>
          <w:sz w:val="24"/>
          <w:szCs w:val="24"/>
          <w:lang w:eastAsia="en-GB"/>
        </w:rPr>
        <w:t xml:space="preserve"> [Accessed 18 October 2021].</w:t>
      </w:r>
    </w:p>
    <w:sectPr w:rsidR="00D50115" w:rsidRPr="006B0173" w:rsidSect="00125AE2">
      <w:headerReference w:type="default" r:id="rId4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FEB82" w14:textId="77777777" w:rsidR="003A295D" w:rsidRDefault="003A295D" w:rsidP="00D10088">
      <w:pPr>
        <w:spacing w:after="0" w:line="240" w:lineRule="auto"/>
      </w:pPr>
      <w:r>
        <w:separator/>
      </w:r>
    </w:p>
  </w:endnote>
  <w:endnote w:type="continuationSeparator" w:id="0">
    <w:p w14:paraId="0DC37204" w14:textId="77777777" w:rsidR="003A295D" w:rsidRDefault="003A295D" w:rsidP="00D10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1E623" w14:textId="77777777" w:rsidR="003A295D" w:rsidRDefault="003A295D" w:rsidP="00D10088">
      <w:pPr>
        <w:spacing w:after="0" w:line="240" w:lineRule="auto"/>
      </w:pPr>
      <w:r>
        <w:separator/>
      </w:r>
    </w:p>
  </w:footnote>
  <w:footnote w:type="continuationSeparator" w:id="0">
    <w:p w14:paraId="062BA66E" w14:textId="77777777" w:rsidR="003A295D" w:rsidRDefault="003A295D" w:rsidP="00D100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49729" w14:textId="252F1D9E" w:rsidR="00125AE2" w:rsidRDefault="00125AE2">
    <w:pPr>
      <w:pStyle w:val="Header"/>
    </w:pPr>
    <w:r>
      <w:t>Callum Samuel (1801402)</w:t>
    </w:r>
    <w:r>
      <w:tab/>
    </w:r>
    <w:r>
      <w:tab/>
      <w:t>MA – Criminal Justice and Policing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57F2B"/>
    <w:multiLevelType w:val="multilevel"/>
    <w:tmpl w:val="E034B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5E213F"/>
    <w:multiLevelType w:val="multilevel"/>
    <w:tmpl w:val="33B65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172F24"/>
    <w:multiLevelType w:val="multilevel"/>
    <w:tmpl w:val="8ADCB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552476"/>
    <w:multiLevelType w:val="multilevel"/>
    <w:tmpl w:val="0986A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B70CCF"/>
    <w:multiLevelType w:val="multilevel"/>
    <w:tmpl w:val="4218E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C213F8"/>
    <w:multiLevelType w:val="multilevel"/>
    <w:tmpl w:val="65C80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870204"/>
    <w:multiLevelType w:val="multilevel"/>
    <w:tmpl w:val="2068B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3C6F60"/>
    <w:multiLevelType w:val="multilevel"/>
    <w:tmpl w:val="25F0D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865DD9"/>
    <w:multiLevelType w:val="multilevel"/>
    <w:tmpl w:val="463A8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B8442E"/>
    <w:multiLevelType w:val="multilevel"/>
    <w:tmpl w:val="9912C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3670D2"/>
    <w:multiLevelType w:val="multilevel"/>
    <w:tmpl w:val="09DC8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B9514B"/>
    <w:multiLevelType w:val="multilevel"/>
    <w:tmpl w:val="EB1AF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E0569C"/>
    <w:multiLevelType w:val="multilevel"/>
    <w:tmpl w:val="D3982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CA1CB6"/>
    <w:multiLevelType w:val="multilevel"/>
    <w:tmpl w:val="4E8CA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EE15F5"/>
    <w:multiLevelType w:val="multilevel"/>
    <w:tmpl w:val="3420F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194C1C"/>
    <w:multiLevelType w:val="multilevel"/>
    <w:tmpl w:val="3FDE7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E70754"/>
    <w:multiLevelType w:val="multilevel"/>
    <w:tmpl w:val="AD983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F66A24"/>
    <w:multiLevelType w:val="multilevel"/>
    <w:tmpl w:val="50808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3C485A"/>
    <w:multiLevelType w:val="multilevel"/>
    <w:tmpl w:val="B15C8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B952BF"/>
    <w:multiLevelType w:val="multilevel"/>
    <w:tmpl w:val="3E049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A406BA"/>
    <w:multiLevelType w:val="multilevel"/>
    <w:tmpl w:val="7D8E4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465FAE"/>
    <w:multiLevelType w:val="multilevel"/>
    <w:tmpl w:val="AA400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CA24A4"/>
    <w:multiLevelType w:val="multilevel"/>
    <w:tmpl w:val="DA42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5209C3"/>
    <w:multiLevelType w:val="multilevel"/>
    <w:tmpl w:val="721E7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CD3D7A"/>
    <w:multiLevelType w:val="multilevel"/>
    <w:tmpl w:val="5D224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D53E95"/>
    <w:multiLevelType w:val="multilevel"/>
    <w:tmpl w:val="3F9C9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E30A50"/>
    <w:multiLevelType w:val="hybridMultilevel"/>
    <w:tmpl w:val="AF62D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643BD7"/>
    <w:multiLevelType w:val="multilevel"/>
    <w:tmpl w:val="D8D60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9763F3"/>
    <w:multiLevelType w:val="multilevel"/>
    <w:tmpl w:val="70108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066920"/>
    <w:multiLevelType w:val="multilevel"/>
    <w:tmpl w:val="741CE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BD67D0"/>
    <w:multiLevelType w:val="multilevel"/>
    <w:tmpl w:val="A426D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3D2D2C"/>
    <w:multiLevelType w:val="multilevel"/>
    <w:tmpl w:val="6DE09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EB3EEA"/>
    <w:multiLevelType w:val="multilevel"/>
    <w:tmpl w:val="B1849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23"/>
  </w:num>
  <w:num w:numId="3">
    <w:abstractNumId w:val="9"/>
  </w:num>
  <w:num w:numId="4">
    <w:abstractNumId w:val="24"/>
  </w:num>
  <w:num w:numId="5">
    <w:abstractNumId w:val="31"/>
  </w:num>
  <w:num w:numId="6">
    <w:abstractNumId w:val="5"/>
  </w:num>
  <w:num w:numId="7">
    <w:abstractNumId w:val="0"/>
  </w:num>
  <w:num w:numId="8">
    <w:abstractNumId w:val="7"/>
  </w:num>
  <w:num w:numId="9">
    <w:abstractNumId w:val="3"/>
  </w:num>
  <w:num w:numId="10">
    <w:abstractNumId w:val="1"/>
  </w:num>
  <w:num w:numId="11">
    <w:abstractNumId w:val="15"/>
  </w:num>
  <w:num w:numId="12">
    <w:abstractNumId w:val="18"/>
  </w:num>
  <w:num w:numId="13">
    <w:abstractNumId w:val="22"/>
  </w:num>
  <w:num w:numId="14">
    <w:abstractNumId w:val="4"/>
  </w:num>
  <w:num w:numId="15">
    <w:abstractNumId w:val="8"/>
  </w:num>
  <w:num w:numId="16">
    <w:abstractNumId w:val="28"/>
  </w:num>
  <w:num w:numId="17">
    <w:abstractNumId w:val="12"/>
  </w:num>
  <w:num w:numId="18">
    <w:abstractNumId w:val="11"/>
  </w:num>
  <w:num w:numId="19">
    <w:abstractNumId w:val="13"/>
  </w:num>
  <w:num w:numId="20">
    <w:abstractNumId w:val="32"/>
  </w:num>
  <w:num w:numId="21">
    <w:abstractNumId w:val="2"/>
  </w:num>
  <w:num w:numId="22">
    <w:abstractNumId w:val="21"/>
  </w:num>
  <w:num w:numId="23">
    <w:abstractNumId w:val="16"/>
  </w:num>
  <w:num w:numId="24">
    <w:abstractNumId w:val="14"/>
  </w:num>
  <w:num w:numId="25">
    <w:abstractNumId w:val="25"/>
  </w:num>
  <w:num w:numId="26">
    <w:abstractNumId w:val="17"/>
  </w:num>
  <w:num w:numId="27">
    <w:abstractNumId w:val="10"/>
  </w:num>
  <w:num w:numId="28">
    <w:abstractNumId w:val="27"/>
  </w:num>
  <w:num w:numId="29">
    <w:abstractNumId w:val="30"/>
  </w:num>
  <w:num w:numId="30">
    <w:abstractNumId w:val="6"/>
  </w:num>
  <w:num w:numId="31">
    <w:abstractNumId w:val="20"/>
  </w:num>
  <w:num w:numId="32">
    <w:abstractNumId w:val="29"/>
  </w:num>
  <w:num w:numId="3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906"/>
    <w:rsid w:val="000074B7"/>
    <w:rsid w:val="00020912"/>
    <w:rsid w:val="00060621"/>
    <w:rsid w:val="000D6A35"/>
    <w:rsid w:val="000F15E9"/>
    <w:rsid w:val="000F4E6C"/>
    <w:rsid w:val="00125AE2"/>
    <w:rsid w:val="001C1CBB"/>
    <w:rsid w:val="001F2997"/>
    <w:rsid w:val="001F6C13"/>
    <w:rsid w:val="0031408B"/>
    <w:rsid w:val="003408C7"/>
    <w:rsid w:val="003A295D"/>
    <w:rsid w:val="003F4C24"/>
    <w:rsid w:val="00482383"/>
    <w:rsid w:val="004A1D40"/>
    <w:rsid w:val="004F3CCC"/>
    <w:rsid w:val="00532C1D"/>
    <w:rsid w:val="00552AAE"/>
    <w:rsid w:val="0058575E"/>
    <w:rsid w:val="005E06F0"/>
    <w:rsid w:val="00611431"/>
    <w:rsid w:val="00634091"/>
    <w:rsid w:val="00684ACE"/>
    <w:rsid w:val="006B0173"/>
    <w:rsid w:val="006F3BBA"/>
    <w:rsid w:val="0079188F"/>
    <w:rsid w:val="007E132D"/>
    <w:rsid w:val="00825C33"/>
    <w:rsid w:val="009369DA"/>
    <w:rsid w:val="009A4658"/>
    <w:rsid w:val="009D0906"/>
    <w:rsid w:val="00A509DB"/>
    <w:rsid w:val="00AE2B0B"/>
    <w:rsid w:val="00B56D62"/>
    <w:rsid w:val="00BE02F2"/>
    <w:rsid w:val="00C030B8"/>
    <w:rsid w:val="00C038F2"/>
    <w:rsid w:val="00C34A8D"/>
    <w:rsid w:val="00D10088"/>
    <w:rsid w:val="00D45181"/>
    <w:rsid w:val="00D50115"/>
    <w:rsid w:val="00D612CF"/>
    <w:rsid w:val="00DE11BD"/>
    <w:rsid w:val="00E30FE8"/>
    <w:rsid w:val="00E313F8"/>
    <w:rsid w:val="00E612A9"/>
    <w:rsid w:val="00E80D49"/>
    <w:rsid w:val="00E94B04"/>
    <w:rsid w:val="00ED52AE"/>
    <w:rsid w:val="00ED7B31"/>
    <w:rsid w:val="00F1474D"/>
    <w:rsid w:val="00F165D1"/>
    <w:rsid w:val="00F87D34"/>
    <w:rsid w:val="00FE0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36EE9"/>
  <w15:chartTrackingRefBased/>
  <w15:docId w15:val="{59F7574E-D203-48C9-B383-AD4320037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0115"/>
    <w:pPr>
      <w:ind w:left="720"/>
      <w:contextualSpacing/>
    </w:pPr>
  </w:style>
  <w:style w:type="paragraph" w:styleId="Header">
    <w:name w:val="header"/>
    <w:basedOn w:val="Normal"/>
    <w:link w:val="HeaderChar"/>
    <w:uiPriority w:val="99"/>
    <w:unhideWhenUsed/>
    <w:rsid w:val="00D10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088"/>
  </w:style>
  <w:style w:type="paragraph" w:styleId="Footer">
    <w:name w:val="footer"/>
    <w:basedOn w:val="Normal"/>
    <w:link w:val="FooterChar"/>
    <w:uiPriority w:val="99"/>
    <w:unhideWhenUsed/>
    <w:rsid w:val="00D10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088"/>
  </w:style>
  <w:style w:type="character" w:styleId="Hyperlink">
    <w:name w:val="Hyperlink"/>
    <w:basedOn w:val="DefaultParagraphFont"/>
    <w:uiPriority w:val="99"/>
    <w:semiHidden/>
    <w:unhideWhenUsed/>
    <w:rsid w:val="003F4C24"/>
    <w:rPr>
      <w:color w:val="0000FF"/>
      <w:u w:val="single"/>
    </w:rPr>
  </w:style>
  <w:style w:type="paragraph" w:styleId="NoSpacing">
    <w:name w:val="No Spacing"/>
    <w:link w:val="NoSpacingChar"/>
    <w:uiPriority w:val="1"/>
    <w:qFormat/>
    <w:rsid w:val="007E13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132D"/>
    <w:rPr>
      <w:rFonts w:eastAsiaTheme="minorEastAsia"/>
      <w:lang w:val="en-US"/>
    </w:rPr>
  </w:style>
  <w:style w:type="paragraph" w:styleId="NormalWeb">
    <w:name w:val="Normal (Web)"/>
    <w:basedOn w:val="Normal"/>
    <w:uiPriority w:val="99"/>
    <w:unhideWhenUsed/>
    <w:rsid w:val="00D4518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805655">
      <w:bodyDiv w:val="1"/>
      <w:marLeft w:val="0"/>
      <w:marRight w:val="0"/>
      <w:marTop w:val="0"/>
      <w:marBottom w:val="0"/>
      <w:divBdr>
        <w:top w:val="none" w:sz="0" w:space="0" w:color="auto"/>
        <w:left w:val="none" w:sz="0" w:space="0" w:color="auto"/>
        <w:bottom w:val="none" w:sz="0" w:space="0" w:color="auto"/>
        <w:right w:val="none" w:sz="0" w:space="0" w:color="auto"/>
      </w:divBdr>
    </w:div>
    <w:div w:id="1664621464">
      <w:bodyDiv w:val="1"/>
      <w:marLeft w:val="0"/>
      <w:marRight w:val="0"/>
      <w:marTop w:val="0"/>
      <w:marBottom w:val="0"/>
      <w:divBdr>
        <w:top w:val="none" w:sz="0" w:space="0" w:color="auto"/>
        <w:left w:val="none" w:sz="0" w:space="0" w:color="auto"/>
        <w:bottom w:val="none" w:sz="0" w:space="0" w:color="auto"/>
        <w:right w:val="none" w:sz="0" w:space="0" w:color="auto"/>
      </w:divBdr>
    </w:div>
    <w:div w:id="1774476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ypnow.co.uk/opinion/article/youth-courts-offer-best-way-to-serve-young-offenders-needs" TargetMode="External"/><Relationship Id="rId18" Type="http://schemas.openxmlformats.org/officeDocument/2006/relationships/hyperlink" Target="https://www.legislation.gov.uk/ukpga/1969/54/contents" TargetMode="External"/><Relationship Id="rId26" Type="http://schemas.openxmlformats.org/officeDocument/2006/relationships/hyperlink" Target="https://pure.port.ac.uk/ws/portalfiles/portal/13541340/Ryukoku_64_92.pdf" TargetMode="External"/><Relationship Id="rId39" Type="http://schemas.openxmlformats.org/officeDocument/2006/relationships/hyperlink" Target="https://medium.com/reframing-childhood-past-and-present/age-of-criminal-responsibility-1e7714db9c1c" TargetMode="External"/><Relationship Id="rId21" Type="http://schemas.openxmlformats.org/officeDocument/2006/relationships/hyperlink" Target="https://www.legislation.gov.uk/ukpga/1998/37/contents" TargetMode="External"/><Relationship Id="rId34" Type="http://schemas.openxmlformats.org/officeDocument/2006/relationships/hyperlink" Target="https://www.lexology.com/library/detail.aspx?g=10d0295c-0ff5-49ec-bbac-8cfaa212f9bf" TargetMode="External"/><Relationship Id="rId42" Type="http://schemas.openxmlformats.org/officeDocument/2006/relationships/hyperlink" Target="https://www.cypnow.co.uk/features/article/youth-courts-a-problem-solving-approach" TargetMode="External"/><Relationship Id="rId47" Type="http://schemas.openxmlformats.org/officeDocument/2006/relationships/theme" Target="theme/theme1.xml"/><Relationship Id="rId7" Type="http://schemas.openxmlformats.org/officeDocument/2006/relationships/hyperlink" Target="https://thenayj.org.uk/wp-content/uploads/2019/02/NAYJ-Child-friendly-youth-justice-May-18.pdf" TargetMode="External"/><Relationship Id="rId2" Type="http://schemas.openxmlformats.org/officeDocument/2006/relationships/styles" Target="styles.xml"/><Relationship Id="rId16" Type="http://schemas.openxmlformats.org/officeDocument/2006/relationships/hyperlink" Target="https://www.ncbi.nlm.nih.gov/pmc/articles/PMC4525433/" TargetMode="External"/><Relationship Id="rId29" Type="http://schemas.openxmlformats.org/officeDocument/2006/relationships/hyperlink" Target="https://www.theguardian.com/society/2019/nov/04/age-of-criminal-responsibility-must-be-raised-say-exper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onfa.swan.ac.uk/Record/cronfa52705/Download/52705__16090__83bcd69ba5a246c8b80ebe26aa8bdf34.pdf" TargetMode="External"/><Relationship Id="rId24" Type="http://schemas.openxmlformats.org/officeDocument/2006/relationships/hyperlink" Target="https://assets.publishing.service.gov.uk/government/uploads/system/uploads/attachment_data/file/657822/SFR64_2017_Additional_Text.pdf" TargetMode="External"/><Relationship Id="rId32" Type="http://schemas.openxmlformats.org/officeDocument/2006/relationships/hyperlink" Target="https://www.basw.co.uk/system/files/resources/basw_24143-1_0.pdf" TargetMode="External"/><Relationship Id="rId37" Type="http://schemas.openxmlformats.org/officeDocument/2006/relationships/hyperlink" Target="https://www.hja.net/expert-comments/opinion/general-crime/doli-incapax-why-do-we-hold-our-10-year-olds-to-have-criminal-responsibility/" TargetMode="External"/><Relationship Id="rId40" Type="http://schemas.openxmlformats.org/officeDocument/2006/relationships/hyperlink" Target="https://www.sentencingcouncil.org.uk/sentencing-and-the-council/types-of-sentence/types-of-sentences-for-young-people/"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theconversation.com/the-james-bulger-case-should-not-set-the-age-of-criminal-responsibility-91342" TargetMode="External"/><Relationship Id="rId23" Type="http://schemas.openxmlformats.org/officeDocument/2006/relationships/hyperlink" Target="https://www.researchgate.net/publication/258200827_The_Minimum_Age_of_Criminal_Responsibility_A_Medico-Legal_Perspective" TargetMode="External"/><Relationship Id="rId28" Type="http://schemas.openxmlformats.org/officeDocument/2006/relationships/hyperlink" Target="https://www.britsoccrim.org/wp-content/uploads/2016/04/bscn-76-Gray.pdf" TargetMode="External"/><Relationship Id="rId36" Type="http://schemas.openxmlformats.org/officeDocument/2006/relationships/hyperlink" Target="https://strathprints.strath.ac.uk/44045/1/McDiarmid_An_age_of_complexity.pdf" TargetMode="External"/><Relationship Id="rId10" Type="http://schemas.openxmlformats.org/officeDocument/2006/relationships/hyperlink" Target="https://www.crimeandjustice.org.uk/publications/cjm/article/keeping-tough-appearances-age-criminal-responsibility" TargetMode="External"/><Relationship Id="rId19" Type="http://schemas.openxmlformats.org/officeDocument/2006/relationships/hyperlink" Target="https://criminaljusticealliance.org/wp-content/uploads/Age-of-Criminal-Responsibility-Bill-Lords-Second-Reading-080917.pdf" TargetMode="External"/><Relationship Id="rId31" Type="http://schemas.openxmlformats.org/officeDocument/2006/relationships/hyperlink" Target="http://howardleague.scot/news/2018/july/raising-bar-youth-justice-minimum-age-criminal-responsibility" TargetMode="External"/><Relationship Id="rId44" Type="http://schemas.openxmlformats.org/officeDocument/2006/relationships/hyperlink" Target="https://docstore.ohchr.org/SelfServices/FilesHandler.ashx?enc=6QkG1d%2FPPRiCAqhKb7yhskHOj6VpDS%2F%2FJqg2Jxb9gncnUyUgbnuttBweOlylfyYPkBbwffitW2JurgBRuMMxZqnGgerUdpjxij3uZ0bjQBOLNTNvQ9fUIEOvA5LtW0GL" TargetMode="External"/><Relationship Id="rId4" Type="http://schemas.openxmlformats.org/officeDocument/2006/relationships/webSettings" Target="webSettings.xml"/><Relationship Id="rId9" Type="http://schemas.openxmlformats.org/officeDocument/2006/relationships/hyperlink" Target="https://thenayj.org.uk/wp-content/uploads/2015/06/2012-The-Age-of-Criminal-responsibility.pdf" TargetMode="External"/><Relationship Id="rId14" Type="http://schemas.openxmlformats.org/officeDocument/2006/relationships/hyperlink" Target="https://theconversation.com/spalding-murders-must-not-be-used-to-justify-more-punitive-responses-to-young-offenders-67681" TargetMode="External"/><Relationship Id="rId22" Type="http://schemas.openxmlformats.org/officeDocument/2006/relationships/hyperlink" Target="https://archive.crin.org/en/home/ages/europe.html" TargetMode="External"/><Relationship Id="rId27" Type="http://schemas.openxmlformats.org/officeDocument/2006/relationships/hyperlink" Target="https://t2a.org.uk/wp-content/uploads/2011/09/Birmingham-University-Maturity-final-literature-review-report.pdf" TargetMode="External"/><Relationship Id="rId30" Type="http://schemas.openxmlformats.org/officeDocument/2006/relationships/hyperlink" Target="http://www.scra.gov.uk/wp-content/uploads/2016/03/Backgrounds-and-outcomes-for-children-aged-8-11-years-old-who-have-been-referred-for-offending.pdf" TargetMode="External"/><Relationship Id="rId35" Type="http://schemas.openxmlformats.org/officeDocument/2006/relationships/hyperlink" Target="https://journals.sagepub.com/doi/10.1177/1477370807077186" TargetMode="External"/><Relationship Id="rId43" Type="http://schemas.openxmlformats.org/officeDocument/2006/relationships/hyperlink" Target="https://www.unicef.org.uk/wp-content/uploads/2020/12/UnicefUK_YouthJusticeReport2020_screen.pdf" TargetMode="External"/><Relationship Id="rId8" Type="http://schemas.openxmlformats.org/officeDocument/2006/relationships/hyperlink" Target="https://www.ceeol.com/search/article-detail?id=107674" TargetMode="External"/><Relationship Id="rId3" Type="http://schemas.openxmlformats.org/officeDocument/2006/relationships/settings" Target="settings.xml"/><Relationship Id="rId12" Type="http://schemas.openxmlformats.org/officeDocument/2006/relationships/hyperlink" Target="https://link.springer.com/article/10.1007/s13384-019-00306-6" TargetMode="External"/><Relationship Id="rId17" Type="http://schemas.openxmlformats.org/officeDocument/2006/relationships/hyperlink" Target="https://www.legislation.gov.uk/ukpga/1963/37/contents" TargetMode="External"/><Relationship Id="rId25" Type="http://schemas.openxmlformats.org/officeDocument/2006/relationships/hyperlink" Target="https://pureadmin.qub.ac.uk/ws/portalfiles/portal/163931412/Ark_Feature_MACR.pdf" TargetMode="External"/><Relationship Id="rId33" Type="http://schemas.openxmlformats.org/officeDocument/2006/relationships/hyperlink" Target="https://www.ncbi.nlm.nih.gov/pmc/articles/PMC2892678/" TargetMode="External"/><Relationship Id="rId38" Type="http://schemas.openxmlformats.org/officeDocument/2006/relationships/hyperlink" Target="https://www.theguardian.com/society/2020/nov/12/review-age-criminal-responsibility-england-and-wales" TargetMode="External"/><Relationship Id="rId46" Type="http://schemas.openxmlformats.org/officeDocument/2006/relationships/fontTable" Target="fontTable.xml"/><Relationship Id="rId20" Type="http://schemas.openxmlformats.org/officeDocument/2006/relationships/hyperlink" Target="https://www.cps.gov.uk/crime-info/youth-crime" TargetMode="External"/><Relationship Id="rId41" Type="http://schemas.openxmlformats.org/officeDocument/2006/relationships/hyperlink" Target="https://www.sentencingcouncil.org.uk/overarching-guides/magistrates-court/item/sentencing-children-and-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579</TotalTime>
  <Pages>23</Pages>
  <Words>5379</Words>
  <Characters>30663</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Criminal Justice System, Youth Justice &amp; Prison Systems in England &amp; Wales – Assignment 1 Lecturer: Rhiannon Lloyd</dc:subject>
  <dc:creator>Callum Samuel – ID : 1801402</dc:creator>
  <cp:keywords/>
  <dc:description/>
  <cp:lastModifiedBy>Callum Rhys Samuel (1801402)</cp:lastModifiedBy>
  <cp:revision>43</cp:revision>
  <dcterms:created xsi:type="dcterms:W3CDTF">2021-10-28T15:57:00Z</dcterms:created>
  <dcterms:modified xsi:type="dcterms:W3CDTF">2021-11-05T22:35:00Z</dcterms:modified>
</cp:coreProperties>
</file>