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3A151" w14:textId="77777777" w:rsidR="0068137B" w:rsidRPr="00C210DD" w:rsidRDefault="0068137B" w:rsidP="00C210DD">
      <w:pPr>
        <w:spacing w:line="360" w:lineRule="auto"/>
        <w:jc w:val="center"/>
        <w:rPr>
          <w:rFonts w:ascii="Times New Roman" w:hAnsi="Times New Roman" w:cs="Times New Roman"/>
          <w:b/>
          <w:bCs/>
        </w:rPr>
      </w:pPr>
    </w:p>
    <w:p w14:paraId="2E1FD0C1" w14:textId="77777777" w:rsidR="0068137B" w:rsidRPr="00C210DD" w:rsidRDefault="0068137B" w:rsidP="00C210DD">
      <w:pPr>
        <w:spacing w:line="360" w:lineRule="auto"/>
        <w:jc w:val="center"/>
        <w:rPr>
          <w:rFonts w:ascii="Times New Roman" w:hAnsi="Times New Roman" w:cs="Times New Roman"/>
          <w:b/>
          <w:bCs/>
        </w:rPr>
      </w:pPr>
    </w:p>
    <w:p w14:paraId="1009849C" w14:textId="77777777" w:rsidR="0068137B" w:rsidRPr="00C210DD" w:rsidRDefault="0068137B" w:rsidP="00C210DD">
      <w:pPr>
        <w:spacing w:line="360" w:lineRule="auto"/>
        <w:jc w:val="center"/>
        <w:rPr>
          <w:rFonts w:ascii="Times New Roman" w:hAnsi="Times New Roman" w:cs="Times New Roman"/>
          <w:b/>
          <w:bCs/>
        </w:rPr>
      </w:pPr>
    </w:p>
    <w:p w14:paraId="6C6E6756" w14:textId="77777777" w:rsidR="0068137B" w:rsidRPr="00C210DD" w:rsidRDefault="0068137B" w:rsidP="00C210DD">
      <w:pPr>
        <w:spacing w:line="360" w:lineRule="auto"/>
        <w:jc w:val="center"/>
        <w:rPr>
          <w:rFonts w:ascii="Times New Roman" w:hAnsi="Times New Roman" w:cs="Times New Roman"/>
          <w:b/>
          <w:bCs/>
        </w:rPr>
      </w:pPr>
    </w:p>
    <w:p w14:paraId="465C1AE8" w14:textId="77777777" w:rsidR="0068137B" w:rsidRPr="00C210DD" w:rsidRDefault="0068137B" w:rsidP="00C210DD">
      <w:pPr>
        <w:spacing w:line="360" w:lineRule="auto"/>
        <w:jc w:val="center"/>
        <w:rPr>
          <w:rFonts w:ascii="Times New Roman" w:hAnsi="Times New Roman" w:cs="Times New Roman"/>
          <w:b/>
          <w:bCs/>
        </w:rPr>
      </w:pPr>
    </w:p>
    <w:p w14:paraId="2F9F2F15" w14:textId="77777777" w:rsidR="0068137B" w:rsidRPr="00C210DD" w:rsidRDefault="0068137B" w:rsidP="00C210DD">
      <w:pPr>
        <w:spacing w:line="360" w:lineRule="auto"/>
        <w:jc w:val="center"/>
        <w:rPr>
          <w:rFonts w:ascii="Times New Roman" w:hAnsi="Times New Roman" w:cs="Times New Roman"/>
          <w:b/>
          <w:bCs/>
        </w:rPr>
      </w:pPr>
    </w:p>
    <w:p w14:paraId="4910076E" w14:textId="77777777" w:rsidR="0068137B" w:rsidRPr="00C210DD" w:rsidRDefault="0068137B" w:rsidP="00C210DD">
      <w:pPr>
        <w:spacing w:line="360" w:lineRule="auto"/>
        <w:jc w:val="center"/>
        <w:rPr>
          <w:rFonts w:ascii="Times New Roman" w:hAnsi="Times New Roman" w:cs="Times New Roman"/>
          <w:b/>
          <w:bCs/>
        </w:rPr>
      </w:pPr>
    </w:p>
    <w:p w14:paraId="3D962E99" w14:textId="77777777" w:rsidR="0068137B" w:rsidRPr="00C210DD" w:rsidRDefault="0068137B" w:rsidP="00C210DD">
      <w:pPr>
        <w:spacing w:line="360" w:lineRule="auto"/>
        <w:jc w:val="center"/>
        <w:rPr>
          <w:rFonts w:ascii="Times New Roman" w:hAnsi="Times New Roman" w:cs="Times New Roman"/>
          <w:b/>
          <w:bCs/>
        </w:rPr>
      </w:pPr>
    </w:p>
    <w:p w14:paraId="542482CB" w14:textId="77777777" w:rsidR="0068137B" w:rsidRPr="00C210DD" w:rsidRDefault="0068137B" w:rsidP="00C210DD">
      <w:pPr>
        <w:spacing w:line="360" w:lineRule="auto"/>
        <w:jc w:val="center"/>
        <w:rPr>
          <w:rFonts w:ascii="Times New Roman" w:hAnsi="Times New Roman" w:cs="Times New Roman"/>
          <w:b/>
          <w:bCs/>
        </w:rPr>
      </w:pPr>
    </w:p>
    <w:p w14:paraId="71EA6794" w14:textId="4586818B" w:rsidR="00E7672F" w:rsidRPr="00C210DD" w:rsidRDefault="0068137B" w:rsidP="00C210DD">
      <w:pPr>
        <w:spacing w:line="360" w:lineRule="auto"/>
        <w:jc w:val="center"/>
        <w:rPr>
          <w:rFonts w:ascii="Times New Roman" w:hAnsi="Times New Roman" w:cs="Times New Roman"/>
          <w:b/>
          <w:bCs/>
        </w:rPr>
      </w:pPr>
      <w:r w:rsidRPr="00C210DD">
        <w:rPr>
          <w:rFonts w:ascii="Times New Roman" w:hAnsi="Times New Roman" w:cs="Times New Roman"/>
          <w:b/>
          <w:bCs/>
        </w:rPr>
        <w:t>A Case Study Report on Type 2 Diabetes: Understanding Blood Glucose Regulation, Cellular Metabolism, and the Impact of Lifestyle Interventions in Primary Care Practice</w:t>
      </w:r>
    </w:p>
    <w:p w14:paraId="4183D200" w14:textId="6B851BB6" w:rsidR="0068137B" w:rsidRPr="00C210DD" w:rsidRDefault="0068137B" w:rsidP="00C210DD">
      <w:pPr>
        <w:spacing w:line="360" w:lineRule="auto"/>
        <w:jc w:val="center"/>
        <w:rPr>
          <w:rFonts w:ascii="Times New Roman" w:hAnsi="Times New Roman" w:cs="Times New Roman"/>
          <w:b/>
          <w:bCs/>
        </w:rPr>
      </w:pPr>
      <w:r w:rsidRPr="00C210DD">
        <w:rPr>
          <w:rFonts w:ascii="Times New Roman" w:hAnsi="Times New Roman" w:cs="Times New Roman"/>
          <w:b/>
          <w:bCs/>
        </w:rPr>
        <w:t>Student name:</w:t>
      </w:r>
      <w:r w:rsidR="00D648AB">
        <w:rPr>
          <w:rFonts w:ascii="Times New Roman" w:hAnsi="Times New Roman" w:cs="Times New Roman"/>
          <w:b/>
          <w:bCs/>
        </w:rPr>
        <w:t xml:space="preserve">Luiza Maria </w:t>
      </w:r>
      <w:proofErr w:type="spellStart"/>
      <w:r w:rsidR="00D648AB">
        <w:rPr>
          <w:rFonts w:ascii="Times New Roman" w:hAnsi="Times New Roman" w:cs="Times New Roman"/>
          <w:b/>
          <w:bCs/>
        </w:rPr>
        <w:t>Trupita</w:t>
      </w:r>
      <w:proofErr w:type="spellEnd"/>
    </w:p>
    <w:p w14:paraId="32A4B70D" w14:textId="0153102C" w:rsidR="0068137B" w:rsidRDefault="0068137B" w:rsidP="00C210DD">
      <w:pPr>
        <w:spacing w:line="360" w:lineRule="auto"/>
        <w:jc w:val="center"/>
        <w:rPr>
          <w:rFonts w:ascii="Times New Roman" w:hAnsi="Times New Roman" w:cs="Times New Roman"/>
          <w:b/>
          <w:bCs/>
        </w:rPr>
      </w:pPr>
      <w:r w:rsidRPr="00C210DD">
        <w:rPr>
          <w:rFonts w:ascii="Times New Roman" w:hAnsi="Times New Roman" w:cs="Times New Roman"/>
          <w:b/>
          <w:bCs/>
        </w:rPr>
        <w:t>Student ID:</w:t>
      </w:r>
      <w:r w:rsidR="00D648AB">
        <w:rPr>
          <w:rFonts w:ascii="Times New Roman" w:hAnsi="Times New Roman" w:cs="Times New Roman"/>
          <w:b/>
          <w:bCs/>
        </w:rPr>
        <w:t>2428228</w:t>
      </w:r>
    </w:p>
    <w:p w14:paraId="1DBA137B" w14:textId="77777777" w:rsidR="00D648AB" w:rsidRPr="00C210DD" w:rsidRDefault="00D648AB" w:rsidP="00C210DD">
      <w:pPr>
        <w:spacing w:line="360" w:lineRule="auto"/>
        <w:jc w:val="center"/>
        <w:rPr>
          <w:rFonts w:ascii="Times New Roman" w:hAnsi="Times New Roman" w:cs="Times New Roman"/>
          <w:b/>
          <w:bCs/>
        </w:rPr>
      </w:pPr>
    </w:p>
    <w:p w14:paraId="693349DC" w14:textId="77777777" w:rsidR="0068137B" w:rsidRPr="00C210DD" w:rsidRDefault="0068137B" w:rsidP="00C210DD">
      <w:pPr>
        <w:spacing w:line="360" w:lineRule="auto"/>
        <w:jc w:val="center"/>
        <w:rPr>
          <w:rFonts w:ascii="Times New Roman" w:hAnsi="Times New Roman" w:cs="Times New Roman"/>
          <w:b/>
          <w:bCs/>
        </w:rPr>
      </w:pPr>
    </w:p>
    <w:p w14:paraId="3859C1D8" w14:textId="77777777" w:rsidR="0068137B" w:rsidRPr="00C210DD" w:rsidRDefault="0068137B" w:rsidP="00C210DD">
      <w:pPr>
        <w:spacing w:line="360" w:lineRule="auto"/>
        <w:jc w:val="center"/>
        <w:rPr>
          <w:rFonts w:ascii="Times New Roman" w:hAnsi="Times New Roman" w:cs="Times New Roman"/>
          <w:b/>
          <w:bCs/>
        </w:rPr>
      </w:pPr>
    </w:p>
    <w:p w14:paraId="310DD1E8" w14:textId="77777777" w:rsidR="0068137B" w:rsidRPr="00C210DD" w:rsidRDefault="0068137B" w:rsidP="00C210DD">
      <w:pPr>
        <w:spacing w:line="360" w:lineRule="auto"/>
        <w:jc w:val="center"/>
        <w:rPr>
          <w:rFonts w:ascii="Times New Roman" w:hAnsi="Times New Roman" w:cs="Times New Roman"/>
          <w:b/>
          <w:bCs/>
        </w:rPr>
      </w:pPr>
    </w:p>
    <w:p w14:paraId="336AF0C3" w14:textId="77777777" w:rsidR="0068137B" w:rsidRPr="00C210DD" w:rsidRDefault="0068137B" w:rsidP="00C210DD">
      <w:pPr>
        <w:spacing w:line="360" w:lineRule="auto"/>
        <w:jc w:val="center"/>
        <w:rPr>
          <w:rFonts w:ascii="Times New Roman" w:hAnsi="Times New Roman" w:cs="Times New Roman"/>
          <w:b/>
          <w:bCs/>
        </w:rPr>
      </w:pPr>
    </w:p>
    <w:p w14:paraId="1881730F" w14:textId="77777777" w:rsidR="0068137B" w:rsidRPr="00C210DD" w:rsidRDefault="0068137B" w:rsidP="00C210DD">
      <w:pPr>
        <w:spacing w:line="360" w:lineRule="auto"/>
        <w:jc w:val="center"/>
        <w:rPr>
          <w:rFonts w:ascii="Times New Roman" w:hAnsi="Times New Roman" w:cs="Times New Roman"/>
          <w:b/>
          <w:bCs/>
        </w:rPr>
      </w:pPr>
    </w:p>
    <w:p w14:paraId="485E995E" w14:textId="77777777" w:rsidR="0068137B" w:rsidRPr="00C210DD" w:rsidRDefault="0068137B" w:rsidP="00C210DD">
      <w:pPr>
        <w:spacing w:line="360" w:lineRule="auto"/>
        <w:jc w:val="center"/>
        <w:rPr>
          <w:rFonts w:ascii="Times New Roman" w:hAnsi="Times New Roman" w:cs="Times New Roman"/>
          <w:b/>
          <w:bCs/>
        </w:rPr>
      </w:pPr>
    </w:p>
    <w:p w14:paraId="436BB2B0" w14:textId="77777777" w:rsidR="0068137B" w:rsidRPr="00C210DD" w:rsidRDefault="0068137B" w:rsidP="00C210DD">
      <w:pPr>
        <w:spacing w:line="360" w:lineRule="auto"/>
        <w:jc w:val="center"/>
        <w:rPr>
          <w:rFonts w:ascii="Times New Roman" w:hAnsi="Times New Roman" w:cs="Times New Roman"/>
          <w:b/>
          <w:bCs/>
        </w:rPr>
      </w:pPr>
    </w:p>
    <w:p w14:paraId="0860B76C" w14:textId="77777777" w:rsidR="0068137B" w:rsidRPr="00C210DD" w:rsidRDefault="0068137B" w:rsidP="00C210DD">
      <w:pPr>
        <w:spacing w:line="360" w:lineRule="auto"/>
        <w:jc w:val="center"/>
        <w:rPr>
          <w:rFonts w:ascii="Times New Roman" w:hAnsi="Times New Roman" w:cs="Times New Roman"/>
          <w:b/>
          <w:bCs/>
        </w:rPr>
      </w:pPr>
    </w:p>
    <w:p w14:paraId="400F39E1" w14:textId="77777777" w:rsidR="0068137B" w:rsidRPr="00C210DD" w:rsidRDefault="0068137B" w:rsidP="00C210DD">
      <w:pPr>
        <w:spacing w:line="360" w:lineRule="auto"/>
        <w:jc w:val="center"/>
        <w:rPr>
          <w:rFonts w:ascii="Times New Roman" w:hAnsi="Times New Roman" w:cs="Times New Roman"/>
          <w:b/>
          <w:bCs/>
        </w:rPr>
      </w:pPr>
    </w:p>
    <w:p w14:paraId="739F8448" w14:textId="77777777" w:rsidR="0068137B" w:rsidRPr="00C210DD" w:rsidRDefault="0068137B" w:rsidP="00C210DD">
      <w:pPr>
        <w:spacing w:line="360" w:lineRule="auto"/>
        <w:jc w:val="center"/>
        <w:rPr>
          <w:rFonts w:ascii="Times New Roman" w:hAnsi="Times New Roman" w:cs="Times New Roman"/>
          <w:b/>
          <w:bCs/>
        </w:rPr>
      </w:pPr>
    </w:p>
    <w:p w14:paraId="7F03F411" w14:textId="77777777" w:rsidR="0068137B" w:rsidRPr="00C210DD" w:rsidRDefault="0068137B" w:rsidP="00C210DD">
      <w:pPr>
        <w:spacing w:line="360" w:lineRule="auto"/>
        <w:jc w:val="center"/>
        <w:rPr>
          <w:rFonts w:ascii="Times New Roman" w:hAnsi="Times New Roman" w:cs="Times New Roman"/>
          <w:b/>
          <w:bCs/>
        </w:rPr>
      </w:pPr>
    </w:p>
    <w:p w14:paraId="6D4C87A3" w14:textId="77777777" w:rsidR="0068137B" w:rsidRPr="00C210DD" w:rsidRDefault="0068137B" w:rsidP="00C210DD">
      <w:pPr>
        <w:spacing w:line="360" w:lineRule="auto"/>
        <w:jc w:val="center"/>
        <w:rPr>
          <w:rFonts w:ascii="Times New Roman" w:hAnsi="Times New Roman" w:cs="Times New Roman"/>
          <w:b/>
          <w:bCs/>
        </w:rPr>
      </w:pPr>
    </w:p>
    <w:p w14:paraId="102B8C9E" w14:textId="77777777" w:rsidR="0068137B" w:rsidRPr="00C210DD" w:rsidRDefault="0068137B" w:rsidP="00C210DD">
      <w:pPr>
        <w:spacing w:line="360" w:lineRule="auto"/>
        <w:jc w:val="center"/>
        <w:rPr>
          <w:rFonts w:ascii="Times New Roman" w:hAnsi="Times New Roman" w:cs="Times New Roman"/>
          <w:b/>
          <w:bCs/>
        </w:rPr>
      </w:pPr>
    </w:p>
    <w:p w14:paraId="2BEFBB01" w14:textId="77777777" w:rsidR="0068137B" w:rsidRPr="00C210DD" w:rsidRDefault="0068137B" w:rsidP="00C210DD">
      <w:pPr>
        <w:spacing w:line="360" w:lineRule="auto"/>
        <w:jc w:val="center"/>
        <w:rPr>
          <w:rFonts w:ascii="Times New Roman" w:hAnsi="Times New Roman" w:cs="Times New Roman"/>
          <w:b/>
          <w:bCs/>
        </w:rPr>
      </w:pPr>
    </w:p>
    <w:p w14:paraId="6E3841D7" w14:textId="77777777" w:rsidR="0068137B" w:rsidRPr="00C210DD" w:rsidRDefault="0068137B" w:rsidP="00C210DD">
      <w:pPr>
        <w:spacing w:line="360" w:lineRule="auto"/>
        <w:jc w:val="center"/>
        <w:rPr>
          <w:rFonts w:ascii="Times New Roman" w:hAnsi="Times New Roman" w:cs="Times New Roman"/>
          <w:b/>
          <w:bCs/>
        </w:rPr>
      </w:pPr>
    </w:p>
    <w:sdt>
      <w:sdtPr>
        <w:rPr>
          <w:rFonts w:ascii="Times New Roman" w:eastAsiaTheme="minorHAnsi" w:hAnsi="Times New Roman" w:cs="Times New Roman"/>
          <w:color w:val="auto"/>
          <w:kern w:val="2"/>
          <w:sz w:val="24"/>
          <w:szCs w:val="24"/>
          <w:lang w:val="en-GB"/>
          <w14:ligatures w14:val="standardContextual"/>
        </w:rPr>
        <w:id w:val="-916860282"/>
        <w:docPartObj>
          <w:docPartGallery w:val="Table of Contents"/>
          <w:docPartUnique/>
        </w:docPartObj>
      </w:sdtPr>
      <w:sdtEndPr>
        <w:rPr>
          <w:b/>
          <w:bCs/>
          <w:noProof/>
        </w:rPr>
      </w:sdtEndPr>
      <w:sdtContent>
        <w:p w14:paraId="13A2BBA2" w14:textId="7B4D6F22" w:rsidR="00C210DD" w:rsidRPr="00C210DD" w:rsidRDefault="00C210DD" w:rsidP="00C210DD">
          <w:pPr>
            <w:pStyle w:val="Titlucuprins"/>
            <w:spacing w:line="360" w:lineRule="auto"/>
            <w:rPr>
              <w:rFonts w:ascii="Times New Roman" w:hAnsi="Times New Roman" w:cs="Times New Roman"/>
              <w:sz w:val="24"/>
              <w:szCs w:val="24"/>
              <w:lang w:val="en-GB"/>
            </w:rPr>
          </w:pPr>
          <w:r w:rsidRPr="00C210DD">
            <w:rPr>
              <w:rFonts w:ascii="Times New Roman" w:hAnsi="Times New Roman" w:cs="Times New Roman"/>
              <w:sz w:val="24"/>
              <w:szCs w:val="24"/>
              <w:lang w:val="en-GB"/>
            </w:rPr>
            <w:t>Contents</w:t>
          </w:r>
        </w:p>
        <w:p w14:paraId="098B9BCF" w14:textId="427E4995" w:rsidR="00C210DD" w:rsidRDefault="00C210DD">
          <w:pPr>
            <w:pStyle w:val="Cuprins2"/>
            <w:tabs>
              <w:tab w:val="right" w:leader="dot" w:pos="9016"/>
            </w:tabs>
            <w:rPr>
              <w:rFonts w:eastAsiaTheme="minorEastAsia"/>
              <w:noProof/>
              <w:lang w:eastAsia="en-GB"/>
            </w:rPr>
          </w:pPr>
          <w:r w:rsidRPr="00C210DD">
            <w:rPr>
              <w:rFonts w:ascii="Times New Roman" w:hAnsi="Times New Roman" w:cs="Times New Roman"/>
            </w:rPr>
            <w:fldChar w:fldCharType="begin"/>
          </w:r>
          <w:r w:rsidRPr="00C210DD">
            <w:rPr>
              <w:rFonts w:ascii="Times New Roman" w:hAnsi="Times New Roman" w:cs="Times New Roman"/>
            </w:rPr>
            <w:instrText xml:space="preserve"> TOC \o "1-3" \h \z \u </w:instrText>
          </w:r>
          <w:r w:rsidRPr="00C210DD">
            <w:rPr>
              <w:rFonts w:ascii="Times New Roman" w:hAnsi="Times New Roman" w:cs="Times New Roman"/>
            </w:rPr>
            <w:fldChar w:fldCharType="separate"/>
          </w:r>
          <w:hyperlink w:anchor="_Toc222734104" w:history="1">
            <w:r w:rsidRPr="00770BF1">
              <w:rPr>
                <w:rStyle w:val="Hyperlink"/>
                <w:rFonts w:cs="Times New Roman"/>
                <w:noProof/>
              </w:rPr>
              <w:t>Introduction</w:t>
            </w:r>
            <w:r>
              <w:rPr>
                <w:noProof/>
                <w:webHidden/>
              </w:rPr>
              <w:tab/>
            </w:r>
            <w:r>
              <w:rPr>
                <w:noProof/>
                <w:webHidden/>
              </w:rPr>
              <w:fldChar w:fldCharType="begin"/>
            </w:r>
            <w:r>
              <w:rPr>
                <w:noProof/>
                <w:webHidden/>
              </w:rPr>
              <w:instrText xml:space="preserve"> PAGEREF _Toc222734104 \h </w:instrText>
            </w:r>
            <w:r>
              <w:rPr>
                <w:noProof/>
                <w:webHidden/>
              </w:rPr>
            </w:r>
            <w:r>
              <w:rPr>
                <w:noProof/>
                <w:webHidden/>
              </w:rPr>
              <w:fldChar w:fldCharType="separate"/>
            </w:r>
            <w:r>
              <w:rPr>
                <w:noProof/>
                <w:webHidden/>
              </w:rPr>
              <w:t>3</w:t>
            </w:r>
            <w:r>
              <w:rPr>
                <w:noProof/>
                <w:webHidden/>
              </w:rPr>
              <w:fldChar w:fldCharType="end"/>
            </w:r>
          </w:hyperlink>
        </w:p>
        <w:p w14:paraId="4BE50A99" w14:textId="14C84765" w:rsidR="00C210DD" w:rsidRDefault="00C210DD">
          <w:pPr>
            <w:pStyle w:val="Cuprins2"/>
            <w:tabs>
              <w:tab w:val="right" w:leader="dot" w:pos="9016"/>
            </w:tabs>
            <w:rPr>
              <w:rFonts w:eastAsiaTheme="minorEastAsia"/>
              <w:noProof/>
              <w:lang w:eastAsia="en-GB"/>
            </w:rPr>
          </w:pPr>
          <w:hyperlink w:anchor="_Toc222734105" w:history="1">
            <w:r w:rsidRPr="00770BF1">
              <w:rPr>
                <w:rStyle w:val="Hyperlink"/>
                <w:rFonts w:cs="Times New Roman"/>
                <w:noProof/>
              </w:rPr>
              <w:t>Maintenance of Blood Glucose at a Safe and Effective Level</w:t>
            </w:r>
            <w:r>
              <w:rPr>
                <w:noProof/>
                <w:webHidden/>
              </w:rPr>
              <w:tab/>
            </w:r>
            <w:r>
              <w:rPr>
                <w:noProof/>
                <w:webHidden/>
              </w:rPr>
              <w:fldChar w:fldCharType="begin"/>
            </w:r>
            <w:r>
              <w:rPr>
                <w:noProof/>
                <w:webHidden/>
              </w:rPr>
              <w:instrText xml:space="preserve"> PAGEREF _Toc222734105 \h </w:instrText>
            </w:r>
            <w:r>
              <w:rPr>
                <w:noProof/>
                <w:webHidden/>
              </w:rPr>
            </w:r>
            <w:r>
              <w:rPr>
                <w:noProof/>
                <w:webHidden/>
              </w:rPr>
              <w:fldChar w:fldCharType="separate"/>
            </w:r>
            <w:r>
              <w:rPr>
                <w:noProof/>
                <w:webHidden/>
              </w:rPr>
              <w:t>4</w:t>
            </w:r>
            <w:r>
              <w:rPr>
                <w:noProof/>
                <w:webHidden/>
              </w:rPr>
              <w:fldChar w:fldCharType="end"/>
            </w:r>
          </w:hyperlink>
        </w:p>
        <w:p w14:paraId="2CD4647A" w14:textId="3C261CBA" w:rsidR="00C210DD" w:rsidRDefault="00C210DD">
          <w:pPr>
            <w:pStyle w:val="Cuprins2"/>
            <w:tabs>
              <w:tab w:val="right" w:leader="dot" w:pos="9016"/>
            </w:tabs>
            <w:rPr>
              <w:rFonts w:eastAsiaTheme="minorEastAsia"/>
              <w:noProof/>
              <w:lang w:eastAsia="en-GB"/>
            </w:rPr>
          </w:pPr>
          <w:hyperlink w:anchor="_Toc222734106" w:history="1">
            <w:r w:rsidRPr="00770BF1">
              <w:rPr>
                <w:rStyle w:val="Hyperlink"/>
                <w:rFonts w:cs="Times New Roman"/>
                <w:noProof/>
              </w:rPr>
              <w:t>The Role of Oxygen and Glucose in Cellular Energy Production</w:t>
            </w:r>
            <w:r>
              <w:rPr>
                <w:noProof/>
                <w:webHidden/>
              </w:rPr>
              <w:tab/>
            </w:r>
            <w:r>
              <w:rPr>
                <w:noProof/>
                <w:webHidden/>
              </w:rPr>
              <w:fldChar w:fldCharType="begin"/>
            </w:r>
            <w:r>
              <w:rPr>
                <w:noProof/>
                <w:webHidden/>
              </w:rPr>
              <w:instrText xml:space="preserve"> PAGEREF _Toc222734106 \h </w:instrText>
            </w:r>
            <w:r>
              <w:rPr>
                <w:noProof/>
                <w:webHidden/>
              </w:rPr>
            </w:r>
            <w:r>
              <w:rPr>
                <w:noProof/>
                <w:webHidden/>
              </w:rPr>
              <w:fldChar w:fldCharType="separate"/>
            </w:r>
            <w:r>
              <w:rPr>
                <w:noProof/>
                <w:webHidden/>
              </w:rPr>
              <w:t>5</w:t>
            </w:r>
            <w:r>
              <w:rPr>
                <w:noProof/>
                <w:webHidden/>
              </w:rPr>
              <w:fldChar w:fldCharType="end"/>
            </w:r>
          </w:hyperlink>
        </w:p>
        <w:p w14:paraId="6B1F6E70" w14:textId="4679CD5B" w:rsidR="00C210DD" w:rsidRDefault="00C210DD">
          <w:pPr>
            <w:pStyle w:val="Cuprins2"/>
            <w:tabs>
              <w:tab w:val="right" w:leader="dot" w:pos="9016"/>
            </w:tabs>
            <w:rPr>
              <w:rFonts w:eastAsiaTheme="minorEastAsia"/>
              <w:noProof/>
              <w:lang w:eastAsia="en-GB"/>
            </w:rPr>
          </w:pPr>
          <w:hyperlink w:anchor="_Toc222734107" w:history="1">
            <w:r w:rsidRPr="00770BF1">
              <w:rPr>
                <w:rStyle w:val="Hyperlink"/>
                <w:rFonts w:cs="Times New Roman"/>
                <w:noProof/>
              </w:rPr>
              <w:t>The Importance of Recording and Tracking Blood Glucose Levels</w:t>
            </w:r>
            <w:r>
              <w:rPr>
                <w:noProof/>
                <w:webHidden/>
              </w:rPr>
              <w:tab/>
            </w:r>
            <w:r>
              <w:rPr>
                <w:noProof/>
                <w:webHidden/>
              </w:rPr>
              <w:fldChar w:fldCharType="begin"/>
            </w:r>
            <w:r>
              <w:rPr>
                <w:noProof/>
                <w:webHidden/>
              </w:rPr>
              <w:instrText xml:space="preserve"> PAGEREF _Toc222734107 \h </w:instrText>
            </w:r>
            <w:r>
              <w:rPr>
                <w:noProof/>
                <w:webHidden/>
              </w:rPr>
            </w:r>
            <w:r>
              <w:rPr>
                <w:noProof/>
                <w:webHidden/>
              </w:rPr>
              <w:fldChar w:fldCharType="separate"/>
            </w:r>
            <w:r>
              <w:rPr>
                <w:noProof/>
                <w:webHidden/>
              </w:rPr>
              <w:t>7</w:t>
            </w:r>
            <w:r>
              <w:rPr>
                <w:noProof/>
                <w:webHidden/>
              </w:rPr>
              <w:fldChar w:fldCharType="end"/>
            </w:r>
          </w:hyperlink>
        </w:p>
        <w:p w14:paraId="2FDCC1E3" w14:textId="19FD0A07" w:rsidR="00C210DD" w:rsidRDefault="00C210DD">
          <w:pPr>
            <w:pStyle w:val="Cuprins2"/>
            <w:tabs>
              <w:tab w:val="right" w:leader="dot" w:pos="9016"/>
            </w:tabs>
            <w:rPr>
              <w:rFonts w:eastAsiaTheme="minorEastAsia"/>
              <w:noProof/>
              <w:lang w:eastAsia="en-GB"/>
            </w:rPr>
          </w:pPr>
          <w:hyperlink w:anchor="_Toc222734108" w:history="1">
            <w:r w:rsidRPr="00770BF1">
              <w:rPr>
                <w:rStyle w:val="Hyperlink"/>
                <w:rFonts w:cs="Times New Roman"/>
                <w:noProof/>
              </w:rPr>
              <w:t>Evidence-Based Lifestyle Interventions</w:t>
            </w:r>
            <w:r>
              <w:rPr>
                <w:noProof/>
                <w:webHidden/>
              </w:rPr>
              <w:tab/>
            </w:r>
            <w:r>
              <w:rPr>
                <w:noProof/>
                <w:webHidden/>
              </w:rPr>
              <w:fldChar w:fldCharType="begin"/>
            </w:r>
            <w:r>
              <w:rPr>
                <w:noProof/>
                <w:webHidden/>
              </w:rPr>
              <w:instrText xml:space="preserve"> PAGEREF _Toc222734108 \h </w:instrText>
            </w:r>
            <w:r>
              <w:rPr>
                <w:noProof/>
                <w:webHidden/>
              </w:rPr>
            </w:r>
            <w:r>
              <w:rPr>
                <w:noProof/>
                <w:webHidden/>
              </w:rPr>
              <w:fldChar w:fldCharType="separate"/>
            </w:r>
            <w:r>
              <w:rPr>
                <w:noProof/>
                <w:webHidden/>
              </w:rPr>
              <w:t>8</w:t>
            </w:r>
            <w:r>
              <w:rPr>
                <w:noProof/>
                <w:webHidden/>
              </w:rPr>
              <w:fldChar w:fldCharType="end"/>
            </w:r>
          </w:hyperlink>
        </w:p>
        <w:p w14:paraId="4306FD67" w14:textId="28FCBB95" w:rsidR="00C210DD" w:rsidRDefault="00C210DD">
          <w:pPr>
            <w:pStyle w:val="Cuprins2"/>
            <w:tabs>
              <w:tab w:val="right" w:leader="dot" w:pos="9016"/>
            </w:tabs>
            <w:rPr>
              <w:rFonts w:eastAsiaTheme="minorEastAsia"/>
              <w:noProof/>
              <w:lang w:eastAsia="en-GB"/>
            </w:rPr>
          </w:pPr>
          <w:hyperlink w:anchor="_Toc222734109" w:history="1">
            <w:r w:rsidRPr="00770BF1">
              <w:rPr>
                <w:rStyle w:val="Hyperlink"/>
                <w:rFonts w:cs="Times New Roman"/>
                <w:noProof/>
              </w:rPr>
              <w:t>Conclusion</w:t>
            </w:r>
            <w:r>
              <w:rPr>
                <w:noProof/>
                <w:webHidden/>
              </w:rPr>
              <w:tab/>
            </w:r>
            <w:r>
              <w:rPr>
                <w:noProof/>
                <w:webHidden/>
              </w:rPr>
              <w:fldChar w:fldCharType="begin"/>
            </w:r>
            <w:r>
              <w:rPr>
                <w:noProof/>
                <w:webHidden/>
              </w:rPr>
              <w:instrText xml:space="preserve"> PAGEREF _Toc222734109 \h </w:instrText>
            </w:r>
            <w:r>
              <w:rPr>
                <w:noProof/>
                <w:webHidden/>
              </w:rPr>
            </w:r>
            <w:r>
              <w:rPr>
                <w:noProof/>
                <w:webHidden/>
              </w:rPr>
              <w:fldChar w:fldCharType="separate"/>
            </w:r>
            <w:r>
              <w:rPr>
                <w:noProof/>
                <w:webHidden/>
              </w:rPr>
              <w:t>8</w:t>
            </w:r>
            <w:r>
              <w:rPr>
                <w:noProof/>
                <w:webHidden/>
              </w:rPr>
              <w:fldChar w:fldCharType="end"/>
            </w:r>
          </w:hyperlink>
        </w:p>
        <w:p w14:paraId="7E342D62" w14:textId="77DA96A3" w:rsidR="00C210DD" w:rsidRDefault="00C210DD">
          <w:pPr>
            <w:pStyle w:val="Cuprins2"/>
            <w:tabs>
              <w:tab w:val="right" w:leader="dot" w:pos="9016"/>
            </w:tabs>
            <w:rPr>
              <w:rFonts w:eastAsiaTheme="minorEastAsia"/>
              <w:noProof/>
              <w:lang w:eastAsia="en-GB"/>
            </w:rPr>
          </w:pPr>
          <w:hyperlink w:anchor="_Toc222734110" w:history="1">
            <w:r w:rsidRPr="00770BF1">
              <w:rPr>
                <w:rStyle w:val="Hyperlink"/>
                <w:rFonts w:eastAsia="Times New Roman" w:cs="Times New Roman"/>
                <w:noProof/>
                <w:lang w:eastAsia="en-GB"/>
              </w:rPr>
              <w:t>Reference List</w:t>
            </w:r>
            <w:r>
              <w:rPr>
                <w:noProof/>
                <w:webHidden/>
              </w:rPr>
              <w:tab/>
            </w:r>
            <w:r>
              <w:rPr>
                <w:noProof/>
                <w:webHidden/>
              </w:rPr>
              <w:fldChar w:fldCharType="begin"/>
            </w:r>
            <w:r>
              <w:rPr>
                <w:noProof/>
                <w:webHidden/>
              </w:rPr>
              <w:instrText xml:space="preserve"> PAGEREF _Toc222734110 \h </w:instrText>
            </w:r>
            <w:r>
              <w:rPr>
                <w:noProof/>
                <w:webHidden/>
              </w:rPr>
            </w:r>
            <w:r>
              <w:rPr>
                <w:noProof/>
                <w:webHidden/>
              </w:rPr>
              <w:fldChar w:fldCharType="separate"/>
            </w:r>
            <w:r>
              <w:rPr>
                <w:noProof/>
                <w:webHidden/>
              </w:rPr>
              <w:t>10</w:t>
            </w:r>
            <w:r>
              <w:rPr>
                <w:noProof/>
                <w:webHidden/>
              </w:rPr>
              <w:fldChar w:fldCharType="end"/>
            </w:r>
          </w:hyperlink>
        </w:p>
        <w:p w14:paraId="6504EEB8" w14:textId="32BE080E"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b/>
              <w:bCs/>
              <w:noProof/>
            </w:rPr>
            <w:fldChar w:fldCharType="end"/>
          </w:r>
        </w:p>
      </w:sdtContent>
    </w:sdt>
    <w:p w14:paraId="0422EC95" w14:textId="77777777" w:rsidR="00C210DD" w:rsidRDefault="00C210DD" w:rsidP="00C210DD">
      <w:pPr>
        <w:pStyle w:val="Titlu2"/>
        <w:spacing w:line="360" w:lineRule="auto"/>
        <w:rPr>
          <w:rFonts w:cs="Times New Roman"/>
          <w:szCs w:val="24"/>
        </w:rPr>
      </w:pPr>
    </w:p>
    <w:p w14:paraId="559B7858" w14:textId="77777777" w:rsidR="00C210DD" w:rsidRDefault="00C210DD" w:rsidP="00C210DD"/>
    <w:p w14:paraId="569ABFA3" w14:textId="77777777" w:rsidR="00C210DD" w:rsidRDefault="00C210DD" w:rsidP="00C210DD"/>
    <w:p w14:paraId="6E578F7C" w14:textId="77777777" w:rsidR="00C210DD" w:rsidRDefault="00C210DD" w:rsidP="00C210DD"/>
    <w:p w14:paraId="6582E431" w14:textId="77777777" w:rsidR="00C210DD" w:rsidRDefault="00C210DD" w:rsidP="00C210DD"/>
    <w:p w14:paraId="4A5AB8F8" w14:textId="77777777" w:rsidR="00C210DD" w:rsidRDefault="00C210DD" w:rsidP="00C210DD"/>
    <w:p w14:paraId="26D796BE" w14:textId="77777777" w:rsidR="00C210DD" w:rsidRDefault="00C210DD" w:rsidP="00C210DD"/>
    <w:p w14:paraId="1AE3F109" w14:textId="77777777" w:rsidR="00C210DD" w:rsidRDefault="00C210DD" w:rsidP="00C210DD"/>
    <w:p w14:paraId="7D5DDD8A" w14:textId="77777777" w:rsidR="00C210DD" w:rsidRDefault="00C210DD" w:rsidP="00C210DD"/>
    <w:p w14:paraId="621F2413" w14:textId="77777777" w:rsidR="00C210DD" w:rsidRDefault="00C210DD" w:rsidP="00C210DD"/>
    <w:p w14:paraId="319C9196" w14:textId="77777777" w:rsidR="00C210DD" w:rsidRDefault="00C210DD" w:rsidP="00C210DD"/>
    <w:p w14:paraId="76EC5286" w14:textId="77777777" w:rsidR="00C210DD" w:rsidRDefault="00C210DD" w:rsidP="00C210DD"/>
    <w:p w14:paraId="4C458753" w14:textId="77777777" w:rsidR="00C210DD" w:rsidRPr="00C210DD" w:rsidRDefault="00C210DD" w:rsidP="00C210DD"/>
    <w:p w14:paraId="59C8D5CE" w14:textId="723188F9" w:rsidR="0068137B" w:rsidRPr="00C210DD" w:rsidRDefault="0068137B" w:rsidP="00C210DD">
      <w:pPr>
        <w:pStyle w:val="Titlu2"/>
        <w:spacing w:line="360" w:lineRule="auto"/>
        <w:rPr>
          <w:rFonts w:cs="Times New Roman"/>
          <w:szCs w:val="24"/>
        </w:rPr>
      </w:pPr>
      <w:bookmarkStart w:id="0" w:name="_Toc222734104"/>
      <w:r w:rsidRPr="00C210DD">
        <w:rPr>
          <w:rFonts w:cs="Times New Roman"/>
          <w:szCs w:val="24"/>
        </w:rPr>
        <w:t>Introduction</w:t>
      </w:r>
      <w:bookmarkEnd w:id="0"/>
    </w:p>
    <w:p w14:paraId="2690B04A" w14:textId="7160AB52"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Type 2 Diabetes Mellitus (T2DM) represents a persistent metabolic disorder which leads to continuous high blood sugar levels because of insulin resistance combined with partial insulin production deficiency (International Diabetes Federation, 2023). The development of Type 2 diabetes (T2DM) occurs through a gradual process which links to different lifestyle patterns that people have the power to change unlike the autoimmune destruction of pancreatic beta cells which causes Type 1 diabetes. The condition stands as a worldwide health emergency because its spread continues to increase with rising obesity rates and more people choosing sedentary lifestyles and the world's population growing older (World Health Organization, 2023). In the United Kingdom, more than 4.3 million people now have diabetes, with approximately 90% of these diabetes cases classified as Type 2 (Diabetes UK, 2024).</w:t>
      </w:r>
    </w:p>
    <w:p w14:paraId="4131F28E" w14:textId="7FC27126"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 xml:space="preserve">T2DM develops when bodily tissues, especially skeletal muscle and liver and adipose tissue, develop insulin resistance. Insulin functions as a hormone which the pancreas beta cells secret from Langerhans islets to control blood glucose levels. The body experiences elevated blood sugar levels because insulin resistance blocks cells from taking in glucose. The body experiences severe microvascular and macrovascular damage through chronic </w:t>
      </w:r>
      <w:r w:rsidR="00C210DD" w:rsidRPr="00C210DD">
        <w:rPr>
          <w:rFonts w:ascii="Times New Roman" w:hAnsi="Times New Roman" w:cs="Times New Roman"/>
        </w:rPr>
        <w:t>hyperglycaemia</w:t>
      </w:r>
      <w:r w:rsidRPr="00C210DD">
        <w:rPr>
          <w:rFonts w:ascii="Times New Roman" w:hAnsi="Times New Roman" w:cs="Times New Roman"/>
        </w:rPr>
        <w:t xml:space="preserve"> which brings about neuropathy and nephropathy and retinopathy and cardiovascular disease (Davies et al., 2022).</w:t>
      </w:r>
    </w:p>
    <w:p w14:paraId="3DD961A9" w14:textId="617BC7C6"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The development of T2DM becomes more probable when multiple risk factors combine to create this situation. The risk factors comprise obesity when central body fat storage occurs along with physical inactivity and poor dietary habits and smoking and genetic factors and advancing age and specific ethnic groups (NICE, 2023). Health disparities result from socioeconomic deprivation which functions as a primary risk factor while it establishes itself as a critical factor that determines health outcomes (Public Health England, 2022).</w:t>
      </w:r>
    </w:p>
    <w:p w14:paraId="1181E82A" w14:textId="2EAE64A7"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 xml:space="preserve">Primary care practice nurses need to help patients learn about T2DM physiological mechanisms because this knowledge enables better self-care practices. The report will </w:t>
      </w:r>
      <w:r w:rsidR="00C210DD" w:rsidRPr="00C210DD">
        <w:rPr>
          <w:rFonts w:ascii="Times New Roman" w:hAnsi="Times New Roman" w:cs="Times New Roman"/>
        </w:rPr>
        <w:t>analyse</w:t>
      </w:r>
      <w:r w:rsidRPr="00C210DD">
        <w:rPr>
          <w:rFonts w:ascii="Times New Roman" w:hAnsi="Times New Roman" w:cs="Times New Roman"/>
        </w:rPr>
        <w:t xml:space="preserve"> blood glucose regulation during normal body functions and examine how oxygen and glucose conversion into energy through cellular metabolism operates and show why blood glucose monitoring is crucial and review research-based lifestyle changes that lead to better results for Type 2 diabetes patients.</w:t>
      </w:r>
    </w:p>
    <w:p w14:paraId="0728D5CF" w14:textId="50E3011E" w:rsidR="0068137B" w:rsidRPr="00C210DD" w:rsidRDefault="0068137B" w:rsidP="00C210DD">
      <w:pPr>
        <w:pStyle w:val="Titlu2"/>
        <w:spacing w:line="360" w:lineRule="auto"/>
        <w:rPr>
          <w:rFonts w:cs="Times New Roman"/>
          <w:szCs w:val="24"/>
        </w:rPr>
      </w:pPr>
      <w:bookmarkStart w:id="1" w:name="_Toc222734105"/>
      <w:r w:rsidRPr="00C210DD">
        <w:rPr>
          <w:rFonts w:cs="Times New Roman"/>
          <w:szCs w:val="24"/>
        </w:rPr>
        <w:t>Maintenance of Blood Glucose at a Safe and Effective Level</w:t>
      </w:r>
      <w:bookmarkEnd w:id="1"/>
    </w:p>
    <w:p w14:paraId="5DDAB5AF" w14:textId="18ADE291"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The maintenance of blood glucose within a narrow physiological range is essential for survival because glucose serves as the primary energy substrate for many tissues especially the brain. Under normal conditions fasting blood glucose levels are typically maintained between approximately 4.0 and 7.0 mmol/L (NICE, 2023). The body achieves this precise control through a complicated system of hormonal feedback which includes the pancreas and liver and skeletal muscle and adipose tissue.</w:t>
      </w:r>
    </w:p>
    <w:p w14:paraId="71B64CEC" w14:textId="3B330C45" w:rsidR="0068137B" w:rsidRPr="00C210DD" w:rsidRDefault="0068137B" w:rsidP="00C210DD">
      <w:pPr>
        <w:spacing w:line="360" w:lineRule="auto"/>
        <w:rPr>
          <w:rStyle w:val="mord"/>
          <w:rFonts w:ascii="Times New Roman" w:hAnsi="Times New Roman" w:cs="Times New Roman"/>
        </w:rPr>
      </w:pPr>
      <w:r w:rsidRPr="00C210DD">
        <w:rPr>
          <w:rStyle w:val="mord"/>
          <w:rFonts w:ascii="Times New Roman" w:hAnsi="Times New Roman" w:cs="Times New Roman"/>
        </w:rPr>
        <w:t>homeostasis</w:t>
      </w:r>
      <w:r w:rsidRPr="00C210DD">
        <w:rPr>
          <w:rStyle w:val="mrel"/>
          <w:rFonts w:ascii="Times New Roman" w:hAnsi="Times New Roman" w:cs="Times New Roman"/>
        </w:rPr>
        <w:t>:</w:t>
      </w:r>
      <w:r w:rsidRPr="00C210DD">
        <w:rPr>
          <w:rStyle w:val="mord"/>
          <w:rFonts w:ascii="Times New Roman" w:hAnsi="Times New Roman" w:cs="Times New Roman"/>
        </w:rPr>
        <w:t xml:space="preserve"> bloodglucosemaintainedwithinnarrowphysiologicalrange</w:t>
      </w:r>
    </w:p>
    <w:p w14:paraId="64889820" w14:textId="73582E5C"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The endocrine system of the pancreas serves as the main controller for maintaining glucose homeostasis in the body. The pancreas contains clusters of specialised endocrine cells known as the islets of Langerhans. The islets contain beta (β) cells that produce insulin and alpha (α) cells that produce glucagon. The hormones from these cells work against each other to keep blood glucose levels steady (Hall and Hall, 2021).</w:t>
      </w:r>
    </w:p>
    <w:p w14:paraId="67295927" w14:textId="6E2E9B07"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 xml:space="preserve">After people eat carbohydrates their blood sugar levels increase because their bodies take in glucose through the small intestine into their bloodstream. The pancreas responds to these rising blood glucose levels through the activation of its beta cells which release insulin into the bloodstream. Insulin attaches to </w:t>
      </w:r>
      <w:r w:rsidR="00C210DD" w:rsidRPr="00C210DD">
        <w:rPr>
          <w:rFonts w:ascii="Times New Roman" w:hAnsi="Times New Roman" w:cs="Times New Roman"/>
        </w:rPr>
        <w:t>receptors</w:t>
      </w:r>
      <w:r w:rsidRPr="00C210DD">
        <w:rPr>
          <w:rFonts w:ascii="Times New Roman" w:hAnsi="Times New Roman" w:cs="Times New Roman"/>
        </w:rPr>
        <w:t xml:space="preserve"> that exist on skeletal muscle and adipose tissue cells which leads to GLUT4 transportation to the cells' outer membranes. The process enables cells to take in glucose which they use directly for energy </w:t>
      </w:r>
      <w:r w:rsidR="00C210DD" w:rsidRPr="00C210DD">
        <w:rPr>
          <w:rFonts w:ascii="Times New Roman" w:hAnsi="Times New Roman" w:cs="Times New Roman"/>
        </w:rPr>
        <w:t>production,</w:t>
      </w:r>
      <w:r w:rsidRPr="00C210DD">
        <w:rPr>
          <w:rFonts w:ascii="Times New Roman" w:hAnsi="Times New Roman" w:cs="Times New Roman"/>
        </w:rPr>
        <w:t xml:space="preserve"> or they store as glycogen in their liver and muscle tissues (Roden and Shulman, 2019; DeFronzo et al., 2021). Insulin further decreases blood glucose levels by stopping the liver from generating glucose.</w:t>
      </w:r>
    </w:p>
    <w:p w14:paraId="5C70B00D" w14:textId="1644BEA2"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 xml:space="preserve">Blood glucose levels decrease during fasting and between </w:t>
      </w:r>
      <w:r w:rsidR="00C210DD" w:rsidRPr="00C210DD">
        <w:rPr>
          <w:rFonts w:ascii="Times New Roman" w:hAnsi="Times New Roman" w:cs="Times New Roman"/>
        </w:rPr>
        <w:t>mealtimes</w:t>
      </w:r>
      <w:r w:rsidRPr="00C210DD">
        <w:rPr>
          <w:rFonts w:ascii="Times New Roman" w:hAnsi="Times New Roman" w:cs="Times New Roman"/>
        </w:rPr>
        <w:t>. The pancreas releases glucagon when blood glucose levels drop. Glucagon activates glycogenolysis which leads to glucose production from glycogen stores in the liver and gluconeogenesis which produces fresh glucose from non-carbohydrate materials including amino acids (Hall and Hall, 2021). These processes increase blood glucose concentration which restores the body to its normal state.</w:t>
      </w:r>
    </w:p>
    <w:p w14:paraId="4A1A7B28" w14:textId="2CD37ED3"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The regulatory system in Type 2 diabetes patients experiences a loss of function. The main disease characteristic of this condition shows that insulin resistance prevents body tissues from responding normally to insulin signals. Glucose uptake is reduced when insulin levels remain normal or increase. The pancreatic beta cells face malfunctioning because of ongoing metabolic stress which causes the body to experience insulin deficiency (Davies et al., 2022). The combination of insulin resistance and beta-cell dysfunction results in persistent hyperglycaemia.</w:t>
      </w:r>
    </w:p>
    <w:p w14:paraId="67B96442" w14:textId="7EB3D670"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People who experience permanent high blood sugar levels will experience major health effects. The metabolic process which leads to high blood sugar levels causes proteins to become glycated while it creates oxidative stress and inflammation which result in endothelial tissue damage and blood vessel destruction (Brownlee, 2021). Diabetic patients who fail to manage their condition will experience this medical condition which leads to permanent eye damage and kidney failure and heart disease.</w:t>
      </w:r>
    </w:p>
    <w:p w14:paraId="671AD3C5" w14:textId="4E4817CF"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Primary care practitioners need to comprehend the processes which control blood sugar levels because it forms the basis of their medical work. Healthcare providers use this knowledge to teach patients about the relationship between their dietary choices and exercise habits and their ability to use insulin and absorb glucose. This understanding enables patients to take responsibility for their health while also showing them why it essential to keep their blood sugar levels within the defined target range.</w:t>
      </w:r>
    </w:p>
    <w:p w14:paraId="6DFF278D" w14:textId="5436859D" w:rsidR="0068137B" w:rsidRPr="00C210DD" w:rsidRDefault="0068137B" w:rsidP="00C210DD">
      <w:pPr>
        <w:pStyle w:val="Titlu2"/>
        <w:spacing w:line="360" w:lineRule="auto"/>
        <w:rPr>
          <w:rFonts w:cs="Times New Roman"/>
          <w:szCs w:val="24"/>
        </w:rPr>
      </w:pPr>
      <w:bookmarkStart w:id="2" w:name="_Toc222734106"/>
      <w:r w:rsidRPr="00C210DD">
        <w:rPr>
          <w:rFonts w:cs="Times New Roman"/>
          <w:szCs w:val="24"/>
        </w:rPr>
        <w:t>The Role of Oxygen and Glucose in Cellular Energy Production</w:t>
      </w:r>
      <w:bookmarkEnd w:id="2"/>
    </w:p>
    <w:p w14:paraId="5781EE39" w14:textId="709D2F0D" w:rsidR="0068137B" w:rsidRPr="00C210DD" w:rsidRDefault="0068137B" w:rsidP="00C210DD">
      <w:pPr>
        <w:spacing w:line="360" w:lineRule="auto"/>
        <w:rPr>
          <w:rFonts w:ascii="Times New Roman" w:hAnsi="Times New Roman" w:cs="Times New Roman"/>
        </w:rPr>
      </w:pPr>
      <w:r w:rsidRPr="00C210DD">
        <w:rPr>
          <w:rFonts w:ascii="Times New Roman" w:hAnsi="Times New Roman" w:cs="Times New Roman"/>
        </w:rPr>
        <w:t>Glucose serves as the main energy source for cells because it exists as a circulating nutrient. The process of cellular respiration begins when insulin-mediated glucose transport brings glucose into cells, which then triggers a sequence of tightly controlled biochemical reactions. The mitochondria of cells complete this process to generate adenosine triphosphate (ATP), which functions as the cell's universal energy currency (Hall and Hall, 2021).</w:t>
      </w:r>
    </w:p>
    <w:p w14:paraId="52AF0FFE" w14:textId="77777777" w:rsidR="0068137B" w:rsidRPr="0068137B" w:rsidRDefault="0068137B"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68137B">
        <w:rPr>
          <w:rFonts w:ascii="Times New Roman" w:eastAsia="Times New Roman" w:hAnsi="Times New Roman" w:cs="Times New Roman"/>
          <w:kern w:val="0"/>
          <w:lang w:eastAsia="en-GB"/>
          <w14:ligatures w14:val="none"/>
        </w:rPr>
        <w:t>The overall aerobic respiration equation can be summarised as:</w:t>
      </w:r>
    </w:p>
    <w:p w14:paraId="5B1B6985" w14:textId="4AB0CCD9" w:rsidR="00C210DD" w:rsidRPr="00C210DD" w:rsidRDefault="0068137B" w:rsidP="00C210DD">
      <w:pPr>
        <w:spacing w:line="360" w:lineRule="auto"/>
        <w:rPr>
          <w:rFonts w:ascii="Times New Roman" w:hAnsi="Times New Roman" w:cs="Times New Roman"/>
        </w:rPr>
      </w:pPr>
      <m:oMathPara>
        <m:oMath>
          <m:r>
            <w:rPr>
              <w:rFonts w:ascii="Cambria Math" w:eastAsia="Times New Roman" w:hAnsi="Cambria Math" w:cs="Times New Roman"/>
              <w:kern w:val="0"/>
              <w:lang w:eastAsia="en-GB"/>
              <w14:ligatures w14:val="none"/>
            </w:rPr>
            <m:t>C6H12O6+6O2-&gt;6CO2+6H2O+ATP</m:t>
          </m:r>
          <m:r>
            <m:rPr>
              <m:sty m:val="p"/>
            </m:rPr>
            <w:rPr>
              <w:rFonts w:ascii="Times New Roman" w:eastAsia="Times New Roman" w:hAnsi="Times New Roman" w:cs="Times New Roman"/>
              <w:kern w:val="0"/>
              <w:lang w:eastAsia="en-GB"/>
              <w14:ligatures w14:val="none"/>
            </w:rPr>
            <w:br/>
          </m:r>
        </m:oMath>
      </m:oMathPara>
      <w:r w:rsidR="00C210DD" w:rsidRPr="00C210DD">
        <w:rPr>
          <w:rFonts w:ascii="Times New Roman" w:hAnsi="Times New Roman" w:cs="Times New Roman"/>
        </w:rPr>
        <w:t>The equation demonstrates that one glucose molecule needs oxygen to create both carbon dioxide and water and ATP. The electron transport chain depends on oxygen because it functions as the ultimate electron acceptor, which drives ATP production.</w:t>
      </w:r>
    </w:p>
    <w:p w14:paraId="7300234F" w14:textId="7BAF817C"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The three principal stages of cellular respiration include glycolysis and the Krebs cycle (citric acid cycle) and oxidative phosphorylation. Glycolysis takes place in the cytoplasm and involves the breakdown of glucose into two molecules of pyruvate. The stage produces a small ATP amount and reduced nicotinamide adenine dinucleotide (NADH) (Berg et al., 2021). The presence of adequate oxygen allows pyruvate to enter the mitochondria, where it transforms into acetyl coenzyme A before proceeding to the Krebs cycle.</w:t>
      </w:r>
    </w:p>
    <w:p w14:paraId="2D45C243" w14:textId="67577B3E" w:rsidR="0068137B"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The Krebs cycle produces additional reduced electron carriers, which include NADH and flavin adenine dinucleotide (FADH₂), inside the mitochondrial matrix. The molecules will deliver high-energy electrons to the electron transport chain, which exists in the inner mitochondrial membrane. The process of oxidative phosphorylation involves electrons following a pathway through protein complexes, which generates energy to produce significant quantities of ATP through ATP synthase (Nelson and Cox, 2021). The process requires oxygen, which serves as the final electron acceptor, to create water by combining with electrons and hydrogen ions. The process requires oxygen because it provides the only method for achieving high-efficiency ATP production.</w:t>
      </w:r>
    </w:p>
    <w:p w14:paraId="418C74FF" w14:textId="17077E64"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People with Type 2 diabetes experience metabolic pathway disruptions because their bodies cannot process glucose properly due to insulin resistance. The human body contains high levels of glucose in the bloodstream which leads to decreased glucose absorption by cells and results in insufficient ATP production for tissue needs. The combination of these factors leads to symptoms which cause decreased exercise capability and fatigue (DeFronzo et al., 2021). Chronic high blood sugar levels create two dangerous conditions which damage body tissues and intensify long-term health problems through mitochondrial dysfunction and oxidative stress (Brownlee, 2021).</w:t>
      </w:r>
    </w:p>
    <w:p w14:paraId="3D384336" w14:textId="4471215E"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The process shows how structure and function work together in their relationship. Mitochondrial structures contain folded inner membranes (cristae) which create more surface area to enhance oxidative phosphorylation. Insulin-resistant individuals show decreased mitochondrial performance because their body control mechanisms operate at lower efficiency (Roden and Shulman, 2019). The research shows how metabolic disorders need doctors to master both anatomical knowledge and physiological understanding.</w:t>
      </w:r>
    </w:p>
    <w:p w14:paraId="43D76C41" w14:textId="77777777"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 xml:space="preserve">The primary care profession uses cellular metabolism to make patients understand how physical activity helps them control their blood sugar levels. Exercise increases glucose uptake through insulin-independent mechanisms because it activates different </w:t>
      </w:r>
      <w:proofErr w:type="spellStart"/>
      <w:r w:rsidRPr="00C210DD">
        <w:rPr>
          <w:rFonts w:ascii="Times New Roman" w:hAnsi="Times New Roman" w:cs="Times New Roman"/>
        </w:rPr>
        <w:t>signaling</w:t>
      </w:r>
      <w:proofErr w:type="spellEnd"/>
      <w:r w:rsidRPr="00C210DD">
        <w:rPr>
          <w:rFonts w:ascii="Times New Roman" w:hAnsi="Times New Roman" w:cs="Times New Roman"/>
        </w:rPr>
        <w:t xml:space="preserve"> pathways which improve GLUT4 transport to skeletal muscle (Colberg et al., 2022). The method produces more ATP while decreasing blood sugar levels which demonstrates how lifestyle changes lead to real health improvements.</w:t>
      </w:r>
    </w:p>
    <w:p w14:paraId="3A60E224" w14:textId="77777777" w:rsidR="00C210DD" w:rsidRPr="00C210DD" w:rsidRDefault="00C210DD" w:rsidP="00C210DD">
      <w:pPr>
        <w:spacing w:line="360" w:lineRule="auto"/>
        <w:rPr>
          <w:rFonts w:ascii="Times New Roman" w:hAnsi="Times New Roman" w:cs="Times New Roman"/>
        </w:rPr>
      </w:pPr>
    </w:p>
    <w:p w14:paraId="5757588B" w14:textId="31D04177"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Complete knowledge about oxygen and glucose interactions for cellular energy production shows how vital it is to control blood glucose levels properly. The body loses metabolic control when dysregulation persists which results in immediate health problems and ongoing cellular and vascular deterioration throughout time.</w:t>
      </w:r>
    </w:p>
    <w:p w14:paraId="4B1D9111" w14:textId="15887E0D" w:rsidR="00C210DD" w:rsidRPr="00C210DD" w:rsidRDefault="00C210DD" w:rsidP="00C210DD">
      <w:pPr>
        <w:pStyle w:val="Titlu2"/>
        <w:spacing w:line="360" w:lineRule="auto"/>
        <w:rPr>
          <w:rFonts w:cs="Times New Roman"/>
          <w:szCs w:val="24"/>
        </w:rPr>
      </w:pPr>
      <w:bookmarkStart w:id="3" w:name="_Toc222734107"/>
      <w:r w:rsidRPr="00C210DD">
        <w:rPr>
          <w:rFonts w:cs="Times New Roman"/>
          <w:szCs w:val="24"/>
        </w:rPr>
        <w:t>The Importance of Recording and Tracking Blood Glucose Levels</w:t>
      </w:r>
      <w:bookmarkEnd w:id="3"/>
    </w:p>
    <w:p w14:paraId="37522383" w14:textId="0974EEEE"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Diabetes Type 2 management requires doctors to perform blood glucose tests throughout the day. Self-monitoring of blood glucose (SMBG) enables people to see how their food choices and exercise routines and their medicine use and their stress levels impact their blood sugar levels throughout the day (NICE, 2023). In primary care HbA1c testing allows healthcare providers to measure patients' average blood glucose levels over an 8-to-12-week period which serves as a longterm indicator of their metabolic control (Diabetes UK, 2024).</w:t>
      </w:r>
    </w:p>
    <w:p w14:paraId="5E4D649B" w14:textId="64CE7A5A"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Patients and healthcare professionals can use these data to detect patterns and trends which emerge through their monitoring activities. The presence of high fasting glucose levels indicates that a person has either poor overnight glucose control, or their diabetes medication needs adjustment. The combination of high carbohydrate consumption and slow insulin response leads to recurrent postprandial hyperglycemia. Care plans undergo modification through pattern analysis which enables personalized adjustments to their implementation (Davies et al., 2022).</w:t>
      </w:r>
    </w:p>
    <w:p w14:paraId="36D7FA0C" w14:textId="6038B6EB"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Monitoring procedures help decrease the chances of patients developing severe medical emergencies. The implementation of early hyperglycemia detection methods helps stop the development of hyperosmolar hyperglycemic state. The process of identifying low glucose levels protects people who use insulin or sulfonylureas from experiencing hypoglycemic episodes. Patients who participate in regular monitoring activities develop better self-confidence which leads to better healthcare results through shared decision-making (</w:t>
      </w:r>
      <w:proofErr w:type="spellStart"/>
      <w:r w:rsidRPr="00C210DD">
        <w:rPr>
          <w:rFonts w:ascii="Times New Roman" w:hAnsi="Times New Roman" w:cs="Times New Roman"/>
        </w:rPr>
        <w:t>Chrvala</w:t>
      </w:r>
      <w:proofErr w:type="spellEnd"/>
      <w:r w:rsidRPr="00C210DD">
        <w:rPr>
          <w:rFonts w:ascii="Times New Roman" w:hAnsi="Times New Roman" w:cs="Times New Roman"/>
        </w:rPr>
        <w:t xml:space="preserve"> et al., 2020).</w:t>
      </w:r>
    </w:p>
    <w:p w14:paraId="5BBA8918" w14:textId="16A0622C"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The success of monitoring depends on whether patients comprehend the process and follow their treatment plan. Patients who lack proper training will document their measurements but fail to understand their significance. The practice nurse has two responsibilities which include explaining medical targets and ensuring that data gets used properly instead of being handled as a routine process.</w:t>
      </w:r>
    </w:p>
    <w:p w14:paraId="3C9BFFED" w14:textId="7C93F6AC" w:rsidR="00C210DD" w:rsidRPr="00C210DD" w:rsidRDefault="00C210DD" w:rsidP="00C210DD">
      <w:pPr>
        <w:pStyle w:val="Titlu2"/>
        <w:spacing w:line="360" w:lineRule="auto"/>
        <w:rPr>
          <w:rFonts w:cs="Times New Roman"/>
          <w:szCs w:val="24"/>
        </w:rPr>
      </w:pPr>
      <w:bookmarkStart w:id="4" w:name="_Toc222734108"/>
      <w:r w:rsidRPr="00C210DD">
        <w:rPr>
          <w:rFonts w:cs="Times New Roman"/>
          <w:szCs w:val="24"/>
        </w:rPr>
        <w:t>Evidence-Based Lifestyle Interventions</w:t>
      </w:r>
      <w:bookmarkEnd w:id="4"/>
    </w:p>
    <w:p w14:paraId="2BCD6EAE" w14:textId="12ADD626"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Type 2 diabetes treatment requires patients to change their lifestyle because it serves as the disease's main treatment method. The combination of weight loss together with better dietary intake and higher exercise levels results in better insulin sensitivity together with improved control of blood sugar levels (Lean et al., 2020).</w:t>
      </w:r>
    </w:p>
    <w:p w14:paraId="5EDCA729" w14:textId="2CA4FFAC"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Postprandial glucose spikes become less severe through dietary interventions which restrict refined carbohydrates while promoting foods with lower glycemic index values. Mediterranean-style diets which contain whole grains together with vegetables and legumes and unsaturated fats lead to continuous HbA1c improvements and better cardiovascular health results (Evert et al., 2022). People with early-stage T2DM can achieve partial remission through a weight reduction of 5 to 10 percent of their body weight (Lean et al., 2020).</w:t>
      </w:r>
    </w:p>
    <w:p w14:paraId="1ABFF810" w14:textId="5205C708"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Regular physical activity boosts glucose intake through skeletal muscle GLUT4 transporter activity without needing insulin (Colberg et al., 2022). NICE (2023) recommends that people should engage in moderate-intensity exercise for at least 150 minutes per week. People who practice exercise gain better control of their blood sugar levels while their cardiovascular risk decreases because diabetes creates a major health hazard.</w:t>
      </w:r>
    </w:p>
    <w:p w14:paraId="3FF83079" w14:textId="0B32199B"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Both smoking cessation and smoking cessation treatment remain equally vital. Smoking increases insulin resistance together with inflammation and creates a higher danger of macrovascular complications (Pan et al., 2021). Primary care practice requires educational programs and motivational interviewing to support people in achieving behaviour changes.</w:t>
      </w:r>
    </w:p>
    <w:p w14:paraId="2AD8D108" w14:textId="2F686D39"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The implementation of lifestyle intervention faces multiple obstacles which include socioeconomic deprivation and cultural dietary practices and limited access to exercise facilities. The delivery of healthcare services requires personalised interventions which also need to respect different cultural backgrounds.</w:t>
      </w:r>
    </w:p>
    <w:p w14:paraId="035F381C" w14:textId="1C0D12AC" w:rsidR="00C210DD" w:rsidRPr="00C210DD" w:rsidRDefault="00C210DD" w:rsidP="00C210DD">
      <w:pPr>
        <w:pStyle w:val="Titlu2"/>
        <w:spacing w:line="360" w:lineRule="auto"/>
        <w:rPr>
          <w:rFonts w:cs="Times New Roman"/>
          <w:szCs w:val="24"/>
        </w:rPr>
      </w:pPr>
      <w:bookmarkStart w:id="5" w:name="_Toc222734109"/>
      <w:r w:rsidRPr="00C210DD">
        <w:rPr>
          <w:rFonts w:cs="Times New Roman"/>
          <w:szCs w:val="24"/>
        </w:rPr>
        <w:t>Conclusion</w:t>
      </w:r>
      <w:bookmarkEnd w:id="5"/>
    </w:p>
    <w:p w14:paraId="2ECBDF2C" w14:textId="3C920F46"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Type 2 diabetes represents a complex metabolic disorder which results from insulin resistance and leads to continuous high blood sugar levels. The human body achieves proper blood sugar control through the endocrine system which functions together with insulin and glucagon to maintain normal glucose levels. Cellular respiration establishes a fundamental link between three essential elements which are glucose, oxygen and ATP production. T2DM causes a permanent metabolic disturbance because it affects glucose uptake which results in long-term tissue damage.</w:t>
      </w:r>
    </w:p>
    <w:p w14:paraId="761C5B4E" w14:textId="4A60D283" w:rsidR="00C210DD" w:rsidRPr="00C210DD" w:rsidRDefault="00C210DD" w:rsidP="00C210DD">
      <w:pPr>
        <w:spacing w:line="360" w:lineRule="auto"/>
        <w:rPr>
          <w:rFonts w:ascii="Times New Roman" w:hAnsi="Times New Roman" w:cs="Times New Roman"/>
        </w:rPr>
      </w:pPr>
      <w:r w:rsidRPr="00C210DD">
        <w:rPr>
          <w:rFonts w:ascii="Times New Roman" w:hAnsi="Times New Roman" w:cs="Times New Roman"/>
        </w:rPr>
        <w:t>Healthcare providers need to monitor blood glucose levels and HbA1c values on a regular basis because these tests generate vital information which helps establish secure and personalized treatment strategies. People who combine evidence-based lifestyle changes with their dietary modifications and exercise increases and smoking cessation efforts can achieve better blood sugar management and lower their chances of developing health issues.</w:t>
      </w:r>
    </w:p>
    <w:p w14:paraId="3ED4A7F8" w14:textId="38E7B772" w:rsidR="00C210DD" w:rsidRDefault="00C210DD" w:rsidP="00C210DD">
      <w:pPr>
        <w:spacing w:line="360" w:lineRule="auto"/>
        <w:rPr>
          <w:rFonts w:ascii="Times New Roman" w:hAnsi="Times New Roman" w:cs="Times New Roman"/>
        </w:rPr>
      </w:pPr>
      <w:r w:rsidRPr="00C210DD">
        <w:rPr>
          <w:rFonts w:ascii="Times New Roman" w:hAnsi="Times New Roman" w:cs="Times New Roman"/>
        </w:rPr>
        <w:t>The primary care practice nurses develop their patient education and empowerment skills through their knowledge of bodily functions which leads to better patient disease management outcomes. The fundamental approach to eliminate the increasing prevalence of Type 2 diabetes requires people to learn about their conditions so they can manage their health independently.</w:t>
      </w:r>
    </w:p>
    <w:p w14:paraId="579F0C7B" w14:textId="77777777" w:rsidR="00C210DD" w:rsidRDefault="00C210DD" w:rsidP="00C210DD">
      <w:pPr>
        <w:spacing w:line="360" w:lineRule="auto"/>
        <w:rPr>
          <w:rFonts w:ascii="Times New Roman" w:hAnsi="Times New Roman" w:cs="Times New Roman"/>
        </w:rPr>
      </w:pPr>
    </w:p>
    <w:p w14:paraId="492934FA" w14:textId="77777777" w:rsidR="00C210DD" w:rsidRDefault="00C210DD" w:rsidP="00C210DD">
      <w:pPr>
        <w:spacing w:line="360" w:lineRule="auto"/>
        <w:rPr>
          <w:rFonts w:ascii="Times New Roman" w:hAnsi="Times New Roman" w:cs="Times New Roman"/>
        </w:rPr>
      </w:pPr>
    </w:p>
    <w:p w14:paraId="5B780F7F" w14:textId="77777777" w:rsidR="00C210DD" w:rsidRDefault="00C210DD" w:rsidP="00C210DD">
      <w:pPr>
        <w:spacing w:line="360" w:lineRule="auto"/>
        <w:rPr>
          <w:rFonts w:ascii="Times New Roman" w:hAnsi="Times New Roman" w:cs="Times New Roman"/>
        </w:rPr>
      </w:pPr>
    </w:p>
    <w:p w14:paraId="4CA31C8A" w14:textId="77777777" w:rsidR="00C210DD" w:rsidRDefault="00C210DD" w:rsidP="00C210DD">
      <w:pPr>
        <w:spacing w:line="360" w:lineRule="auto"/>
        <w:rPr>
          <w:rFonts w:ascii="Times New Roman" w:hAnsi="Times New Roman" w:cs="Times New Roman"/>
        </w:rPr>
      </w:pPr>
    </w:p>
    <w:p w14:paraId="4C7A3AE9" w14:textId="77777777" w:rsidR="00C210DD" w:rsidRDefault="00C210DD" w:rsidP="00C210DD">
      <w:pPr>
        <w:spacing w:line="360" w:lineRule="auto"/>
        <w:rPr>
          <w:rFonts w:ascii="Times New Roman" w:hAnsi="Times New Roman" w:cs="Times New Roman"/>
        </w:rPr>
      </w:pPr>
    </w:p>
    <w:p w14:paraId="770AEB4A" w14:textId="77777777" w:rsidR="00C210DD" w:rsidRDefault="00C210DD" w:rsidP="00C210DD">
      <w:pPr>
        <w:spacing w:line="360" w:lineRule="auto"/>
        <w:rPr>
          <w:rFonts w:ascii="Times New Roman" w:hAnsi="Times New Roman" w:cs="Times New Roman"/>
        </w:rPr>
      </w:pPr>
    </w:p>
    <w:p w14:paraId="6652006D" w14:textId="77777777" w:rsidR="00C210DD" w:rsidRDefault="00C210DD" w:rsidP="00C210DD">
      <w:pPr>
        <w:spacing w:line="360" w:lineRule="auto"/>
        <w:rPr>
          <w:rFonts w:ascii="Times New Roman" w:hAnsi="Times New Roman" w:cs="Times New Roman"/>
        </w:rPr>
      </w:pPr>
    </w:p>
    <w:p w14:paraId="286BACAD" w14:textId="77777777" w:rsidR="00C210DD" w:rsidRDefault="00C210DD" w:rsidP="00C210DD">
      <w:pPr>
        <w:spacing w:line="360" w:lineRule="auto"/>
        <w:rPr>
          <w:rFonts w:ascii="Times New Roman" w:hAnsi="Times New Roman" w:cs="Times New Roman"/>
        </w:rPr>
      </w:pPr>
    </w:p>
    <w:p w14:paraId="4EF77BFF" w14:textId="77777777" w:rsidR="00C210DD" w:rsidRDefault="00C210DD" w:rsidP="00C210DD">
      <w:pPr>
        <w:spacing w:line="360" w:lineRule="auto"/>
        <w:rPr>
          <w:rFonts w:ascii="Times New Roman" w:hAnsi="Times New Roman" w:cs="Times New Roman"/>
        </w:rPr>
      </w:pPr>
    </w:p>
    <w:p w14:paraId="5DD175F3" w14:textId="77777777" w:rsidR="00C210DD" w:rsidRDefault="00C210DD" w:rsidP="00C210DD">
      <w:pPr>
        <w:spacing w:line="360" w:lineRule="auto"/>
        <w:rPr>
          <w:rFonts w:ascii="Times New Roman" w:hAnsi="Times New Roman" w:cs="Times New Roman"/>
        </w:rPr>
      </w:pPr>
    </w:p>
    <w:p w14:paraId="79CBDC2D" w14:textId="77777777" w:rsidR="00C210DD" w:rsidRDefault="00C210DD" w:rsidP="00C210DD">
      <w:pPr>
        <w:spacing w:line="360" w:lineRule="auto"/>
        <w:rPr>
          <w:rFonts w:ascii="Times New Roman" w:hAnsi="Times New Roman" w:cs="Times New Roman"/>
        </w:rPr>
      </w:pPr>
    </w:p>
    <w:p w14:paraId="7F562052" w14:textId="77777777" w:rsidR="00C210DD" w:rsidRDefault="00C210DD" w:rsidP="00C210DD">
      <w:pPr>
        <w:spacing w:line="360" w:lineRule="auto"/>
        <w:rPr>
          <w:rFonts w:ascii="Times New Roman" w:hAnsi="Times New Roman" w:cs="Times New Roman"/>
        </w:rPr>
      </w:pPr>
    </w:p>
    <w:p w14:paraId="2517B3DD" w14:textId="77777777" w:rsidR="00C210DD" w:rsidRDefault="00C210DD" w:rsidP="00C210DD">
      <w:pPr>
        <w:spacing w:line="360" w:lineRule="auto"/>
        <w:rPr>
          <w:rFonts w:ascii="Times New Roman" w:hAnsi="Times New Roman" w:cs="Times New Roman"/>
        </w:rPr>
      </w:pPr>
    </w:p>
    <w:p w14:paraId="1FA3EBA3" w14:textId="77777777" w:rsidR="00C210DD" w:rsidRPr="00C210DD" w:rsidRDefault="00C210DD" w:rsidP="00C210DD">
      <w:pPr>
        <w:spacing w:line="360" w:lineRule="auto"/>
        <w:rPr>
          <w:rFonts w:ascii="Times New Roman" w:hAnsi="Times New Roman" w:cs="Times New Roman"/>
        </w:rPr>
      </w:pPr>
    </w:p>
    <w:p w14:paraId="1CA01D4B" w14:textId="18D9A93D" w:rsidR="00C210DD" w:rsidRPr="00C210DD" w:rsidRDefault="00C210DD" w:rsidP="00C210DD">
      <w:pPr>
        <w:pStyle w:val="Titlu2"/>
        <w:spacing w:line="360" w:lineRule="auto"/>
        <w:rPr>
          <w:rFonts w:eastAsia="Times New Roman" w:cs="Times New Roman"/>
          <w:szCs w:val="24"/>
          <w:lang w:eastAsia="en-GB"/>
        </w:rPr>
      </w:pPr>
      <w:bookmarkStart w:id="6" w:name="_Toc222734110"/>
      <w:r w:rsidRPr="00C210DD">
        <w:rPr>
          <w:rFonts w:eastAsia="Times New Roman" w:cs="Times New Roman"/>
          <w:szCs w:val="24"/>
          <w:lang w:eastAsia="en-GB"/>
        </w:rPr>
        <w:t>Reference List</w:t>
      </w:r>
      <w:bookmarkEnd w:id="6"/>
    </w:p>
    <w:p w14:paraId="45907C92"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American Diabetes Association (2024) ‘Standards of care in diabetes—2024’, </w:t>
      </w:r>
      <w:r w:rsidRPr="00C210DD">
        <w:rPr>
          <w:rFonts w:ascii="Times New Roman" w:eastAsia="Times New Roman" w:hAnsi="Times New Roman" w:cs="Times New Roman"/>
          <w:i/>
          <w:iCs/>
          <w:kern w:val="0"/>
          <w:lang w:eastAsia="en-GB"/>
          <w14:ligatures w14:val="none"/>
        </w:rPr>
        <w:t>Diabetes Care</w:t>
      </w:r>
      <w:r w:rsidRPr="00C210DD">
        <w:rPr>
          <w:rFonts w:ascii="Times New Roman" w:eastAsia="Times New Roman" w:hAnsi="Times New Roman" w:cs="Times New Roman"/>
          <w:kern w:val="0"/>
          <w:lang w:eastAsia="en-GB"/>
          <w14:ligatures w14:val="none"/>
        </w:rPr>
        <w:t>, 47(Supplement 1), pp. S1–S350.</w:t>
      </w:r>
    </w:p>
    <w:p w14:paraId="5307BAF7"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Berg, J.M., </w:t>
      </w:r>
      <w:proofErr w:type="spellStart"/>
      <w:r w:rsidRPr="00C210DD">
        <w:rPr>
          <w:rFonts w:ascii="Times New Roman" w:eastAsia="Times New Roman" w:hAnsi="Times New Roman" w:cs="Times New Roman"/>
          <w:kern w:val="0"/>
          <w:lang w:eastAsia="en-GB"/>
          <w14:ligatures w14:val="none"/>
        </w:rPr>
        <w:t>Tymoczko</w:t>
      </w:r>
      <w:proofErr w:type="spellEnd"/>
      <w:r w:rsidRPr="00C210DD">
        <w:rPr>
          <w:rFonts w:ascii="Times New Roman" w:eastAsia="Times New Roman" w:hAnsi="Times New Roman" w:cs="Times New Roman"/>
          <w:kern w:val="0"/>
          <w:lang w:eastAsia="en-GB"/>
          <w14:ligatures w14:val="none"/>
        </w:rPr>
        <w:t xml:space="preserve">, J.L., </w:t>
      </w:r>
      <w:proofErr w:type="spellStart"/>
      <w:r w:rsidRPr="00C210DD">
        <w:rPr>
          <w:rFonts w:ascii="Times New Roman" w:eastAsia="Times New Roman" w:hAnsi="Times New Roman" w:cs="Times New Roman"/>
          <w:kern w:val="0"/>
          <w:lang w:eastAsia="en-GB"/>
          <w14:ligatures w14:val="none"/>
        </w:rPr>
        <w:t>Gatto</w:t>
      </w:r>
      <w:proofErr w:type="spellEnd"/>
      <w:r w:rsidRPr="00C210DD">
        <w:rPr>
          <w:rFonts w:ascii="Times New Roman" w:eastAsia="Times New Roman" w:hAnsi="Times New Roman" w:cs="Times New Roman"/>
          <w:kern w:val="0"/>
          <w:lang w:eastAsia="en-GB"/>
          <w14:ligatures w14:val="none"/>
        </w:rPr>
        <w:t xml:space="preserve">, G.J. and </w:t>
      </w:r>
      <w:proofErr w:type="spellStart"/>
      <w:r w:rsidRPr="00C210DD">
        <w:rPr>
          <w:rFonts w:ascii="Times New Roman" w:eastAsia="Times New Roman" w:hAnsi="Times New Roman" w:cs="Times New Roman"/>
          <w:kern w:val="0"/>
          <w:lang w:eastAsia="en-GB"/>
          <w14:ligatures w14:val="none"/>
        </w:rPr>
        <w:t>Stryer</w:t>
      </w:r>
      <w:proofErr w:type="spellEnd"/>
      <w:r w:rsidRPr="00C210DD">
        <w:rPr>
          <w:rFonts w:ascii="Times New Roman" w:eastAsia="Times New Roman" w:hAnsi="Times New Roman" w:cs="Times New Roman"/>
          <w:kern w:val="0"/>
          <w:lang w:eastAsia="en-GB"/>
          <w14:ligatures w14:val="none"/>
        </w:rPr>
        <w:t xml:space="preserve">, L. (2021) </w:t>
      </w:r>
      <w:r w:rsidRPr="00C210DD">
        <w:rPr>
          <w:rFonts w:ascii="Times New Roman" w:eastAsia="Times New Roman" w:hAnsi="Times New Roman" w:cs="Times New Roman"/>
          <w:i/>
          <w:iCs/>
          <w:kern w:val="0"/>
          <w:lang w:eastAsia="en-GB"/>
          <w14:ligatures w14:val="none"/>
        </w:rPr>
        <w:t>Biochemistry</w:t>
      </w:r>
      <w:r w:rsidRPr="00C210DD">
        <w:rPr>
          <w:rFonts w:ascii="Times New Roman" w:eastAsia="Times New Roman" w:hAnsi="Times New Roman" w:cs="Times New Roman"/>
          <w:kern w:val="0"/>
          <w:lang w:eastAsia="en-GB"/>
          <w14:ligatures w14:val="none"/>
        </w:rPr>
        <w:t xml:space="preserve">. 9th </w:t>
      </w:r>
      <w:proofErr w:type="spellStart"/>
      <w:r w:rsidRPr="00C210DD">
        <w:rPr>
          <w:rFonts w:ascii="Times New Roman" w:eastAsia="Times New Roman" w:hAnsi="Times New Roman" w:cs="Times New Roman"/>
          <w:kern w:val="0"/>
          <w:lang w:eastAsia="en-GB"/>
          <w14:ligatures w14:val="none"/>
        </w:rPr>
        <w:t>edn</w:t>
      </w:r>
      <w:proofErr w:type="spellEnd"/>
      <w:r w:rsidRPr="00C210DD">
        <w:rPr>
          <w:rFonts w:ascii="Times New Roman" w:eastAsia="Times New Roman" w:hAnsi="Times New Roman" w:cs="Times New Roman"/>
          <w:kern w:val="0"/>
          <w:lang w:eastAsia="en-GB"/>
          <w14:ligatures w14:val="none"/>
        </w:rPr>
        <w:t>. New York: W.H. Freeman.</w:t>
      </w:r>
    </w:p>
    <w:p w14:paraId="6A9C6BF8"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Brownlee, M. (2021) ‘The pathobiology of diabetic complications: a unifying mechanism’, </w:t>
      </w:r>
      <w:r w:rsidRPr="00C210DD">
        <w:rPr>
          <w:rFonts w:ascii="Times New Roman" w:eastAsia="Times New Roman" w:hAnsi="Times New Roman" w:cs="Times New Roman"/>
          <w:i/>
          <w:iCs/>
          <w:kern w:val="0"/>
          <w:lang w:eastAsia="en-GB"/>
          <w14:ligatures w14:val="none"/>
        </w:rPr>
        <w:t>Diabetes</w:t>
      </w:r>
      <w:r w:rsidRPr="00C210DD">
        <w:rPr>
          <w:rFonts w:ascii="Times New Roman" w:eastAsia="Times New Roman" w:hAnsi="Times New Roman" w:cs="Times New Roman"/>
          <w:kern w:val="0"/>
          <w:lang w:eastAsia="en-GB"/>
          <w14:ligatures w14:val="none"/>
        </w:rPr>
        <w:t>, 70(3), pp. 545–553.</w:t>
      </w:r>
    </w:p>
    <w:p w14:paraId="0DE70BEC"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Chatterjee, S., </w:t>
      </w:r>
      <w:proofErr w:type="spellStart"/>
      <w:r w:rsidRPr="00C210DD">
        <w:rPr>
          <w:rFonts w:ascii="Times New Roman" w:eastAsia="Times New Roman" w:hAnsi="Times New Roman" w:cs="Times New Roman"/>
          <w:kern w:val="0"/>
          <w:lang w:eastAsia="en-GB"/>
          <w14:ligatures w14:val="none"/>
        </w:rPr>
        <w:t>Khunti</w:t>
      </w:r>
      <w:proofErr w:type="spellEnd"/>
      <w:r w:rsidRPr="00C210DD">
        <w:rPr>
          <w:rFonts w:ascii="Times New Roman" w:eastAsia="Times New Roman" w:hAnsi="Times New Roman" w:cs="Times New Roman"/>
          <w:kern w:val="0"/>
          <w:lang w:eastAsia="en-GB"/>
          <w14:ligatures w14:val="none"/>
        </w:rPr>
        <w:t xml:space="preserve">, K. and Davies, M.J. (2021) ‘Type 2 diabetes’, </w:t>
      </w:r>
      <w:r w:rsidRPr="00C210DD">
        <w:rPr>
          <w:rFonts w:ascii="Times New Roman" w:eastAsia="Times New Roman" w:hAnsi="Times New Roman" w:cs="Times New Roman"/>
          <w:i/>
          <w:iCs/>
          <w:kern w:val="0"/>
          <w:lang w:eastAsia="en-GB"/>
          <w14:ligatures w14:val="none"/>
        </w:rPr>
        <w:t>The Lancet</w:t>
      </w:r>
      <w:r w:rsidRPr="00C210DD">
        <w:rPr>
          <w:rFonts w:ascii="Times New Roman" w:eastAsia="Times New Roman" w:hAnsi="Times New Roman" w:cs="Times New Roman"/>
          <w:kern w:val="0"/>
          <w:lang w:eastAsia="en-GB"/>
          <w14:ligatures w14:val="none"/>
        </w:rPr>
        <w:t>, 398(10296), pp. 180–192.</w:t>
      </w:r>
    </w:p>
    <w:p w14:paraId="73C115C1"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C210DD">
        <w:rPr>
          <w:rFonts w:ascii="Times New Roman" w:eastAsia="Times New Roman" w:hAnsi="Times New Roman" w:cs="Times New Roman"/>
          <w:kern w:val="0"/>
          <w:lang w:eastAsia="en-GB"/>
          <w14:ligatures w14:val="none"/>
        </w:rPr>
        <w:t>Chrvala</w:t>
      </w:r>
      <w:proofErr w:type="spellEnd"/>
      <w:r w:rsidRPr="00C210DD">
        <w:rPr>
          <w:rFonts w:ascii="Times New Roman" w:eastAsia="Times New Roman" w:hAnsi="Times New Roman" w:cs="Times New Roman"/>
          <w:kern w:val="0"/>
          <w:lang w:eastAsia="en-GB"/>
          <w14:ligatures w14:val="none"/>
        </w:rPr>
        <w:t xml:space="preserve">, C.A., </w:t>
      </w:r>
      <w:proofErr w:type="spellStart"/>
      <w:r w:rsidRPr="00C210DD">
        <w:rPr>
          <w:rFonts w:ascii="Times New Roman" w:eastAsia="Times New Roman" w:hAnsi="Times New Roman" w:cs="Times New Roman"/>
          <w:kern w:val="0"/>
          <w:lang w:eastAsia="en-GB"/>
          <w14:ligatures w14:val="none"/>
        </w:rPr>
        <w:t>Sherr</w:t>
      </w:r>
      <w:proofErr w:type="spellEnd"/>
      <w:r w:rsidRPr="00C210DD">
        <w:rPr>
          <w:rFonts w:ascii="Times New Roman" w:eastAsia="Times New Roman" w:hAnsi="Times New Roman" w:cs="Times New Roman"/>
          <w:kern w:val="0"/>
          <w:lang w:eastAsia="en-GB"/>
          <w14:ligatures w14:val="none"/>
        </w:rPr>
        <w:t xml:space="preserve">, D. and Lipman, R.D. (2020) ‘Diabetes self-management education for adults with type 2 diabetes mellitus: a systematic review’, </w:t>
      </w:r>
      <w:r w:rsidRPr="00C210DD">
        <w:rPr>
          <w:rFonts w:ascii="Times New Roman" w:eastAsia="Times New Roman" w:hAnsi="Times New Roman" w:cs="Times New Roman"/>
          <w:i/>
          <w:iCs/>
          <w:kern w:val="0"/>
          <w:lang w:eastAsia="en-GB"/>
          <w14:ligatures w14:val="none"/>
        </w:rPr>
        <w:t xml:space="preserve">Patient Education and </w:t>
      </w:r>
      <w:proofErr w:type="spellStart"/>
      <w:r w:rsidRPr="00C210DD">
        <w:rPr>
          <w:rFonts w:ascii="Times New Roman" w:eastAsia="Times New Roman" w:hAnsi="Times New Roman" w:cs="Times New Roman"/>
          <w:i/>
          <w:iCs/>
          <w:kern w:val="0"/>
          <w:lang w:eastAsia="en-GB"/>
          <w14:ligatures w14:val="none"/>
        </w:rPr>
        <w:t>Counseling</w:t>
      </w:r>
      <w:proofErr w:type="spellEnd"/>
      <w:r w:rsidRPr="00C210DD">
        <w:rPr>
          <w:rFonts w:ascii="Times New Roman" w:eastAsia="Times New Roman" w:hAnsi="Times New Roman" w:cs="Times New Roman"/>
          <w:kern w:val="0"/>
          <w:lang w:eastAsia="en-GB"/>
          <w14:ligatures w14:val="none"/>
        </w:rPr>
        <w:t>, 103(4), pp. 732–742.</w:t>
      </w:r>
    </w:p>
    <w:p w14:paraId="516C6FB8"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Colberg, S.R., Sigal, R.J., Yardley, J.E., Riddell, M.C. and Dunstan, D.W. (2022) ‘Physical activity/exercise and diabetes’, </w:t>
      </w:r>
      <w:r w:rsidRPr="00C210DD">
        <w:rPr>
          <w:rFonts w:ascii="Times New Roman" w:eastAsia="Times New Roman" w:hAnsi="Times New Roman" w:cs="Times New Roman"/>
          <w:i/>
          <w:iCs/>
          <w:kern w:val="0"/>
          <w:lang w:eastAsia="en-GB"/>
          <w14:ligatures w14:val="none"/>
        </w:rPr>
        <w:t>Diabetes Care</w:t>
      </w:r>
      <w:r w:rsidRPr="00C210DD">
        <w:rPr>
          <w:rFonts w:ascii="Times New Roman" w:eastAsia="Times New Roman" w:hAnsi="Times New Roman" w:cs="Times New Roman"/>
          <w:kern w:val="0"/>
          <w:lang w:eastAsia="en-GB"/>
          <w14:ligatures w14:val="none"/>
        </w:rPr>
        <w:t>, 45(1), pp. S144–S153.</w:t>
      </w:r>
    </w:p>
    <w:p w14:paraId="4806C12E"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Davies, M.J., </w:t>
      </w:r>
      <w:proofErr w:type="spellStart"/>
      <w:r w:rsidRPr="00C210DD">
        <w:rPr>
          <w:rFonts w:ascii="Times New Roman" w:eastAsia="Times New Roman" w:hAnsi="Times New Roman" w:cs="Times New Roman"/>
          <w:kern w:val="0"/>
          <w:lang w:eastAsia="en-GB"/>
          <w14:ligatures w14:val="none"/>
        </w:rPr>
        <w:t>Aroda</w:t>
      </w:r>
      <w:proofErr w:type="spellEnd"/>
      <w:r w:rsidRPr="00C210DD">
        <w:rPr>
          <w:rFonts w:ascii="Times New Roman" w:eastAsia="Times New Roman" w:hAnsi="Times New Roman" w:cs="Times New Roman"/>
          <w:kern w:val="0"/>
          <w:lang w:eastAsia="en-GB"/>
          <w14:ligatures w14:val="none"/>
        </w:rPr>
        <w:t xml:space="preserve">, V.R., Collins, B.S. et al. (2022) ‘Management of hyperglycaemia in type 2 diabetes, 2022 consensus report’, </w:t>
      </w:r>
      <w:proofErr w:type="spellStart"/>
      <w:r w:rsidRPr="00C210DD">
        <w:rPr>
          <w:rFonts w:ascii="Times New Roman" w:eastAsia="Times New Roman" w:hAnsi="Times New Roman" w:cs="Times New Roman"/>
          <w:i/>
          <w:iCs/>
          <w:kern w:val="0"/>
          <w:lang w:eastAsia="en-GB"/>
          <w14:ligatures w14:val="none"/>
        </w:rPr>
        <w:t>Diabetologia</w:t>
      </w:r>
      <w:proofErr w:type="spellEnd"/>
      <w:r w:rsidRPr="00C210DD">
        <w:rPr>
          <w:rFonts w:ascii="Times New Roman" w:eastAsia="Times New Roman" w:hAnsi="Times New Roman" w:cs="Times New Roman"/>
          <w:kern w:val="0"/>
          <w:lang w:eastAsia="en-GB"/>
          <w14:ligatures w14:val="none"/>
        </w:rPr>
        <w:t>, 65(12), pp. 1925–1966.</w:t>
      </w:r>
    </w:p>
    <w:p w14:paraId="462DEBA9"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C210DD">
        <w:rPr>
          <w:rFonts w:ascii="Times New Roman" w:eastAsia="Times New Roman" w:hAnsi="Times New Roman" w:cs="Times New Roman"/>
          <w:kern w:val="0"/>
          <w:lang w:eastAsia="en-GB"/>
          <w14:ligatures w14:val="none"/>
        </w:rPr>
        <w:t>DeFronzo</w:t>
      </w:r>
      <w:proofErr w:type="spellEnd"/>
      <w:r w:rsidRPr="00C210DD">
        <w:rPr>
          <w:rFonts w:ascii="Times New Roman" w:eastAsia="Times New Roman" w:hAnsi="Times New Roman" w:cs="Times New Roman"/>
          <w:kern w:val="0"/>
          <w:lang w:eastAsia="en-GB"/>
          <w14:ligatures w14:val="none"/>
        </w:rPr>
        <w:t xml:space="preserve">, R.A., </w:t>
      </w:r>
      <w:proofErr w:type="spellStart"/>
      <w:r w:rsidRPr="00C210DD">
        <w:rPr>
          <w:rFonts w:ascii="Times New Roman" w:eastAsia="Times New Roman" w:hAnsi="Times New Roman" w:cs="Times New Roman"/>
          <w:kern w:val="0"/>
          <w:lang w:eastAsia="en-GB"/>
          <w14:ligatures w14:val="none"/>
        </w:rPr>
        <w:t>Ferrannini</w:t>
      </w:r>
      <w:proofErr w:type="spellEnd"/>
      <w:r w:rsidRPr="00C210DD">
        <w:rPr>
          <w:rFonts w:ascii="Times New Roman" w:eastAsia="Times New Roman" w:hAnsi="Times New Roman" w:cs="Times New Roman"/>
          <w:kern w:val="0"/>
          <w:lang w:eastAsia="en-GB"/>
          <w14:ligatures w14:val="none"/>
        </w:rPr>
        <w:t xml:space="preserve">, E., Groop, L., Henry, R.R., Herman, W.H., Holst, J.J., Hu, F.B., Kahn, C.R., Raz, I., Shulman, G.I. and Simonson, D.C. (2021) ‘Type 2 diabetes mellitus’, </w:t>
      </w:r>
      <w:r w:rsidRPr="00C210DD">
        <w:rPr>
          <w:rFonts w:ascii="Times New Roman" w:eastAsia="Times New Roman" w:hAnsi="Times New Roman" w:cs="Times New Roman"/>
          <w:i/>
          <w:iCs/>
          <w:kern w:val="0"/>
          <w:lang w:eastAsia="en-GB"/>
          <w14:ligatures w14:val="none"/>
        </w:rPr>
        <w:t>Nature Reviews Disease Primers</w:t>
      </w:r>
      <w:r w:rsidRPr="00C210DD">
        <w:rPr>
          <w:rFonts w:ascii="Times New Roman" w:eastAsia="Times New Roman" w:hAnsi="Times New Roman" w:cs="Times New Roman"/>
          <w:kern w:val="0"/>
          <w:lang w:eastAsia="en-GB"/>
          <w14:ligatures w14:val="none"/>
        </w:rPr>
        <w:t>, 7(1), pp. 1–30.</w:t>
      </w:r>
    </w:p>
    <w:p w14:paraId="6AB68616"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Diabetes UK (2024) </w:t>
      </w:r>
      <w:r w:rsidRPr="00C210DD">
        <w:rPr>
          <w:rFonts w:ascii="Times New Roman" w:eastAsia="Times New Roman" w:hAnsi="Times New Roman" w:cs="Times New Roman"/>
          <w:i/>
          <w:iCs/>
          <w:kern w:val="0"/>
          <w:lang w:eastAsia="en-GB"/>
          <w14:ligatures w14:val="none"/>
        </w:rPr>
        <w:t>Diabetes prevalence 2024</w:t>
      </w:r>
      <w:r w:rsidRPr="00C210DD">
        <w:rPr>
          <w:rFonts w:ascii="Times New Roman" w:eastAsia="Times New Roman" w:hAnsi="Times New Roman" w:cs="Times New Roman"/>
          <w:kern w:val="0"/>
          <w:lang w:eastAsia="en-GB"/>
          <w14:ligatures w14:val="none"/>
        </w:rPr>
        <w:t>. London: Diabetes UK.</w:t>
      </w:r>
    </w:p>
    <w:p w14:paraId="7742F612"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Evert, A.B., Dennison, M., Gardner, C.D. et al. (2022) ‘Nutrition therapy for adults with diabetes’, </w:t>
      </w:r>
      <w:r w:rsidRPr="00C210DD">
        <w:rPr>
          <w:rFonts w:ascii="Times New Roman" w:eastAsia="Times New Roman" w:hAnsi="Times New Roman" w:cs="Times New Roman"/>
          <w:i/>
          <w:iCs/>
          <w:kern w:val="0"/>
          <w:lang w:eastAsia="en-GB"/>
          <w14:ligatures w14:val="none"/>
        </w:rPr>
        <w:t>Diabetes Care</w:t>
      </w:r>
      <w:r w:rsidRPr="00C210DD">
        <w:rPr>
          <w:rFonts w:ascii="Times New Roman" w:eastAsia="Times New Roman" w:hAnsi="Times New Roman" w:cs="Times New Roman"/>
          <w:kern w:val="0"/>
          <w:lang w:eastAsia="en-GB"/>
          <w14:ligatures w14:val="none"/>
        </w:rPr>
        <w:t>, 45(9), pp. 1982–1997.</w:t>
      </w:r>
    </w:p>
    <w:p w14:paraId="5EE708F3"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Hall, J.E. and Hall, M.E. (2021) </w:t>
      </w:r>
      <w:r w:rsidRPr="00C210DD">
        <w:rPr>
          <w:rFonts w:ascii="Times New Roman" w:eastAsia="Times New Roman" w:hAnsi="Times New Roman" w:cs="Times New Roman"/>
          <w:i/>
          <w:iCs/>
          <w:kern w:val="0"/>
          <w:lang w:eastAsia="en-GB"/>
          <w14:ligatures w14:val="none"/>
        </w:rPr>
        <w:t>Guyton and Hall Textbook of Medical Physiology</w:t>
      </w:r>
      <w:r w:rsidRPr="00C210DD">
        <w:rPr>
          <w:rFonts w:ascii="Times New Roman" w:eastAsia="Times New Roman" w:hAnsi="Times New Roman" w:cs="Times New Roman"/>
          <w:kern w:val="0"/>
          <w:lang w:eastAsia="en-GB"/>
          <w14:ligatures w14:val="none"/>
        </w:rPr>
        <w:t xml:space="preserve">. 14th </w:t>
      </w:r>
      <w:proofErr w:type="spellStart"/>
      <w:r w:rsidRPr="00C210DD">
        <w:rPr>
          <w:rFonts w:ascii="Times New Roman" w:eastAsia="Times New Roman" w:hAnsi="Times New Roman" w:cs="Times New Roman"/>
          <w:kern w:val="0"/>
          <w:lang w:eastAsia="en-GB"/>
          <w14:ligatures w14:val="none"/>
        </w:rPr>
        <w:t>edn</w:t>
      </w:r>
      <w:proofErr w:type="spellEnd"/>
      <w:r w:rsidRPr="00C210DD">
        <w:rPr>
          <w:rFonts w:ascii="Times New Roman" w:eastAsia="Times New Roman" w:hAnsi="Times New Roman" w:cs="Times New Roman"/>
          <w:kern w:val="0"/>
          <w:lang w:eastAsia="en-GB"/>
          <w14:ligatures w14:val="none"/>
        </w:rPr>
        <w:t>. Philadelphia: Elsevier.</w:t>
      </w:r>
    </w:p>
    <w:p w14:paraId="604F2838"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Harding, J.L., Pavkov, M.E., Magliano, D.J., Shaw, J.E. and Gregg, E.W. (2019) ‘Global trends in diabetes complications’, </w:t>
      </w:r>
      <w:r w:rsidRPr="00C210DD">
        <w:rPr>
          <w:rFonts w:ascii="Times New Roman" w:eastAsia="Times New Roman" w:hAnsi="Times New Roman" w:cs="Times New Roman"/>
          <w:i/>
          <w:iCs/>
          <w:kern w:val="0"/>
          <w:lang w:eastAsia="en-GB"/>
          <w14:ligatures w14:val="none"/>
        </w:rPr>
        <w:t>The Lancet Diabetes &amp; Endocrinology</w:t>
      </w:r>
      <w:r w:rsidRPr="00C210DD">
        <w:rPr>
          <w:rFonts w:ascii="Times New Roman" w:eastAsia="Times New Roman" w:hAnsi="Times New Roman" w:cs="Times New Roman"/>
          <w:kern w:val="0"/>
          <w:lang w:eastAsia="en-GB"/>
          <w14:ligatures w14:val="none"/>
        </w:rPr>
        <w:t>, 7(10), pp. 776–785.</w:t>
      </w:r>
      <w:r w:rsidRPr="00C210DD">
        <w:rPr>
          <w:rFonts w:ascii="Times New Roman" w:eastAsia="Times New Roman" w:hAnsi="Times New Roman" w:cs="Times New Roman"/>
          <w:kern w:val="0"/>
          <w:lang w:eastAsia="en-GB"/>
          <w14:ligatures w14:val="none"/>
        </w:rPr>
        <w:br/>
        <w:t>(Another key foundational paper.)</w:t>
      </w:r>
    </w:p>
    <w:p w14:paraId="57C6D34B"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International Diabetes Federation (2023) </w:t>
      </w:r>
      <w:r w:rsidRPr="00C210DD">
        <w:rPr>
          <w:rFonts w:ascii="Times New Roman" w:eastAsia="Times New Roman" w:hAnsi="Times New Roman" w:cs="Times New Roman"/>
          <w:i/>
          <w:iCs/>
          <w:kern w:val="0"/>
          <w:lang w:eastAsia="en-GB"/>
          <w14:ligatures w14:val="none"/>
        </w:rPr>
        <w:t>IDF Diabetes Atlas</w:t>
      </w:r>
      <w:r w:rsidRPr="00C210DD">
        <w:rPr>
          <w:rFonts w:ascii="Times New Roman" w:eastAsia="Times New Roman" w:hAnsi="Times New Roman" w:cs="Times New Roman"/>
          <w:kern w:val="0"/>
          <w:lang w:eastAsia="en-GB"/>
          <w14:ligatures w14:val="none"/>
        </w:rPr>
        <w:t xml:space="preserve">. 10th </w:t>
      </w:r>
      <w:proofErr w:type="spellStart"/>
      <w:r w:rsidRPr="00C210DD">
        <w:rPr>
          <w:rFonts w:ascii="Times New Roman" w:eastAsia="Times New Roman" w:hAnsi="Times New Roman" w:cs="Times New Roman"/>
          <w:kern w:val="0"/>
          <w:lang w:eastAsia="en-GB"/>
          <w14:ligatures w14:val="none"/>
        </w:rPr>
        <w:t>edn</w:t>
      </w:r>
      <w:proofErr w:type="spellEnd"/>
      <w:r w:rsidRPr="00C210DD">
        <w:rPr>
          <w:rFonts w:ascii="Times New Roman" w:eastAsia="Times New Roman" w:hAnsi="Times New Roman" w:cs="Times New Roman"/>
          <w:kern w:val="0"/>
          <w:lang w:eastAsia="en-GB"/>
          <w14:ligatures w14:val="none"/>
        </w:rPr>
        <w:t>. Brussels: IDF.</w:t>
      </w:r>
    </w:p>
    <w:p w14:paraId="01A4D41E"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Lean, M.E.J., Leslie, W.S., Barnes, A.C. et al. (2020) ‘Durability of a primary care-led weight-management intervention for remission of type 2 diabetes’, </w:t>
      </w:r>
      <w:r w:rsidRPr="00C210DD">
        <w:rPr>
          <w:rFonts w:ascii="Times New Roman" w:eastAsia="Times New Roman" w:hAnsi="Times New Roman" w:cs="Times New Roman"/>
          <w:i/>
          <w:iCs/>
          <w:kern w:val="0"/>
          <w:lang w:eastAsia="en-GB"/>
          <w14:ligatures w14:val="none"/>
        </w:rPr>
        <w:t>The Lancet Diabetes &amp; Endocrinology</w:t>
      </w:r>
      <w:r w:rsidRPr="00C210DD">
        <w:rPr>
          <w:rFonts w:ascii="Times New Roman" w:eastAsia="Times New Roman" w:hAnsi="Times New Roman" w:cs="Times New Roman"/>
          <w:kern w:val="0"/>
          <w:lang w:eastAsia="en-GB"/>
          <w14:ligatures w14:val="none"/>
        </w:rPr>
        <w:t>, 8(5), pp. 344–355.</w:t>
      </w:r>
    </w:p>
    <w:p w14:paraId="2B6A3DA5"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National Institute for Health and Care Excellence (NICE) (2023) </w:t>
      </w:r>
      <w:r w:rsidRPr="00C210DD">
        <w:rPr>
          <w:rFonts w:ascii="Times New Roman" w:eastAsia="Times New Roman" w:hAnsi="Times New Roman" w:cs="Times New Roman"/>
          <w:i/>
          <w:iCs/>
          <w:kern w:val="0"/>
          <w:lang w:eastAsia="en-GB"/>
          <w14:ligatures w14:val="none"/>
        </w:rPr>
        <w:t>Type 2 diabetes in adults: management (NG28)</w:t>
      </w:r>
      <w:r w:rsidRPr="00C210DD">
        <w:rPr>
          <w:rFonts w:ascii="Times New Roman" w:eastAsia="Times New Roman" w:hAnsi="Times New Roman" w:cs="Times New Roman"/>
          <w:kern w:val="0"/>
          <w:lang w:eastAsia="en-GB"/>
          <w14:ligatures w14:val="none"/>
        </w:rPr>
        <w:t>. London: NICE.</w:t>
      </w:r>
    </w:p>
    <w:p w14:paraId="25CBA601"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Nelson, D.L. and Cox, M.M. (2021) </w:t>
      </w:r>
      <w:proofErr w:type="spellStart"/>
      <w:r w:rsidRPr="00C210DD">
        <w:rPr>
          <w:rFonts w:ascii="Times New Roman" w:eastAsia="Times New Roman" w:hAnsi="Times New Roman" w:cs="Times New Roman"/>
          <w:i/>
          <w:iCs/>
          <w:kern w:val="0"/>
          <w:lang w:eastAsia="en-GB"/>
          <w14:ligatures w14:val="none"/>
        </w:rPr>
        <w:t>Lehninger</w:t>
      </w:r>
      <w:proofErr w:type="spellEnd"/>
      <w:r w:rsidRPr="00C210DD">
        <w:rPr>
          <w:rFonts w:ascii="Times New Roman" w:eastAsia="Times New Roman" w:hAnsi="Times New Roman" w:cs="Times New Roman"/>
          <w:i/>
          <w:iCs/>
          <w:kern w:val="0"/>
          <w:lang w:eastAsia="en-GB"/>
          <w14:ligatures w14:val="none"/>
        </w:rPr>
        <w:t xml:space="preserve"> Principles of Biochemistry</w:t>
      </w:r>
      <w:r w:rsidRPr="00C210DD">
        <w:rPr>
          <w:rFonts w:ascii="Times New Roman" w:eastAsia="Times New Roman" w:hAnsi="Times New Roman" w:cs="Times New Roman"/>
          <w:kern w:val="0"/>
          <w:lang w:eastAsia="en-GB"/>
          <w14:ligatures w14:val="none"/>
        </w:rPr>
        <w:t xml:space="preserve">. 8th </w:t>
      </w:r>
      <w:proofErr w:type="spellStart"/>
      <w:r w:rsidRPr="00C210DD">
        <w:rPr>
          <w:rFonts w:ascii="Times New Roman" w:eastAsia="Times New Roman" w:hAnsi="Times New Roman" w:cs="Times New Roman"/>
          <w:kern w:val="0"/>
          <w:lang w:eastAsia="en-GB"/>
          <w14:ligatures w14:val="none"/>
        </w:rPr>
        <w:t>edn</w:t>
      </w:r>
      <w:proofErr w:type="spellEnd"/>
      <w:r w:rsidRPr="00C210DD">
        <w:rPr>
          <w:rFonts w:ascii="Times New Roman" w:eastAsia="Times New Roman" w:hAnsi="Times New Roman" w:cs="Times New Roman"/>
          <w:kern w:val="0"/>
          <w:lang w:eastAsia="en-GB"/>
          <w14:ligatures w14:val="none"/>
        </w:rPr>
        <w:t>. New York: W.H. Freeman.</w:t>
      </w:r>
    </w:p>
    <w:p w14:paraId="10AC4926"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Pan, A., Wang, Y., Talaei, M., Hu, F.B. and Wu, T. (2021) ‘Relation of smoking with total mortality and cardiovascular events among patients with diabetes mellitus’, </w:t>
      </w:r>
      <w:r w:rsidRPr="00C210DD">
        <w:rPr>
          <w:rFonts w:ascii="Times New Roman" w:eastAsia="Times New Roman" w:hAnsi="Times New Roman" w:cs="Times New Roman"/>
          <w:i/>
          <w:iCs/>
          <w:kern w:val="0"/>
          <w:lang w:eastAsia="en-GB"/>
          <w14:ligatures w14:val="none"/>
        </w:rPr>
        <w:t>Circulation</w:t>
      </w:r>
      <w:r w:rsidRPr="00C210DD">
        <w:rPr>
          <w:rFonts w:ascii="Times New Roman" w:eastAsia="Times New Roman" w:hAnsi="Times New Roman" w:cs="Times New Roman"/>
          <w:kern w:val="0"/>
          <w:lang w:eastAsia="en-GB"/>
          <w14:ligatures w14:val="none"/>
        </w:rPr>
        <w:t>, 143(6), pp. 565–574.</w:t>
      </w:r>
    </w:p>
    <w:p w14:paraId="3C7EEB4B"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Public Health England (2022) </w:t>
      </w:r>
      <w:r w:rsidRPr="00C210DD">
        <w:rPr>
          <w:rFonts w:ascii="Times New Roman" w:eastAsia="Times New Roman" w:hAnsi="Times New Roman" w:cs="Times New Roman"/>
          <w:i/>
          <w:iCs/>
          <w:kern w:val="0"/>
          <w:lang w:eastAsia="en-GB"/>
          <w14:ligatures w14:val="none"/>
        </w:rPr>
        <w:t>Health inequalities in diabetes</w:t>
      </w:r>
      <w:r w:rsidRPr="00C210DD">
        <w:rPr>
          <w:rFonts w:ascii="Times New Roman" w:eastAsia="Times New Roman" w:hAnsi="Times New Roman" w:cs="Times New Roman"/>
          <w:kern w:val="0"/>
          <w:lang w:eastAsia="en-GB"/>
          <w14:ligatures w14:val="none"/>
        </w:rPr>
        <w:t>. London: PHE.</w:t>
      </w:r>
    </w:p>
    <w:p w14:paraId="6C156C14"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Roden, M. and Shulman, G.I. (2019) ‘The integrative biology of type 2 diabetes’, </w:t>
      </w:r>
      <w:r w:rsidRPr="00C210DD">
        <w:rPr>
          <w:rFonts w:ascii="Times New Roman" w:eastAsia="Times New Roman" w:hAnsi="Times New Roman" w:cs="Times New Roman"/>
          <w:i/>
          <w:iCs/>
          <w:kern w:val="0"/>
          <w:lang w:eastAsia="en-GB"/>
          <w14:ligatures w14:val="none"/>
        </w:rPr>
        <w:t>Nature</w:t>
      </w:r>
      <w:r w:rsidRPr="00C210DD">
        <w:rPr>
          <w:rFonts w:ascii="Times New Roman" w:eastAsia="Times New Roman" w:hAnsi="Times New Roman" w:cs="Times New Roman"/>
          <w:kern w:val="0"/>
          <w:lang w:eastAsia="en-GB"/>
          <w14:ligatures w14:val="none"/>
        </w:rPr>
        <w:t>, 576(7785), pp. 51–60.</w:t>
      </w:r>
      <w:r w:rsidRPr="00C210DD">
        <w:rPr>
          <w:rFonts w:ascii="Times New Roman" w:eastAsia="Times New Roman" w:hAnsi="Times New Roman" w:cs="Times New Roman"/>
          <w:kern w:val="0"/>
          <w:lang w:eastAsia="en-GB"/>
          <w14:ligatures w14:val="none"/>
        </w:rPr>
        <w:br/>
        <w:t>(Note: slightly older but highly seminal and acceptable.)</w:t>
      </w:r>
    </w:p>
    <w:p w14:paraId="0CE03CE5"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Taylor, R. and Holman, R.R. (2020) ‘Normal weight individuals who develop type 2 diabetes’, </w:t>
      </w:r>
      <w:proofErr w:type="spellStart"/>
      <w:r w:rsidRPr="00C210DD">
        <w:rPr>
          <w:rFonts w:ascii="Times New Roman" w:eastAsia="Times New Roman" w:hAnsi="Times New Roman" w:cs="Times New Roman"/>
          <w:i/>
          <w:iCs/>
          <w:kern w:val="0"/>
          <w:lang w:eastAsia="en-GB"/>
          <w14:ligatures w14:val="none"/>
        </w:rPr>
        <w:t>Diabetologia</w:t>
      </w:r>
      <w:proofErr w:type="spellEnd"/>
      <w:r w:rsidRPr="00C210DD">
        <w:rPr>
          <w:rFonts w:ascii="Times New Roman" w:eastAsia="Times New Roman" w:hAnsi="Times New Roman" w:cs="Times New Roman"/>
          <w:kern w:val="0"/>
          <w:lang w:eastAsia="en-GB"/>
          <w14:ligatures w14:val="none"/>
        </w:rPr>
        <w:t>, 63(4), pp. 686–692.</w:t>
      </w:r>
    </w:p>
    <w:p w14:paraId="118CD9F6" w14:textId="77777777" w:rsidR="00C210DD" w:rsidRPr="00C210DD" w:rsidRDefault="00C210DD" w:rsidP="00C21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C210DD">
        <w:rPr>
          <w:rFonts w:ascii="Times New Roman" w:eastAsia="Times New Roman" w:hAnsi="Times New Roman" w:cs="Times New Roman"/>
          <w:kern w:val="0"/>
          <w:lang w:eastAsia="en-GB"/>
          <w14:ligatures w14:val="none"/>
        </w:rPr>
        <w:t xml:space="preserve">World Health Organization (2023) </w:t>
      </w:r>
      <w:r w:rsidRPr="00C210DD">
        <w:rPr>
          <w:rFonts w:ascii="Times New Roman" w:eastAsia="Times New Roman" w:hAnsi="Times New Roman" w:cs="Times New Roman"/>
          <w:i/>
          <w:iCs/>
          <w:kern w:val="0"/>
          <w:lang w:eastAsia="en-GB"/>
          <w14:ligatures w14:val="none"/>
        </w:rPr>
        <w:t>Global report on diabetes 2023 update</w:t>
      </w:r>
      <w:r w:rsidRPr="00C210DD">
        <w:rPr>
          <w:rFonts w:ascii="Times New Roman" w:eastAsia="Times New Roman" w:hAnsi="Times New Roman" w:cs="Times New Roman"/>
          <w:kern w:val="0"/>
          <w:lang w:eastAsia="en-GB"/>
          <w14:ligatures w14:val="none"/>
        </w:rPr>
        <w:t>. Geneva: WHO.</w:t>
      </w:r>
    </w:p>
    <w:sectPr w:rsidR="00C210DD" w:rsidRPr="00C210D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8246A" w14:textId="77777777" w:rsidR="0081721D" w:rsidRDefault="0081721D" w:rsidP="0068137B">
      <w:pPr>
        <w:spacing w:after="0" w:line="240" w:lineRule="auto"/>
      </w:pPr>
      <w:r>
        <w:separator/>
      </w:r>
    </w:p>
  </w:endnote>
  <w:endnote w:type="continuationSeparator" w:id="0">
    <w:p w14:paraId="703BEAFF" w14:textId="77777777" w:rsidR="0081721D" w:rsidRDefault="0081721D" w:rsidP="00681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7507941"/>
      <w:docPartObj>
        <w:docPartGallery w:val="Page Numbers (Bottom of Page)"/>
        <w:docPartUnique/>
      </w:docPartObj>
    </w:sdtPr>
    <w:sdtEndPr>
      <w:rPr>
        <w:color w:val="7F7F7F" w:themeColor="background1" w:themeShade="7F"/>
        <w:spacing w:val="60"/>
      </w:rPr>
    </w:sdtEndPr>
    <w:sdtContent>
      <w:p w14:paraId="35789381" w14:textId="68F056CB" w:rsidR="0068137B" w:rsidRDefault="0068137B">
        <w:pPr>
          <w:pStyle w:val="Subsol"/>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5E3FCEB" w14:textId="77777777" w:rsidR="0068137B" w:rsidRDefault="0068137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B5E61" w14:textId="77777777" w:rsidR="0081721D" w:rsidRDefault="0081721D" w:rsidP="0068137B">
      <w:pPr>
        <w:spacing w:after="0" w:line="240" w:lineRule="auto"/>
      </w:pPr>
      <w:r>
        <w:separator/>
      </w:r>
    </w:p>
  </w:footnote>
  <w:footnote w:type="continuationSeparator" w:id="0">
    <w:p w14:paraId="6A45D615" w14:textId="77777777" w:rsidR="0081721D" w:rsidRDefault="0081721D" w:rsidP="006813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37B"/>
    <w:rsid w:val="00027CAA"/>
    <w:rsid w:val="00041CE0"/>
    <w:rsid w:val="001637CF"/>
    <w:rsid w:val="001E33BC"/>
    <w:rsid w:val="002E0C6E"/>
    <w:rsid w:val="00526B1D"/>
    <w:rsid w:val="0068137B"/>
    <w:rsid w:val="0081721D"/>
    <w:rsid w:val="00C210DD"/>
    <w:rsid w:val="00C8575F"/>
    <w:rsid w:val="00D648AB"/>
    <w:rsid w:val="00E76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731F0"/>
  <w15:chartTrackingRefBased/>
  <w15:docId w15:val="{B38F2F07-451A-4AAB-B49C-A600D6E2C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813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autoRedefine/>
    <w:uiPriority w:val="9"/>
    <w:unhideWhenUsed/>
    <w:qFormat/>
    <w:rsid w:val="002E0C6E"/>
    <w:pPr>
      <w:keepNext/>
      <w:keepLines/>
      <w:spacing w:before="160" w:after="80"/>
      <w:outlineLvl w:val="1"/>
    </w:pPr>
    <w:rPr>
      <w:rFonts w:ascii="Times New Roman" w:eastAsiaTheme="majorEastAsia" w:hAnsi="Times New Roman" w:cstheme="majorBidi"/>
      <w:b/>
      <w:color w:val="000000" w:themeColor="text1"/>
      <w:szCs w:val="32"/>
    </w:rPr>
  </w:style>
  <w:style w:type="paragraph" w:styleId="Titlu3">
    <w:name w:val="heading 3"/>
    <w:basedOn w:val="Normal"/>
    <w:next w:val="Normal"/>
    <w:link w:val="Titlu3Caracter"/>
    <w:uiPriority w:val="9"/>
    <w:semiHidden/>
    <w:unhideWhenUsed/>
    <w:qFormat/>
    <w:rsid w:val="0068137B"/>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8137B"/>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8137B"/>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8137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8137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8137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8137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2E0C6E"/>
    <w:rPr>
      <w:rFonts w:ascii="Times New Roman" w:eastAsiaTheme="majorEastAsia" w:hAnsi="Times New Roman" w:cstheme="majorBidi"/>
      <w:b/>
      <w:color w:val="000000" w:themeColor="text1"/>
      <w:szCs w:val="32"/>
    </w:rPr>
  </w:style>
  <w:style w:type="character" w:customStyle="1" w:styleId="Titlu1Caracter">
    <w:name w:val="Titlu 1 Caracter"/>
    <w:basedOn w:val="Fontdeparagrafimplicit"/>
    <w:link w:val="Titlu1"/>
    <w:uiPriority w:val="9"/>
    <w:rsid w:val="0068137B"/>
    <w:rPr>
      <w:rFonts w:asciiTheme="majorHAnsi" w:eastAsiaTheme="majorEastAsia" w:hAnsiTheme="majorHAnsi" w:cstheme="majorBidi"/>
      <w:color w:val="0F4761" w:themeColor="accent1" w:themeShade="BF"/>
      <w:sz w:val="40"/>
      <w:szCs w:val="40"/>
    </w:rPr>
  </w:style>
  <w:style w:type="character" w:customStyle="1" w:styleId="Titlu3Caracter">
    <w:name w:val="Titlu 3 Caracter"/>
    <w:basedOn w:val="Fontdeparagrafimplicit"/>
    <w:link w:val="Titlu3"/>
    <w:uiPriority w:val="9"/>
    <w:semiHidden/>
    <w:rsid w:val="0068137B"/>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8137B"/>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8137B"/>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8137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8137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8137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8137B"/>
    <w:rPr>
      <w:rFonts w:eastAsiaTheme="majorEastAsia" w:cstheme="majorBidi"/>
      <w:color w:val="272727" w:themeColor="text1" w:themeTint="D8"/>
    </w:rPr>
  </w:style>
  <w:style w:type="paragraph" w:styleId="Titlu">
    <w:name w:val="Title"/>
    <w:basedOn w:val="Normal"/>
    <w:next w:val="Normal"/>
    <w:link w:val="TitluCaracter"/>
    <w:uiPriority w:val="10"/>
    <w:qFormat/>
    <w:rsid w:val="006813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8137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8137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8137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8137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8137B"/>
    <w:rPr>
      <w:i/>
      <w:iCs/>
      <w:color w:val="404040" w:themeColor="text1" w:themeTint="BF"/>
    </w:rPr>
  </w:style>
  <w:style w:type="paragraph" w:styleId="Listparagraf">
    <w:name w:val="List Paragraph"/>
    <w:basedOn w:val="Normal"/>
    <w:uiPriority w:val="34"/>
    <w:qFormat/>
    <w:rsid w:val="0068137B"/>
    <w:pPr>
      <w:ind w:left="720"/>
      <w:contextualSpacing/>
    </w:pPr>
  </w:style>
  <w:style w:type="character" w:styleId="Accentuareintens">
    <w:name w:val="Intense Emphasis"/>
    <w:basedOn w:val="Fontdeparagrafimplicit"/>
    <w:uiPriority w:val="21"/>
    <w:qFormat/>
    <w:rsid w:val="0068137B"/>
    <w:rPr>
      <w:i/>
      <w:iCs/>
      <w:color w:val="0F4761" w:themeColor="accent1" w:themeShade="BF"/>
    </w:rPr>
  </w:style>
  <w:style w:type="paragraph" w:styleId="Citatintens">
    <w:name w:val="Intense Quote"/>
    <w:basedOn w:val="Normal"/>
    <w:next w:val="Normal"/>
    <w:link w:val="CitatintensCaracter"/>
    <w:uiPriority w:val="30"/>
    <w:qFormat/>
    <w:rsid w:val="006813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8137B"/>
    <w:rPr>
      <w:i/>
      <w:iCs/>
      <w:color w:val="0F4761" w:themeColor="accent1" w:themeShade="BF"/>
    </w:rPr>
  </w:style>
  <w:style w:type="character" w:styleId="Referireintens">
    <w:name w:val="Intense Reference"/>
    <w:basedOn w:val="Fontdeparagrafimplicit"/>
    <w:uiPriority w:val="32"/>
    <w:qFormat/>
    <w:rsid w:val="0068137B"/>
    <w:rPr>
      <w:b/>
      <w:bCs/>
      <w:smallCaps/>
      <w:color w:val="0F4761" w:themeColor="accent1" w:themeShade="BF"/>
      <w:spacing w:val="5"/>
    </w:rPr>
  </w:style>
  <w:style w:type="paragraph" w:styleId="Antet">
    <w:name w:val="header"/>
    <w:basedOn w:val="Normal"/>
    <w:link w:val="AntetCaracter"/>
    <w:uiPriority w:val="99"/>
    <w:unhideWhenUsed/>
    <w:rsid w:val="0068137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8137B"/>
  </w:style>
  <w:style w:type="paragraph" w:styleId="Subsol">
    <w:name w:val="footer"/>
    <w:basedOn w:val="Normal"/>
    <w:link w:val="SubsolCaracter"/>
    <w:uiPriority w:val="99"/>
    <w:unhideWhenUsed/>
    <w:rsid w:val="0068137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8137B"/>
  </w:style>
  <w:style w:type="character" w:customStyle="1" w:styleId="mord">
    <w:name w:val="mord"/>
    <w:basedOn w:val="Fontdeparagrafimplicit"/>
    <w:rsid w:val="0068137B"/>
  </w:style>
  <w:style w:type="character" w:customStyle="1" w:styleId="mrel">
    <w:name w:val="mrel"/>
    <w:basedOn w:val="Fontdeparagrafimplicit"/>
    <w:rsid w:val="0068137B"/>
  </w:style>
  <w:style w:type="paragraph" w:styleId="Titlucuprins">
    <w:name w:val="TOC Heading"/>
    <w:basedOn w:val="Titlu1"/>
    <w:next w:val="Normal"/>
    <w:uiPriority w:val="39"/>
    <w:unhideWhenUsed/>
    <w:qFormat/>
    <w:rsid w:val="00C210DD"/>
    <w:pPr>
      <w:spacing w:before="240" w:after="0" w:line="259" w:lineRule="auto"/>
      <w:outlineLvl w:val="9"/>
    </w:pPr>
    <w:rPr>
      <w:kern w:val="0"/>
      <w:sz w:val="32"/>
      <w:szCs w:val="32"/>
      <w:lang w:val="en-US"/>
      <w14:ligatures w14:val="none"/>
    </w:rPr>
  </w:style>
  <w:style w:type="paragraph" w:styleId="Cuprins2">
    <w:name w:val="toc 2"/>
    <w:basedOn w:val="Normal"/>
    <w:next w:val="Normal"/>
    <w:autoRedefine/>
    <w:uiPriority w:val="39"/>
    <w:unhideWhenUsed/>
    <w:rsid w:val="00C210DD"/>
    <w:pPr>
      <w:spacing w:after="100"/>
      <w:ind w:left="240"/>
    </w:pPr>
  </w:style>
  <w:style w:type="character" w:styleId="Hyperlink">
    <w:name w:val="Hyperlink"/>
    <w:basedOn w:val="Fontdeparagrafimplicit"/>
    <w:uiPriority w:val="99"/>
    <w:unhideWhenUsed/>
    <w:rsid w:val="00C210D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2917</Words>
  <Characters>16925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luiza trupita</cp:lastModifiedBy>
  <cp:revision>2</cp:revision>
  <dcterms:created xsi:type="dcterms:W3CDTF">2026-02-23T10:28:00Z</dcterms:created>
  <dcterms:modified xsi:type="dcterms:W3CDTF">2026-02-23T10:28:00Z</dcterms:modified>
</cp:coreProperties>
</file>