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E9AAB" w14:textId="33076CB5" w:rsidR="00F7012A" w:rsidRDefault="5F0331A1" w:rsidP="60EAAEDE">
      <w:pPr>
        <w:spacing w:after="0"/>
        <w:jc w:val="center"/>
      </w:pPr>
      <w:r w:rsidRPr="3741862F">
        <w:rPr>
          <w:rFonts w:ascii="Arial" w:eastAsia="Arial" w:hAnsi="Arial" w:cs="Arial"/>
          <w:sz w:val="16"/>
          <w:szCs w:val="16"/>
        </w:rPr>
        <w:t xml:space="preserve"> </w:t>
      </w:r>
      <w:r w:rsidRPr="3741862F">
        <w:rPr>
          <w:rFonts w:ascii="Arial" w:eastAsia="Arial" w:hAnsi="Arial" w:cs="Arial"/>
          <w:sz w:val="18"/>
          <w:szCs w:val="18"/>
        </w:rPr>
        <w:t xml:space="preserve"> </w:t>
      </w:r>
    </w:p>
    <w:p w14:paraId="225D422A" w14:textId="3221625C" w:rsidR="3741862F" w:rsidRDefault="3741862F" w:rsidP="3741862F">
      <w:pPr>
        <w:spacing w:after="0"/>
        <w:jc w:val="center"/>
        <w:rPr>
          <w:rFonts w:ascii="Arial" w:eastAsia="Arial" w:hAnsi="Arial" w:cs="Arial"/>
          <w:sz w:val="18"/>
          <w:szCs w:val="18"/>
        </w:rPr>
      </w:pPr>
    </w:p>
    <w:p w14:paraId="647FFC23" w14:textId="6D3CEA4A" w:rsidR="00F7012A" w:rsidRDefault="5F0331A1" w:rsidP="3741862F">
      <w:pPr>
        <w:spacing w:line="360" w:lineRule="auto"/>
        <w:jc w:val="center"/>
        <w:rPr>
          <w:rFonts w:ascii="Arial" w:eastAsia="Arial" w:hAnsi="Arial" w:cs="Arial"/>
          <w:b/>
          <w:bCs/>
        </w:rPr>
      </w:pPr>
      <w:r w:rsidRPr="3741862F">
        <w:rPr>
          <w:rFonts w:ascii="Arial" w:eastAsia="Arial" w:hAnsi="Arial" w:cs="Arial"/>
          <w:b/>
          <w:bCs/>
        </w:rPr>
        <w:t xml:space="preserve">Component 2: How school develops one aspect of </w:t>
      </w:r>
      <w:r w:rsidR="72A4E9C3" w:rsidRPr="3741862F">
        <w:rPr>
          <w:rFonts w:ascii="Arial" w:eastAsia="Arial" w:hAnsi="Arial" w:cs="Arial"/>
          <w:b/>
          <w:bCs/>
        </w:rPr>
        <w:t>its</w:t>
      </w:r>
      <w:r w:rsidRPr="3741862F">
        <w:rPr>
          <w:rFonts w:ascii="Arial" w:eastAsia="Arial" w:hAnsi="Arial" w:cs="Arial"/>
          <w:b/>
          <w:bCs/>
        </w:rPr>
        <w:t xml:space="preserve"> SDP: A report that critically </w:t>
      </w:r>
      <w:r w:rsidR="4FDE8169" w:rsidRPr="3741862F">
        <w:rPr>
          <w:rFonts w:ascii="Arial" w:eastAsia="Arial" w:hAnsi="Arial" w:cs="Arial"/>
          <w:b/>
          <w:bCs/>
        </w:rPr>
        <w:t>reflects</w:t>
      </w:r>
      <w:r w:rsidRPr="3741862F">
        <w:rPr>
          <w:rFonts w:ascii="Arial" w:eastAsia="Arial" w:hAnsi="Arial" w:cs="Arial"/>
          <w:b/>
          <w:bCs/>
        </w:rPr>
        <w:t xml:space="preserve"> on the actions, </w:t>
      </w:r>
      <w:r w:rsidR="6528F70D" w:rsidRPr="3741862F">
        <w:rPr>
          <w:rFonts w:ascii="Arial" w:eastAsia="Arial" w:hAnsi="Arial" w:cs="Arial"/>
          <w:b/>
          <w:bCs/>
        </w:rPr>
        <w:t>impact,</w:t>
      </w:r>
      <w:r w:rsidRPr="3741862F">
        <w:rPr>
          <w:rFonts w:ascii="Arial" w:eastAsia="Arial" w:hAnsi="Arial" w:cs="Arial"/>
          <w:b/>
          <w:bCs/>
        </w:rPr>
        <w:t xml:space="preserve"> and evidence base.</w:t>
      </w:r>
    </w:p>
    <w:p w14:paraId="6D917397" w14:textId="7EA7A755" w:rsidR="60EAAEDE" w:rsidRDefault="0B4C9E9F" w:rsidP="002F6A26">
      <w:pPr>
        <w:spacing w:line="360" w:lineRule="auto"/>
        <w:jc w:val="center"/>
        <w:rPr>
          <w:rFonts w:ascii="Arial" w:eastAsia="Arial" w:hAnsi="Arial" w:cs="Arial"/>
        </w:rPr>
      </w:pPr>
      <w:r w:rsidRPr="3741862F">
        <w:rPr>
          <w:rFonts w:ascii="Arial" w:eastAsia="Arial" w:hAnsi="Arial" w:cs="Arial"/>
        </w:rPr>
        <w:t>Word</w:t>
      </w:r>
      <w:r w:rsidR="5F0331A1" w:rsidRPr="3741862F">
        <w:rPr>
          <w:rFonts w:ascii="Arial" w:eastAsia="Arial" w:hAnsi="Arial" w:cs="Arial"/>
        </w:rPr>
        <w:t xml:space="preserve"> </w:t>
      </w:r>
      <w:r w:rsidRPr="3741862F">
        <w:rPr>
          <w:rFonts w:ascii="Arial" w:eastAsia="Arial" w:hAnsi="Arial" w:cs="Arial"/>
        </w:rPr>
        <w:t xml:space="preserve">count:  </w:t>
      </w:r>
      <w:r w:rsidR="25A36B8B" w:rsidRPr="3741862F">
        <w:rPr>
          <w:rFonts w:ascii="Arial" w:eastAsia="Arial" w:hAnsi="Arial" w:cs="Arial"/>
        </w:rPr>
        <w:t>233</w:t>
      </w:r>
      <w:r w:rsidR="002F6A26">
        <w:rPr>
          <w:rFonts w:ascii="Arial" w:eastAsia="Arial" w:hAnsi="Arial" w:cs="Arial"/>
        </w:rPr>
        <w:t>2</w:t>
      </w:r>
    </w:p>
    <w:p w14:paraId="72C4231C" w14:textId="1CDC6499" w:rsidR="60EAAEDE" w:rsidRDefault="60EAAEDE" w:rsidP="3741862F">
      <w:pPr>
        <w:spacing w:after="0" w:line="360" w:lineRule="auto"/>
        <w:ind w:left="-20" w:right="-20"/>
        <w:rPr>
          <w:rFonts w:ascii="Arial" w:eastAsia="Arial" w:hAnsi="Arial" w:cs="Arial"/>
        </w:rPr>
      </w:pPr>
    </w:p>
    <w:p w14:paraId="1B4DB17E"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u w:val="single"/>
          <w:lang w:eastAsia="en-GB"/>
        </w:rPr>
        <w:t>Introduction</w:t>
      </w:r>
      <w:r w:rsidRPr="002F6A26">
        <w:rPr>
          <w:rFonts w:ascii="Arial" w:eastAsia="Times New Roman" w:hAnsi="Arial" w:cs="Arial"/>
          <w:color w:val="0E101A"/>
          <w:u w:val="single"/>
          <w:lang w:eastAsia="en-GB"/>
        </w:rPr>
        <w:t> </w:t>
      </w:r>
    </w:p>
    <w:p w14:paraId="0E9EE360" w14:textId="77777777" w:rsidR="002F6A26" w:rsidRPr="002F6A26" w:rsidRDefault="002F6A26" w:rsidP="002F6A26">
      <w:pPr>
        <w:spacing w:after="0" w:line="360" w:lineRule="auto"/>
        <w:rPr>
          <w:rFonts w:ascii="Arial" w:eastAsia="Times New Roman" w:hAnsi="Arial" w:cs="Arial"/>
          <w:color w:val="0E101A"/>
          <w:lang w:eastAsia="en-GB"/>
        </w:rPr>
      </w:pPr>
    </w:p>
    <w:p w14:paraId="0085A0FC"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xml:space="preserve">As the educational landscape in Wales continues to evolve and societal needs become more dynamic, schools are increasingly expected to take a leading role in driving necessary changes (De </w:t>
      </w:r>
      <w:proofErr w:type="spellStart"/>
      <w:r w:rsidRPr="002F6A26">
        <w:rPr>
          <w:rFonts w:ascii="Arial" w:eastAsia="Times New Roman" w:hAnsi="Arial" w:cs="Arial"/>
          <w:color w:val="0E101A"/>
          <w:lang w:eastAsia="en-GB"/>
        </w:rPr>
        <w:t>Lissovoy</w:t>
      </w:r>
      <w:proofErr w:type="spellEnd"/>
      <w:r w:rsidRPr="002F6A26">
        <w:rPr>
          <w:rFonts w:ascii="Arial" w:eastAsia="Times New Roman" w:hAnsi="Arial" w:cs="Arial"/>
          <w:color w:val="0E101A"/>
          <w:lang w:eastAsia="en-GB"/>
        </w:rPr>
        <w:t>, 2013). Improving the quality of education and skill-building opportunities at every level of an individual's learning journey is crucial for nations striving to attain long-lasting and fair economic progress and success (Davies et al., 2011).</w:t>
      </w:r>
    </w:p>
    <w:p w14:paraId="217DA57C"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To achieve this, educational institutes must develop a comprehensive School Development Plan (SDP) that guides strategic initiatives and fosters a culture of continuous improvement. Central to this plan are targeted actions designed to enhance various facets of the educational experience and promote the holistic development of learners.  </w:t>
      </w:r>
    </w:p>
    <w:p w14:paraId="6C4259E4"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w:t>
      </w:r>
    </w:p>
    <w:p w14:paraId="487F6EFC"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The following assignment will comply with the 2018 Ethical Guidelines from the British Educational Research Association (BERA). Therefore, the educational institution utilised in this assignment shall be referred to as School X. The following assignment aims to theoretically understand the school development process before delving into how and why the RADY Project was implemented in the 2022-2025 School Development Plan of School X.  </w:t>
      </w:r>
    </w:p>
    <w:p w14:paraId="5BD19209"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w:t>
      </w:r>
    </w:p>
    <w:p w14:paraId="11DC50F8"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u w:val="single"/>
          <w:lang w:eastAsia="en-GB"/>
        </w:rPr>
        <w:t>Understanding the Schools Development Plan and Process</w:t>
      </w:r>
    </w:p>
    <w:p w14:paraId="4C1AEA92" w14:textId="77777777" w:rsidR="002F6A26" w:rsidRPr="002F6A26" w:rsidRDefault="002F6A26" w:rsidP="002F6A26">
      <w:pPr>
        <w:spacing w:after="0" w:line="360" w:lineRule="auto"/>
        <w:rPr>
          <w:rFonts w:ascii="Arial" w:eastAsia="Times New Roman" w:hAnsi="Arial" w:cs="Arial"/>
          <w:color w:val="0E101A"/>
          <w:lang w:eastAsia="en-GB"/>
        </w:rPr>
      </w:pPr>
    </w:p>
    <w:p w14:paraId="3FA5D0E2"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The School Development Plan (SDP) is a comprehensive strategy that schools utilize to enhance their performance. It outlines the steps required to elevate the quality of education, the resources allocated to achieve this, and the expected outcomes and targets. It involves continuous review and evaluation as a vital element of the planning cycle. Schools must adhere to the School Performance and Absence Targets Regulations (2011) and the School Teacher Appraisal Regulations (2011), which define the requirements for performance targets and performance management policies.</w:t>
      </w:r>
    </w:p>
    <w:p w14:paraId="574B52E1" w14:textId="77777777" w:rsidR="002F6A26" w:rsidRPr="002F6A26" w:rsidRDefault="002F6A26" w:rsidP="002F6A26">
      <w:pPr>
        <w:spacing w:after="0" w:line="360" w:lineRule="auto"/>
        <w:rPr>
          <w:rFonts w:ascii="Arial" w:eastAsia="Times New Roman" w:hAnsi="Arial" w:cs="Arial"/>
          <w:color w:val="0E101A"/>
          <w:lang w:eastAsia="en-GB"/>
        </w:rPr>
      </w:pPr>
    </w:p>
    <w:p w14:paraId="7FB76756"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lastRenderedPageBreak/>
        <w:t>The SDP period should last three years and function as a rolling three-year plan. The first year should include detailed priorities, targets, and strategies. The second and third years should capture high-level priorities and targets (The Education School Development Plans Regulations, 2014).</w:t>
      </w:r>
    </w:p>
    <w:p w14:paraId="3A045A22" w14:textId="77777777" w:rsidR="002F6A26" w:rsidRPr="002F6A26" w:rsidRDefault="002F6A26" w:rsidP="002F6A26">
      <w:pPr>
        <w:spacing w:after="0" w:line="360" w:lineRule="auto"/>
        <w:rPr>
          <w:rFonts w:ascii="Arial" w:eastAsia="Times New Roman" w:hAnsi="Arial" w:cs="Arial"/>
          <w:color w:val="0E101A"/>
          <w:lang w:eastAsia="en-GB"/>
        </w:rPr>
      </w:pPr>
    </w:p>
    <w:p w14:paraId="5402A8FC"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u w:val="single"/>
          <w:lang w:eastAsia="en-GB"/>
        </w:rPr>
        <w:t>Summary of Each Stage in School Development Planning:</w:t>
      </w:r>
    </w:p>
    <w:p w14:paraId="0519B533" w14:textId="77777777" w:rsidR="002F6A26" w:rsidRPr="002F6A26" w:rsidRDefault="002F6A26" w:rsidP="002F6A26">
      <w:pPr>
        <w:numPr>
          <w:ilvl w:val="0"/>
          <w:numId w:val="11"/>
        </w:num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lang w:eastAsia="en-GB"/>
        </w:rPr>
        <w:t>Stage 1: Self-evaluation - </w:t>
      </w:r>
      <w:r w:rsidRPr="002F6A26">
        <w:rPr>
          <w:rFonts w:ascii="Arial" w:eastAsia="Times New Roman" w:hAnsi="Arial" w:cs="Arial"/>
          <w:color w:val="0E101A"/>
          <w:lang w:eastAsia="en-GB"/>
        </w:rPr>
        <w:t>This involves assessing the school's current state and identifying strengths and areas for improvement. </w:t>
      </w:r>
    </w:p>
    <w:p w14:paraId="46491D59" w14:textId="77777777" w:rsidR="002F6A26" w:rsidRPr="002F6A26" w:rsidRDefault="002F6A26" w:rsidP="002F6A26">
      <w:pPr>
        <w:numPr>
          <w:ilvl w:val="0"/>
          <w:numId w:val="11"/>
        </w:num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lang w:eastAsia="en-GB"/>
        </w:rPr>
        <w:t>Stage 2: Strategic planning</w:t>
      </w:r>
      <w:r w:rsidRPr="002F6A26">
        <w:rPr>
          <w:rFonts w:ascii="Arial" w:eastAsia="Times New Roman" w:hAnsi="Arial" w:cs="Arial"/>
          <w:color w:val="0E101A"/>
          <w:lang w:eastAsia="en-GB"/>
        </w:rPr>
        <w:t> - Developing a long-term vision for the school and creating an SDP that outlines goals, strategies, and actions for improvement.</w:t>
      </w:r>
    </w:p>
    <w:p w14:paraId="7DF7C588" w14:textId="77777777" w:rsidR="002F6A26" w:rsidRPr="002F6A26" w:rsidRDefault="002F6A26" w:rsidP="002F6A26">
      <w:pPr>
        <w:numPr>
          <w:ilvl w:val="0"/>
          <w:numId w:val="11"/>
        </w:num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lang w:eastAsia="en-GB"/>
        </w:rPr>
        <w:t>Stage 3: Making improvement action</w:t>
      </w:r>
      <w:r w:rsidRPr="002F6A26">
        <w:rPr>
          <w:rFonts w:ascii="Arial" w:eastAsia="Times New Roman" w:hAnsi="Arial" w:cs="Arial"/>
          <w:color w:val="0E101A"/>
          <w:lang w:eastAsia="en-GB"/>
        </w:rPr>
        <w:t> - Implementing the actions and strategies outlined in the SDP, with clear responsibilities, accountability, and timescales. High-quality leadership is crucial for effective implementation. </w:t>
      </w:r>
    </w:p>
    <w:p w14:paraId="2561E952" w14:textId="77777777" w:rsidR="002F6A26" w:rsidRPr="002F6A26" w:rsidRDefault="002F6A26" w:rsidP="002F6A26">
      <w:pPr>
        <w:numPr>
          <w:ilvl w:val="0"/>
          <w:numId w:val="11"/>
        </w:num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lang w:eastAsia="en-GB"/>
        </w:rPr>
        <w:t>Stage 4: Reviewing impact</w:t>
      </w:r>
      <w:r w:rsidRPr="002F6A26">
        <w:rPr>
          <w:rFonts w:ascii="Arial" w:eastAsia="Times New Roman" w:hAnsi="Arial" w:cs="Arial"/>
          <w:color w:val="0E101A"/>
          <w:lang w:eastAsia="en-GB"/>
        </w:rPr>
        <w:t> - Evaluating the effectiveness of the targets achieved in terms of raising standards and improving outcomes for all learners. This stage involves regularly monitoring, reviewing, and revising the SDP. </w:t>
      </w:r>
    </w:p>
    <w:p w14:paraId="3840AC75" w14:textId="77777777" w:rsidR="002F6A26" w:rsidRPr="002F6A26" w:rsidRDefault="002F6A26" w:rsidP="002F6A26">
      <w:pPr>
        <w:spacing w:after="0" w:line="360" w:lineRule="auto"/>
        <w:rPr>
          <w:rFonts w:ascii="Arial" w:eastAsia="Times New Roman" w:hAnsi="Arial" w:cs="Arial"/>
          <w:color w:val="0E101A"/>
          <w:lang w:eastAsia="en-GB"/>
        </w:rPr>
      </w:pPr>
    </w:p>
    <w:p w14:paraId="2424CACA"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u w:val="single"/>
          <w:lang w:eastAsia="en-GB"/>
        </w:rPr>
        <w:t>Literature Review</w:t>
      </w:r>
    </w:p>
    <w:p w14:paraId="32846965" w14:textId="77777777" w:rsidR="002F6A26" w:rsidRPr="002F6A26" w:rsidRDefault="002F6A26" w:rsidP="002F6A26">
      <w:pPr>
        <w:spacing w:after="0" w:line="360" w:lineRule="auto"/>
        <w:rPr>
          <w:rFonts w:ascii="Arial" w:eastAsia="Times New Roman" w:hAnsi="Arial" w:cs="Arial"/>
          <w:color w:val="0E101A"/>
          <w:lang w:eastAsia="en-GB"/>
        </w:rPr>
      </w:pPr>
    </w:p>
    <w:p w14:paraId="1CCC2282"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The Development Plan for School X (2022-2023) is designed to cater to the needs of its learners and implement the New Curriculum for Wales (2021). The school has a population of 1285 pupils aged between eleven and eighteen, 25.3% of whom are eligible for free school meals (Swansea Council, 2023). The institution is situated in a densely populated urban region and serves a diverse group of children from various backgrounds. After conducting a comprehensive analysis, the SPD identified a pressing need to address the educational gaps among specific student demographics. Specifically, the school aims to improve academic outcomes for male students, pupils who qualify for FSM (free school meals), and EAL learners (English as an Additional Language). </w:t>
      </w:r>
    </w:p>
    <w:p w14:paraId="5E548E65"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Likewise, successive British governments have long been concerned with improving educational achievement for children from low-income families (Nuttall &amp; Doherty, 2023). </w:t>
      </w:r>
    </w:p>
    <w:p w14:paraId="6CE7A93B" w14:textId="77777777" w:rsidR="002F6A26" w:rsidRPr="002F6A26" w:rsidRDefault="002F6A26" w:rsidP="002F6A26">
      <w:pPr>
        <w:spacing w:after="0" w:line="360" w:lineRule="auto"/>
        <w:rPr>
          <w:rFonts w:ascii="Arial" w:eastAsia="Times New Roman" w:hAnsi="Arial" w:cs="Arial"/>
          <w:color w:val="0E101A"/>
          <w:lang w:eastAsia="en-GB"/>
        </w:rPr>
      </w:pPr>
    </w:p>
    <w:p w14:paraId="0E5435E5"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xml:space="preserve">The SDP of School X aims to bridge the gap of its disadvantaged learners with the pilot implementation of the RADY Project (Raising Attainment of Disadvantaged Youngsters). The limitations imposed by overarching factors, such as their families' socioeconomic resources, inevitably affect the choices and preferences expressed by young individuals (Schoon &amp; Parson, 2002). These constraints impact the options available to young people as they navigate their personal and professional lives (Chen &amp; Paterson, 2006). According to Strand </w:t>
      </w:r>
      <w:r w:rsidRPr="002F6A26">
        <w:rPr>
          <w:rFonts w:ascii="Arial" w:eastAsia="Times New Roman" w:hAnsi="Arial" w:cs="Arial"/>
          <w:color w:val="0E101A"/>
          <w:lang w:eastAsia="en-GB"/>
        </w:rPr>
        <w:lastRenderedPageBreak/>
        <w:t xml:space="preserve">(2014), the achievement gap is already apparent as children begin their education and progressively worsens as they move through the education system. Educational inequalities start to surface during early years of education (Sylva et al., 2004) and continue to grow during primary and secondary school (Connelly, Sullivan, and </w:t>
      </w:r>
      <w:proofErr w:type="spellStart"/>
      <w:r w:rsidRPr="002F6A26">
        <w:rPr>
          <w:rFonts w:ascii="Arial" w:eastAsia="Times New Roman" w:hAnsi="Arial" w:cs="Arial"/>
          <w:color w:val="0E101A"/>
          <w:lang w:eastAsia="en-GB"/>
        </w:rPr>
        <w:t>Jerrim</w:t>
      </w:r>
      <w:proofErr w:type="spellEnd"/>
      <w:r w:rsidRPr="002F6A26">
        <w:rPr>
          <w:rFonts w:ascii="Arial" w:eastAsia="Times New Roman" w:hAnsi="Arial" w:cs="Arial"/>
          <w:color w:val="0E101A"/>
          <w:lang w:eastAsia="en-GB"/>
        </w:rPr>
        <w:t>, 2014).</w:t>
      </w:r>
    </w:p>
    <w:p w14:paraId="4FA4569A" w14:textId="77777777" w:rsidR="002F6A26" w:rsidRPr="002F6A26" w:rsidRDefault="002F6A26" w:rsidP="002F6A26">
      <w:pPr>
        <w:spacing w:after="0" w:line="360" w:lineRule="auto"/>
        <w:rPr>
          <w:rFonts w:ascii="Arial" w:eastAsia="Times New Roman" w:hAnsi="Arial" w:cs="Arial"/>
          <w:color w:val="0E101A"/>
          <w:lang w:eastAsia="en-GB"/>
        </w:rPr>
      </w:pPr>
    </w:p>
    <w:p w14:paraId="6E9B2590"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xml:space="preserve">RADY was created by Dave </w:t>
      </w:r>
      <w:proofErr w:type="spellStart"/>
      <w:r w:rsidRPr="002F6A26">
        <w:rPr>
          <w:rFonts w:ascii="Arial" w:eastAsia="Times New Roman" w:hAnsi="Arial" w:cs="Arial"/>
          <w:color w:val="0E101A"/>
          <w:lang w:eastAsia="en-GB"/>
        </w:rPr>
        <w:t>Hollomby</w:t>
      </w:r>
      <w:proofErr w:type="spellEnd"/>
      <w:r w:rsidRPr="002F6A26">
        <w:rPr>
          <w:rFonts w:ascii="Arial" w:eastAsia="Times New Roman" w:hAnsi="Arial" w:cs="Arial"/>
          <w:color w:val="0E101A"/>
          <w:lang w:eastAsia="en-GB"/>
        </w:rPr>
        <w:t xml:space="preserve"> (2012) in response to a significant flaw identified within educational institutions that prevents the closing of this gap. </w:t>
      </w:r>
      <w:proofErr w:type="spellStart"/>
      <w:r w:rsidRPr="002F6A26">
        <w:rPr>
          <w:rFonts w:ascii="Arial" w:eastAsia="Times New Roman" w:hAnsi="Arial" w:cs="Arial"/>
          <w:color w:val="0E101A"/>
          <w:lang w:eastAsia="en-GB"/>
        </w:rPr>
        <w:t>Hollomby</w:t>
      </w:r>
      <w:proofErr w:type="spellEnd"/>
      <w:r w:rsidRPr="002F6A26">
        <w:rPr>
          <w:rFonts w:ascii="Arial" w:eastAsia="Times New Roman" w:hAnsi="Arial" w:cs="Arial"/>
          <w:color w:val="0E101A"/>
          <w:lang w:eastAsia="en-GB"/>
        </w:rPr>
        <w:t xml:space="preserve"> observed that schools, often unknowingly, had lower expectations for children from underprivileged backgrounds compared to their more affluent peers. This is not a deliberate decision but a result of the school's target-setting systems. Lower expectations are an unintended consequence of the system and not a conscious choice (</w:t>
      </w:r>
      <w:proofErr w:type="spellStart"/>
      <w:r w:rsidRPr="002F6A26">
        <w:rPr>
          <w:rFonts w:ascii="Arial" w:eastAsia="Times New Roman" w:hAnsi="Arial" w:cs="Arial"/>
          <w:color w:val="0E101A"/>
          <w:lang w:eastAsia="en-GB"/>
        </w:rPr>
        <w:t>Hollomby</w:t>
      </w:r>
      <w:proofErr w:type="spellEnd"/>
      <w:r w:rsidRPr="002F6A26">
        <w:rPr>
          <w:rFonts w:ascii="Arial" w:eastAsia="Times New Roman" w:hAnsi="Arial" w:cs="Arial"/>
          <w:color w:val="0E101A"/>
          <w:lang w:eastAsia="en-GB"/>
        </w:rPr>
        <w:t xml:space="preserve">, 2012). According to the RADY project, standardized testing targets and unconscious bias could be contributing factors to preventing the attainment gap from closing. In addition, </w:t>
      </w:r>
      <w:proofErr w:type="spellStart"/>
      <w:r w:rsidRPr="002F6A26">
        <w:rPr>
          <w:rFonts w:ascii="Arial" w:eastAsia="Times New Roman" w:hAnsi="Arial" w:cs="Arial"/>
          <w:color w:val="0E101A"/>
          <w:lang w:eastAsia="en-GB"/>
        </w:rPr>
        <w:t>Hollomby</w:t>
      </w:r>
      <w:proofErr w:type="spellEnd"/>
      <w:r w:rsidRPr="002F6A26">
        <w:rPr>
          <w:rFonts w:ascii="Arial" w:eastAsia="Times New Roman" w:hAnsi="Arial" w:cs="Arial"/>
          <w:color w:val="0E101A"/>
          <w:lang w:eastAsia="en-GB"/>
        </w:rPr>
        <w:t xml:space="preserve"> suggests that prioritizing equity over equality could be a possible solution. This means fostering a school culture that strives for excellence regardless of background and providing tailored support to those who face disadvantages to level the playing field. A report from the Social Mobility Committee (2017) agreed that there is some indication in the literature that teachers may have lower expectations for students from low-income backgrounds.</w:t>
      </w:r>
    </w:p>
    <w:p w14:paraId="50FCFA6D" w14:textId="77777777" w:rsidR="002F6A26" w:rsidRPr="002F6A26" w:rsidRDefault="002F6A26" w:rsidP="002F6A26">
      <w:pPr>
        <w:spacing w:after="0" w:line="360" w:lineRule="auto"/>
        <w:rPr>
          <w:rFonts w:ascii="Arial" w:eastAsia="Times New Roman" w:hAnsi="Arial" w:cs="Arial"/>
          <w:color w:val="0E101A"/>
          <w:lang w:eastAsia="en-GB"/>
        </w:rPr>
      </w:pPr>
    </w:p>
    <w:p w14:paraId="141FFDD8"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A study by Robert Rosenthal and Lenore Jacobson (1968) concluded that "one person's expectations of another's behaviour may come to serve as a self-fulfilling prophecy" (Rosenthal &amp; Jacobson, 1968, p. 20). This self-fulfilling prophecy was observed mainly in the lower grade levels during the initial year of the experiment.</w:t>
      </w:r>
    </w:p>
    <w:p w14:paraId="2A59FD92" w14:textId="77777777" w:rsidR="002F6A26" w:rsidRPr="002F6A26" w:rsidRDefault="002F6A26" w:rsidP="002F6A26">
      <w:pPr>
        <w:spacing w:after="0" w:line="360" w:lineRule="auto"/>
        <w:rPr>
          <w:rFonts w:ascii="Arial" w:eastAsia="Times New Roman" w:hAnsi="Arial" w:cs="Arial"/>
          <w:color w:val="0E101A"/>
          <w:lang w:eastAsia="en-GB"/>
        </w:rPr>
      </w:pPr>
    </w:p>
    <w:p w14:paraId="5961830F"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Furthermore, more recent studies have shown that teachers who have lowered expectations of disadvantaged groups can negatively impact their learner's motivation to perform well (Cowen, 2018; Helicon, 2018). Children tend to perform better when teachers have high academic expectations (Blackberry &amp; Kearney, 2021). Therefore, educators must set high expectations for all students, regardless of their students' economic background, to enhance education outcomes. The instructional methods employed by teachers and the effectiveness of school reforms are primarily driven by their beliefs about students' abilities (</w:t>
      </w:r>
      <w:proofErr w:type="spellStart"/>
      <w:r w:rsidRPr="002F6A26">
        <w:rPr>
          <w:rFonts w:ascii="Arial" w:eastAsia="Times New Roman" w:hAnsi="Arial" w:cs="Arial"/>
          <w:color w:val="0E101A"/>
          <w:lang w:eastAsia="en-GB"/>
        </w:rPr>
        <w:t>Gullo</w:t>
      </w:r>
      <w:proofErr w:type="spellEnd"/>
      <w:r w:rsidRPr="002F6A26">
        <w:rPr>
          <w:rFonts w:ascii="Arial" w:eastAsia="Times New Roman" w:hAnsi="Arial" w:cs="Arial"/>
          <w:color w:val="0E101A"/>
          <w:lang w:eastAsia="en-GB"/>
        </w:rPr>
        <w:t xml:space="preserve">, </w:t>
      </w:r>
      <w:proofErr w:type="spellStart"/>
      <w:r w:rsidRPr="002F6A26">
        <w:rPr>
          <w:rFonts w:ascii="Arial" w:eastAsia="Times New Roman" w:hAnsi="Arial" w:cs="Arial"/>
          <w:color w:val="0E101A"/>
          <w:lang w:eastAsia="en-GB"/>
        </w:rPr>
        <w:t>Capatosto</w:t>
      </w:r>
      <w:proofErr w:type="spellEnd"/>
      <w:r w:rsidRPr="002F6A26">
        <w:rPr>
          <w:rFonts w:ascii="Arial" w:eastAsia="Times New Roman" w:hAnsi="Arial" w:cs="Arial"/>
          <w:color w:val="0E101A"/>
          <w:lang w:eastAsia="en-GB"/>
        </w:rPr>
        <w:t xml:space="preserve"> &amp; </w:t>
      </w:r>
      <w:proofErr w:type="spellStart"/>
      <w:r w:rsidRPr="002F6A26">
        <w:rPr>
          <w:rFonts w:ascii="Arial" w:eastAsia="Times New Roman" w:hAnsi="Arial" w:cs="Arial"/>
          <w:color w:val="0E101A"/>
          <w:lang w:eastAsia="en-GB"/>
        </w:rPr>
        <w:t>Staats</w:t>
      </w:r>
      <w:proofErr w:type="spellEnd"/>
      <w:r w:rsidRPr="002F6A26">
        <w:rPr>
          <w:rFonts w:ascii="Arial" w:eastAsia="Times New Roman" w:hAnsi="Arial" w:cs="Arial"/>
          <w:color w:val="0E101A"/>
          <w:lang w:eastAsia="en-GB"/>
        </w:rPr>
        <w:t xml:space="preserve">, 2018). Therefore, teachers' expectations of a child's performance may affect their instructional practices and determine the effectiveness of school reforms (Aftab, 2016; </w:t>
      </w:r>
      <w:proofErr w:type="spellStart"/>
      <w:r w:rsidRPr="002F6A26">
        <w:rPr>
          <w:rFonts w:ascii="Arial" w:eastAsia="Times New Roman" w:hAnsi="Arial" w:cs="Arial"/>
          <w:color w:val="0E101A"/>
          <w:lang w:eastAsia="en-GB"/>
        </w:rPr>
        <w:t>Kinay</w:t>
      </w:r>
      <w:proofErr w:type="spellEnd"/>
      <w:r w:rsidRPr="002F6A26">
        <w:rPr>
          <w:rFonts w:ascii="Arial" w:eastAsia="Times New Roman" w:hAnsi="Arial" w:cs="Arial"/>
          <w:color w:val="0E101A"/>
          <w:lang w:eastAsia="en-GB"/>
        </w:rPr>
        <w:t xml:space="preserve"> &amp; </w:t>
      </w:r>
      <w:proofErr w:type="spellStart"/>
      <w:r w:rsidRPr="002F6A26">
        <w:rPr>
          <w:rFonts w:ascii="Arial" w:eastAsia="Times New Roman" w:hAnsi="Arial" w:cs="Arial"/>
          <w:color w:val="0E101A"/>
          <w:lang w:eastAsia="en-GB"/>
        </w:rPr>
        <w:t>Ardiç</w:t>
      </w:r>
      <w:proofErr w:type="spellEnd"/>
      <w:r w:rsidRPr="002F6A26">
        <w:rPr>
          <w:rFonts w:ascii="Arial" w:eastAsia="Times New Roman" w:hAnsi="Arial" w:cs="Arial"/>
          <w:color w:val="0E101A"/>
          <w:lang w:eastAsia="en-GB"/>
        </w:rPr>
        <w:t>, 2017; Rubie-Davies, 2015). This underscores the significance of examining the impact of teacher expectations on student performance, particularly among marginalized groups (Banaji &amp; Greenwald, 2016).</w:t>
      </w:r>
    </w:p>
    <w:p w14:paraId="0CEDB90F"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w:t>
      </w:r>
    </w:p>
    <w:p w14:paraId="16E1296D"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lastRenderedPageBreak/>
        <w:t xml:space="preserve">Hence, </w:t>
      </w:r>
      <w:proofErr w:type="gramStart"/>
      <w:r w:rsidRPr="002F6A26">
        <w:rPr>
          <w:rFonts w:ascii="Arial" w:eastAsia="Times New Roman" w:hAnsi="Arial" w:cs="Arial"/>
          <w:color w:val="0E101A"/>
          <w:lang w:eastAsia="en-GB"/>
        </w:rPr>
        <w:t>It</w:t>
      </w:r>
      <w:proofErr w:type="gramEnd"/>
      <w:r w:rsidRPr="002F6A26">
        <w:rPr>
          <w:rFonts w:ascii="Arial" w:eastAsia="Times New Roman" w:hAnsi="Arial" w:cs="Arial"/>
          <w:color w:val="0E101A"/>
          <w:lang w:eastAsia="en-GB"/>
        </w:rPr>
        <w:t xml:space="preserve"> is essential to establish a supportive and inclusive learning environment that provides equitable opportunities for all students, regardless of their socioeconomic status (Papageorge, </w:t>
      </w:r>
      <w:proofErr w:type="spellStart"/>
      <w:r w:rsidRPr="002F6A26">
        <w:rPr>
          <w:rFonts w:ascii="Arial" w:eastAsia="Times New Roman" w:hAnsi="Arial" w:cs="Arial"/>
          <w:color w:val="0E101A"/>
          <w:lang w:eastAsia="en-GB"/>
        </w:rPr>
        <w:t>Gershenson</w:t>
      </w:r>
      <w:proofErr w:type="spellEnd"/>
      <w:r w:rsidRPr="002F6A26">
        <w:rPr>
          <w:rFonts w:ascii="Arial" w:eastAsia="Times New Roman" w:hAnsi="Arial" w:cs="Arial"/>
          <w:color w:val="0E101A"/>
          <w:lang w:eastAsia="en-GB"/>
        </w:rPr>
        <w:t xml:space="preserve"> &amp; Kang, 2020). These beliefs are additionally reflected within the Curriculum for Wales, which sets high standards for all and combines knowledge, skills, and experiences (Curriculum for Wales, 2021). </w:t>
      </w:r>
    </w:p>
    <w:p w14:paraId="56FEFE2F" w14:textId="77777777" w:rsidR="002F6A26" w:rsidRPr="002F6A26" w:rsidRDefault="002F6A26" w:rsidP="002F6A26">
      <w:pPr>
        <w:spacing w:after="0" w:line="360" w:lineRule="auto"/>
        <w:rPr>
          <w:rFonts w:ascii="Arial" w:eastAsia="Times New Roman" w:hAnsi="Arial" w:cs="Arial"/>
          <w:color w:val="0E101A"/>
          <w:lang w:eastAsia="en-GB"/>
        </w:rPr>
      </w:pPr>
    </w:p>
    <w:p w14:paraId="0F6A24C6"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In the context of target-setting systems, the impact of educators' expectations may be more significant than was initially anticipated.</w:t>
      </w:r>
    </w:p>
    <w:p w14:paraId="76116F48"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Over recent years, educational reforms in Wales have led to changes in the assessment process, reflecting a more progressive curriculum. In 2004, the Welsh Government discontinued the standardised assessment tests (SATs) for 11 and 14-year-olds, initially introduced as part of the 1988 Education Reform Act. In 2001, the SATs for seven-year-olds had already been scrapped (WISERD, 2019). </w:t>
      </w:r>
    </w:p>
    <w:p w14:paraId="15E71592" w14:textId="77777777" w:rsidR="002F6A26" w:rsidRPr="002F6A26" w:rsidRDefault="002F6A26" w:rsidP="002F6A26">
      <w:pPr>
        <w:spacing w:after="0" w:line="360" w:lineRule="auto"/>
        <w:rPr>
          <w:rFonts w:ascii="Arial" w:eastAsia="Times New Roman" w:hAnsi="Arial" w:cs="Arial"/>
          <w:color w:val="0E101A"/>
          <w:lang w:eastAsia="en-GB"/>
        </w:rPr>
      </w:pPr>
    </w:p>
    <w:p w14:paraId="5D33319E"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xml:space="preserve">However, a study by English academics found that policy reform in Wales led to a drop in average GCSE scores and an increase in educational inequality (Burgess et al., 2013). Additionally, following the study, the results of the Programme for International Student Assessment (PISA) came as a shock to Wales. The results showed that Wales was ranked significantly lower than the other countries in the UK. As a result, Wales's education system reintroduced national literacy and numeracy testing from Key Stage 1 onwards. However, instead of testing at the end of each Key Stage, it is now conducted at the end of every academic year (National Reading and Numeracy Personalised Assessments, 2023). If we consider the position taken by </w:t>
      </w:r>
      <w:proofErr w:type="spellStart"/>
      <w:r w:rsidRPr="002F6A26">
        <w:rPr>
          <w:rFonts w:ascii="Arial" w:eastAsia="Times New Roman" w:hAnsi="Arial" w:cs="Arial"/>
          <w:color w:val="0E101A"/>
          <w:lang w:eastAsia="en-GB"/>
        </w:rPr>
        <w:t>Hollomby</w:t>
      </w:r>
      <w:proofErr w:type="spellEnd"/>
      <w:r w:rsidRPr="002F6A26">
        <w:rPr>
          <w:rFonts w:ascii="Arial" w:eastAsia="Times New Roman" w:hAnsi="Arial" w:cs="Arial"/>
          <w:color w:val="0E101A"/>
          <w:lang w:eastAsia="en-GB"/>
        </w:rPr>
        <w:t>, the evidence indicates that testing to track learners' progress is still very much required. </w:t>
      </w:r>
    </w:p>
    <w:p w14:paraId="1003615A" w14:textId="77777777" w:rsidR="002F6A26" w:rsidRPr="002F6A26" w:rsidRDefault="002F6A26" w:rsidP="002F6A26">
      <w:pPr>
        <w:spacing w:after="0" w:line="360" w:lineRule="auto"/>
        <w:rPr>
          <w:rFonts w:ascii="Arial" w:eastAsia="Times New Roman" w:hAnsi="Arial" w:cs="Arial"/>
          <w:color w:val="0E101A"/>
          <w:lang w:eastAsia="en-GB"/>
        </w:rPr>
      </w:pPr>
    </w:p>
    <w:p w14:paraId="6CBA8333"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u w:val="single"/>
          <w:lang w:eastAsia="en-GB"/>
        </w:rPr>
        <w:t>School X SDP</w:t>
      </w:r>
      <w:r w:rsidRPr="002F6A26">
        <w:rPr>
          <w:rFonts w:ascii="Arial" w:eastAsia="Times New Roman" w:hAnsi="Arial" w:cs="Arial"/>
          <w:b/>
          <w:bCs/>
          <w:color w:val="0E101A"/>
          <w:lang w:eastAsia="en-GB"/>
        </w:rPr>
        <w:t> </w:t>
      </w:r>
      <w:r w:rsidRPr="002F6A26">
        <w:rPr>
          <w:rFonts w:ascii="Arial" w:eastAsia="Times New Roman" w:hAnsi="Arial" w:cs="Arial"/>
          <w:color w:val="0E101A"/>
          <w:lang w:eastAsia="en-GB"/>
        </w:rPr>
        <w:t> </w:t>
      </w:r>
    </w:p>
    <w:p w14:paraId="4A481CA2" w14:textId="77777777" w:rsidR="002F6A26" w:rsidRPr="002F6A26" w:rsidRDefault="002F6A26" w:rsidP="002F6A26">
      <w:pPr>
        <w:spacing w:after="0" w:line="360" w:lineRule="auto"/>
        <w:rPr>
          <w:rFonts w:ascii="Arial" w:eastAsia="Times New Roman" w:hAnsi="Arial" w:cs="Arial"/>
          <w:color w:val="0E101A"/>
          <w:lang w:eastAsia="en-GB"/>
        </w:rPr>
      </w:pPr>
    </w:p>
    <w:p w14:paraId="4B7F5C46"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In the context of School X, the RADY project focuses on year 7 (KS3) and year 11 (KS4) learners. The SPD of School X aims to improve learners' academic performance in these critical stages and ensure they are well-prepared for future pursuits. </w:t>
      </w:r>
    </w:p>
    <w:p w14:paraId="7003D912" w14:textId="77777777" w:rsidR="002F6A26" w:rsidRPr="002F6A26" w:rsidRDefault="002F6A26" w:rsidP="002F6A26">
      <w:pPr>
        <w:spacing w:after="0" w:line="360" w:lineRule="auto"/>
        <w:rPr>
          <w:rFonts w:ascii="Arial" w:eastAsia="Times New Roman" w:hAnsi="Arial" w:cs="Arial"/>
          <w:color w:val="0E101A"/>
          <w:lang w:eastAsia="en-GB"/>
        </w:rPr>
      </w:pPr>
    </w:p>
    <w:p w14:paraId="5EAB7A1A"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The plan addresses the impact of deprivation, ensuring that all pupils make significant progress across the school. This will help them recall previous learning and acquire new knowledge, understanding, and skills in various subjects, including literacy, numeracy, and digital literacy.</w:t>
      </w:r>
    </w:p>
    <w:p w14:paraId="2D3464F5" w14:textId="77777777" w:rsidR="007E4368" w:rsidRDefault="007E4368" w:rsidP="002F6A26">
      <w:pPr>
        <w:spacing w:after="0" w:line="360" w:lineRule="auto"/>
        <w:rPr>
          <w:rFonts w:ascii="Arial" w:eastAsia="Times New Roman" w:hAnsi="Arial" w:cs="Arial"/>
          <w:color w:val="0E101A"/>
          <w:lang w:eastAsia="en-GB"/>
        </w:rPr>
      </w:pPr>
    </w:p>
    <w:p w14:paraId="73782D4E" w14:textId="309708AB"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It aims to do so with several scheduled steps as follows. </w:t>
      </w:r>
    </w:p>
    <w:p w14:paraId="646EFED2" w14:textId="77777777" w:rsidR="002F6A26" w:rsidRPr="002F6A26" w:rsidRDefault="002F6A26" w:rsidP="002F6A26">
      <w:pPr>
        <w:spacing w:after="0" w:line="360" w:lineRule="auto"/>
        <w:rPr>
          <w:rFonts w:ascii="Arial" w:eastAsia="Times New Roman" w:hAnsi="Arial" w:cs="Arial"/>
          <w:color w:val="0E101A"/>
          <w:lang w:eastAsia="en-GB"/>
        </w:rPr>
      </w:pPr>
    </w:p>
    <w:p w14:paraId="1132B74D"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Between September 1st and October 20th, 2023, a mentoring program for Year 12/13 students was established to support students in Years 7-11, focusing on enhancing their independent learning and literacy skills. Students also created subject-specific glossaries during this time frame to expand their vocabulary. Professional learning sessions were conducted from September 1st to October 27th, 2023, to ensure that all staff comprehensively understood progress grades, focusing on skills in SPAG (Spelling, Punctuation, and Grammar). This training was extended to November 24th, 2023. </w:t>
      </w:r>
    </w:p>
    <w:p w14:paraId="61AEC5DC" w14:textId="77777777" w:rsidR="002F6A26" w:rsidRPr="002F6A26" w:rsidRDefault="002F6A26" w:rsidP="002F6A26">
      <w:pPr>
        <w:spacing w:after="0" w:line="360" w:lineRule="auto"/>
        <w:rPr>
          <w:rFonts w:ascii="Arial" w:eastAsia="Times New Roman" w:hAnsi="Arial" w:cs="Arial"/>
          <w:color w:val="0E101A"/>
          <w:lang w:eastAsia="en-GB"/>
        </w:rPr>
      </w:pPr>
    </w:p>
    <w:p w14:paraId="08E96E4E"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From September 1st to December 22nd, 2023, RADY strategies and the "VIPERS" approach (vocabulary, infer, predict, explain, retrieve, summarize/sequence) were implemented to enhance reading skills across the curriculum. Emphasis was also placed on fostering numeracy skills and problem-solving abilities among KS3 students. Further professional development was planned from September 1st, 2023, to March 15th, 2024, focusing on enhancing data analysis skills among staff and students to facilitate accurate conclusions when assessing RADY's progress.</w:t>
      </w:r>
    </w:p>
    <w:p w14:paraId="7E395098" w14:textId="77777777" w:rsidR="002F6A26" w:rsidRPr="002F6A26" w:rsidRDefault="002F6A26" w:rsidP="002F6A26">
      <w:pPr>
        <w:spacing w:after="0" w:line="360" w:lineRule="auto"/>
        <w:rPr>
          <w:rFonts w:ascii="Arial" w:eastAsia="Times New Roman" w:hAnsi="Arial" w:cs="Arial"/>
          <w:color w:val="0E101A"/>
          <w:lang w:eastAsia="en-GB"/>
        </w:rPr>
      </w:pPr>
    </w:p>
    <w:p w14:paraId="77D5C223"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Applying SPAG (Spelling, Punctuation, and Grammar) was consistent from September 1st, 2023, to March 22nd, 2024. Relevant staff received phonics training to bolster their reading confidence. Concurrently, the implementation plan for ALNET was followed to ensure that students received appropriate Individual Development Plans (IDPs) to support their progress. The assessment strategy for Years 7-9 (Curriculum for Wales, 2021) is continually monitored and refined, with adjustments based on emerging insights.</w:t>
      </w:r>
    </w:p>
    <w:p w14:paraId="5E85C0B5" w14:textId="77777777" w:rsidR="002F6A26" w:rsidRPr="002F6A26" w:rsidRDefault="002F6A26" w:rsidP="002F6A26">
      <w:pPr>
        <w:spacing w:after="0" w:line="360" w:lineRule="auto"/>
        <w:rPr>
          <w:rFonts w:ascii="Arial" w:eastAsia="Times New Roman" w:hAnsi="Arial" w:cs="Arial"/>
          <w:color w:val="0E101A"/>
          <w:lang w:eastAsia="en-GB"/>
        </w:rPr>
      </w:pPr>
    </w:p>
    <w:p w14:paraId="4C3ED3AB"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u w:val="single"/>
          <w:lang w:eastAsia="en-GB"/>
        </w:rPr>
        <w:t>Professional Reflections</w:t>
      </w:r>
    </w:p>
    <w:p w14:paraId="214B20E3" w14:textId="77777777" w:rsidR="002F6A26" w:rsidRPr="002F6A26" w:rsidRDefault="002F6A26" w:rsidP="002F6A26">
      <w:pPr>
        <w:spacing w:after="0" w:line="360" w:lineRule="auto"/>
        <w:rPr>
          <w:rFonts w:ascii="Arial" w:eastAsia="Times New Roman" w:hAnsi="Arial" w:cs="Arial"/>
          <w:color w:val="0E101A"/>
          <w:lang w:eastAsia="en-GB"/>
        </w:rPr>
      </w:pPr>
    </w:p>
    <w:p w14:paraId="5A396F2B"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School X's SDP showcases a proactive strategy for mitigating educational disparities among its school population, primarily emphasising enhancing outcomes for disadvantaged learners. By integrating the RADY Project, the school is dedicated to comprehending and addressing the underlying factors contributing to academic underperformance among specific student groups.</w:t>
      </w:r>
    </w:p>
    <w:p w14:paraId="686AA221"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xml:space="preserve">One notable strength of the SDP is its alignment with theoretical frameworks and empirical evidence regarding the impact of educators' expectations on student performance. The plan acknowledges the detrimental effects of lowered expectations on disadvantaged students and aims to counteract this phenomenon through targeted interventions and professional development initiatives. By emphasizing the importance of fostering high expectations for all </w:t>
      </w:r>
      <w:r w:rsidRPr="002F6A26">
        <w:rPr>
          <w:rFonts w:ascii="Arial" w:eastAsia="Times New Roman" w:hAnsi="Arial" w:cs="Arial"/>
          <w:color w:val="0E101A"/>
          <w:lang w:eastAsia="en-GB"/>
        </w:rPr>
        <w:lastRenderedPageBreak/>
        <w:t>students, irrespective of their socioeconomic backgrounds, School X is taking a crucial step towards promoting equity and inclusivity within its learning environment.</w:t>
      </w:r>
    </w:p>
    <w:p w14:paraId="5DDAC033"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However, while the SDP outlines a comprehensive strategy for implementing the RADY Project, it would benefit from a more explicit focus on monitoring and evaluating the effectiveness of these interventions. Continuous review and assessment are essential components of the school improvement process, allowing educators to identify what works well and where adjustments may be necessary (Love, 2009). Incorporating robust data collection and analysis mechanisms would enable School X to track the impact of its initiatives over time and make informed decisions about resource allocation and future planning.</w:t>
      </w:r>
    </w:p>
    <w:p w14:paraId="2C0C5A2B"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Moreover, the SDP could further enhance its effectiveness by fostering greater collaboration and communication among stakeholders, including teachers, children, parents, and community members. Building solid partnerships within the school community can create a sense of shared ownership and responsibility for student success, leading to more sustainable and holistic improvements in educational outcomes. Furthermore, while part of the plan does intend to create a mentoring scheme between sixth-form students and lower-school learners, the plan needs to address how the standards and expectations of teachers are guaranteed to be upheld. As referenced in the literature review, the unconscious bias of educators can have a profound effect on the efficiency of reform implementation. </w:t>
      </w:r>
    </w:p>
    <w:p w14:paraId="70EBDDD6" w14:textId="77777777" w:rsidR="002F6A26" w:rsidRPr="002F6A26" w:rsidRDefault="002F6A26" w:rsidP="002F6A26">
      <w:pPr>
        <w:spacing w:after="0" w:line="360" w:lineRule="auto"/>
        <w:rPr>
          <w:rFonts w:ascii="Arial" w:eastAsia="Times New Roman" w:hAnsi="Arial" w:cs="Arial"/>
          <w:color w:val="0E101A"/>
          <w:lang w:eastAsia="en-GB"/>
        </w:rPr>
      </w:pPr>
    </w:p>
    <w:p w14:paraId="23AA601E"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Acknowledging and confronting implicit bias through self-reflection and examining personal biases is important (</w:t>
      </w:r>
      <w:proofErr w:type="spellStart"/>
      <w:r w:rsidRPr="002F6A26">
        <w:rPr>
          <w:rFonts w:ascii="Arial" w:eastAsia="Times New Roman" w:hAnsi="Arial" w:cs="Arial"/>
          <w:color w:val="0E101A"/>
          <w:lang w:eastAsia="en-GB"/>
        </w:rPr>
        <w:t>Gullo</w:t>
      </w:r>
      <w:proofErr w:type="spellEnd"/>
      <w:r w:rsidRPr="002F6A26">
        <w:rPr>
          <w:rFonts w:ascii="Arial" w:eastAsia="Times New Roman" w:hAnsi="Arial" w:cs="Arial"/>
          <w:color w:val="0E101A"/>
          <w:lang w:eastAsia="en-GB"/>
        </w:rPr>
        <w:t xml:space="preserve">, </w:t>
      </w:r>
      <w:proofErr w:type="spellStart"/>
      <w:r w:rsidRPr="002F6A26">
        <w:rPr>
          <w:rFonts w:ascii="Arial" w:eastAsia="Times New Roman" w:hAnsi="Arial" w:cs="Arial"/>
          <w:color w:val="0E101A"/>
          <w:lang w:eastAsia="en-GB"/>
        </w:rPr>
        <w:t>Capatosto</w:t>
      </w:r>
      <w:proofErr w:type="spellEnd"/>
      <w:r w:rsidRPr="002F6A26">
        <w:rPr>
          <w:rFonts w:ascii="Arial" w:eastAsia="Times New Roman" w:hAnsi="Arial" w:cs="Arial"/>
          <w:color w:val="0E101A"/>
          <w:lang w:eastAsia="en-GB"/>
        </w:rPr>
        <w:t xml:space="preserve"> &amp; </w:t>
      </w:r>
      <w:proofErr w:type="spellStart"/>
      <w:r w:rsidRPr="002F6A26">
        <w:rPr>
          <w:rFonts w:ascii="Arial" w:eastAsia="Times New Roman" w:hAnsi="Arial" w:cs="Arial"/>
          <w:color w:val="0E101A"/>
          <w:lang w:eastAsia="en-GB"/>
        </w:rPr>
        <w:t>Staats</w:t>
      </w:r>
      <w:proofErr w:type="spellEnd"/>
      <w:r w:rsidRPr="002F6A26">
        <w:rPr>
          <w:rFonts w:ascii="Arial" w:eastAsia="Times New Roman" w:hAnsi="Arial" w:cs="Arial"/>
          <w:color w:val="0E101A"/>
          <w:lang w:eastAsia="en-GB"/>
        </w:rPr>
        <w:t>, 2018). By implementing training programs, encouraging diverse perspectives in decision-making, and prioritizing equity and inclusivity help (</w:t>
      </w:r>
      <w:proofErr w:type="spellStart"/>
      <w:r w:rsidRPr="002F6A26">
        <w:rPr>
          <w:rFonts w:ascii="Arial" w:eastAsia="Times New Roman" w:hAnsi="Arial" w:cs="Arial"/>
          <w:color w:val="0E101A"/>
          <w:lang w:eastAsia="en-GB"/>
        </w:rPr>
        <w:t>Guskey</w:t>
      </w:r>
      <w:proofErr w:type="spellEnd"/>
      <w:r w:rsidRPr="002F6A26">
        <w:rPr>
          <w:rFonts w:ascii="Arial" w:eastAsia="Times New Roman" w:hAnsi="Arial" w:cs="Arial"/>
          <w:color w:val="0E101A"/>
          <w:lang w:eastAsia="en-GB"/>
        </w:rPr>
        <w:t>, 2000). Regular evaluation, fostering empathy, understanding, and respect, and continuously challenging one's own biases are vital for a more equitable society.</w:t>
      </w:r>
    </w:p>
    <w:p w14:paraId="5A361EA9" w14:textId="77777777" w:rsidR="002F6A26" w:rsidRPr="002F6A26" w:rsidRDefault="002F6A26" w:rsidP="002F6A26">
      <w:pPr>
        <w:spacing w:after="0" w:line="360" w:lineRule="auto"/>
        <w:rPr>
          <w:rFonts w:ascii="Arial" w:eastAsia="Times New Roman" w:hAnsi="Arial" w:cs="Arial"/>
          <w:color w:val="0E101A"/>
          <w:lang w:eastAsia="en-GB"/>
        </w:rPr>
      </w:pPr>
    </w:p>
    <w:p w14:paraId="69432956"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b/>
          <w:bCs/>
          <w:color w:val="0E101A"/>
          <w:u w:val="single"/>
          <w:lang w:eastAsia="en-GB"/>
        </w:rPr>
        <w:t>Conclusions</w:t>
      </w:r>
    </w:p>
    <w:p w14:paraId="5095B051" w14:textId="77777777" w:rsidR="002F6A26" w:rsidRPr="002F6A26" w:rsidRDefault="002F6A26" w:rsidP="002F6A26">
      <w:pPr>
        <w:spacing w:after="0" w:line="360" w:lineRule="auto"/>
        <w:rPr>
          <w:rFonts w:ascii="Arial" w:eastAsia="Times New Roman" w:hAnsi="Arial" w:cs="Arial"/>
          <w:color w:val="0E101A"/>
          <w:lang w:eastAsia="en-GB"/>
        </w:rPr>
      </w:pPr>
    </w:p>
    <w:p w14:paraId="1999F8BB"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xml:space="preserve">As this is an ongoing plan, data acquired on the success of RADY is currently unavailable for analysis. However, several key insights emerge from the detailed exploration of School X's School Development Plan (SDP) and the rationale behind adopting the RADY Project. The introduction of the SDP underscores the imperative for educational institutions to not only meet the evolving needs of their students but also drive systemic improvements aligned with broader educational objectives. De </w:t>
      </w:r>
      <w:proofErr w:type="spellStart"/>
      <w:r w:rsidRPr="002F6A26">
        <w:rPr>
          <w:rFonts w:ascii="Arial" w:eastAsia="Times New Roman" w:hAnsi="Arial" w:cs="Arial"/>
          <w:color w:val="0E101A"/>
          <w:lang w:eastAsia="en-GB"/>
        </w:rPr>
        <w:t>Lissovoy</w:t>
      </w:r>
      <w:proofErr w:type="spellEnd"/>
      <w:r w:rsidRPr="002F6A26">
        <w:rPr>
          <w:rFonts w:ascii="Arial" w:eastAsia="Times New Roman" w:hAnsi="Arial" w:cs="Arial"/>
          <w:color w:val="0E101A"/>
          <w:lang w:eastAsia="en-GB"/>
        </w:rPr>
        <w:t xml:space="preserve"> (2013) notes that schools play a pivotal role in societal transformation, necessitating proactive measures to enhance educational quality and foster equitable opportunities. The literature review sheds light on the persistent </w:t>
      </w:r>
      <w:r w:rsidRPr="002F6A26">
        <w:rPr>
          <w:rFonts w:ascii="Arial" w:eastAsia="Times New Roman" w:hAnsi="Arial" w:cs="Arial"/>
          <w:color w:val="0E101A"/>
          <w:lang w:eastAsia="en-GB"/>
        </w:rPr>
        <w:lastRenderedPageBreak/>
        <w:t>challenges facing learners from disadvantaged backgrounds, emphasizing the importance of addressing educational inequalities (Nuttall &amp; Doherty, 2023).</w:t>
      </w:r>
    </w:p>
    <w:p w14:paraId="42E7E797" w14:textId="77777777" w:rsidR="002F6A26" w:rsidRPr="002F6A26" w:rsidRDefault="002F6A26" w:rsidP="002F6A26">
      <w:pPr>
        <w:spacing w:after="0" w:line="360" w:lineRule="auto"/>
        <w:rPr>
          <w:rFonts w:ascii="Arial" w:eastAsia="Times New Roman" w:hAnsi="Arial" w:cs="Arial"/>
          <w:color w:val="0E101A"/>
          <w:lang w:eastAsia="en-GB"/>
        </w:rPr>
      </w:pPr>
    </w:p>
    <w:p w14:paraId="55AC5489" w14:textId="77777777" w:rsidR="002F6A26" w:rsidRPr="002F6A26" w:rsidRDefault="002F6A26" w:rsidP="002F6A26">
      <w:pPr>
        <w:spacing w:after="0" w:line="360" w:lineRule="auto"/>
        <w:rPr>
          <w:rFonts w:ascii="Arial" w:eastAsia="Times New Roman" w:hAnsi="Arial" w:cs="Arial"/>
          <w:color w:val="0E101A"/>
          <w:lang w:eastAsia="en-GB"/>
        </w:rPr>
      </w:pPr>
      <w:r w:rsidRPr="002F6A26">
        <w:rPr>
          <w:rFonts w:ascii="Arial" w:eastAsia="Times New Roman" w:hAnsi="Arial" w:cs="Arial"/>
          <w:color w:val="0E101A"/>
          <w:lang w:eastAsia="en-GB"/>
        </w:rPr>
        <w:t xml:space="preserve">Moreover, it underscores the impact of educators' expectations on student outcomes, highlighting the need for inclusive practices and high academic standards for all students (Rosenthal &amp; Jacobson, 1968; Papageorge, </w:t>
      </w:r>
      <w:proofErr w:type="spellStart"/>
      <w:r w:rsidRPr="002F6A26">
        <w:rPr>
          <w:rFonts w:ascii="Arial" w:eastAsia="Times New Roman" w:hAnsi="Arial" w:cs="Arial"/>
          <w:color w:val="0E101A"/>
          <w:lang w:eastAsia="en-GB"/>
        </w:rPr>
        <w:t>Gershenson</w:t>
      </w:r>
      <w:proofErr w:type="spellEnd"/>
      <w:r w:rsidRPr="002F6A26">
        <w:rPr>
          <w:rFonts w:ascii="Arial" w:eastAsia="Times New Roman" w:hAnsi="Arial" w:cs="Arial"/>
          <w:color w:val="0E101A"/>
          <w:lang w:eastAsia="en-GB"/>
        </w:rPr>
        <w:t xml:space="preserve"> &amp; Kang, 2020). The reintroduction of national literacy and numeracy testing in Wales reflects ongoing efforts to monitor and support student progress (Burgess et al., 2013). In the context of School X, the RADY Project represents a proactive intervention to close the attainment gap and enhance educational outcomes for all students, particularly those from disadvantaged backgrounds. The structured approach outlined in the SDP, including mentoring programs, subject-specific initiatives, and professional development, demonstrates a commitment to fostering holistic student development and academic success. By integrating evidence-based strategies and ongoing evaluation processes, School X aims to create an inclusive learning environment where every student can thrive. As the implementation of the SDP and RADY Project progresses, monitoring their impact and effectiveness will be essential. Continued collaboration between educators, stakeholders, and policymakers will be critical in refining strategies and ensuring that they align with evolving educational priorities and best practices. Through sustained commitment and adaptive approaches, School X can contribute to broader efforts to enhance educational equity and excellence, ultimately empowering all students to reach their full potential.</w:t>
      </w:r>
    </w:p>
    <w:p w14:paraId="501F27E3" w14:textId="401374A7" w:rsidR="60EAAEDE" w:rsidRDefault="60EAAEDE" w:rsidP="3741862F">
      <w:pPr>
        <w:spacing w:line="360" w:lineRule="auto"/>
        <w:rPr>
          <w:rFonts w:ascii="Arial" w:eastAsia="Arial" w:hAnsi="Arial" w:cs="Arial"/>
        </w:rPr>
      </w:pPr>
    </w:p>
    <w:p w14:paraId="5AD07880" w14:textId="68A9DC3C" w:rsidR="60EAAEDE" w:rsidRDefault="60EAAEDE" w:rsidP="3741862F">
      <w:pPr>
        <w:spacing w:line="360" w:lineRule="auto"/>
        <w:rPr>
          <w:rFonts w:ascii="Arial" w:eastAsia="Arial" w:hAnsi="Arial" w:cs="Arial"/>
        </w:rPr>
      </w:pPr>
    </w:p>
    <w:p w14:paraId="6DC974CE" w14:textId="325C41A1" w:rsidR="60EAAEDE" w:rsidRDefault="60EAAEDE" w:rsidP="3741862F">
      <w:pPr>
        <w:rPr>
          <w:rFonts w:ascii="Arial" w:eastAsia="Arial" w:hAnsi="Arial" w:cs="Arial"/>
        </w:rPr>
      </w:pPr>
    </w:p>
    <w:p w14:paraId="4961D01E" w14:textId="01C56FB0" w:rsidR="7F94FAFB" w:rsidRDefault="7F94FAFB" w:rsidP="3741862F">
      <w:pPr>
        <w:spacing w:line="360" w:lineRule="auto"/>
        <w:rPr>
          <w:rFonts w:ascii="Arial" w:eastAsia="Arial" w:hAnsi="Arial" w:cs="Arial"/>
          <w:b/>
          <w:bCs/>
          <w:u w:val="single"/>
        </w:rPr>
      </w:pPr>
      <w:r w:rsidRPr="3741862F">
        <w:rPr>
          <w:rFonts w:ascii="Arial" w:eastAsia="Arial" w:hAnsi="Arial" w:cs="Arial"/>
          <w:b/>
          <w:bCs/>
          <w:u w:val="single"/>
        </w:rPr>
        <w:t>References</w:t>
      </w:r>
    </w:p>
    <w:p w14:paraId="6019990D" w14:textId="6D25223D"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Banaji, M. R., &amp; Greenwald, A. G. (2016). Blindspot: Hidden biases of good people. Bantam.</w:t>
      </w:r>
    </w:p>
    <w:p w14:paraId="19295B65" w14:textId="7DD40CA0"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Blackberry, G., &amp; Kearney, J. (2021). Lessons for teachers: </w:t>
      </w:r>
      <w:proofErr w:type="spellStart"/>
      <w:r w:rsidRPr="3741862F">
        <w:rPr>
          <w:rFonts w:ascii="Arial" w:eastAsia="Arial" w:hAnsi="Arial" w:cs="Arial"/>
          <w:color w:val="0D0D0D" w:themeColor="text1" w:themeTint="F2"/>
        </w:rPr>
        <w:t>Maori</w:t>
      </w:r>
      <w:proofErr w:type="spellEnd"/>
      <w:r w:rsidRPr="3741862F">
        <w:rPr>
          <w:rFonts w:ascii="Arial" w:eastAsia="Arial" w:hAnsi="Arial" w:cs="Arial"/>
          <w:color w:val="0D0D0D" w:themeColor="text1" w:themeTint="F2"/>
        </w:rPr>
        <w:t xml:space="preserve"> and Pacific Islander students’ reflections on educational experiences. Asia-Pacific Journal of Teacher Education, 49(1), 113-127.</w:t>
      </w:r>
    </w:p>
    <w:p w14:paraId="0FFEE8A9" w14:textId="45EC3CE7"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Chen, E., &amp; Paterson, L. Q. (2006). </w:t>
      </w:r>
      <w:proofErr w:type="spellStart"/>
      <w:r w:rsidRPr="3741862F">
        <w:rPr>
          <w:rFonts w:ascii="Arial" w:eastAsia="Arial" w:hAnsi="Arial" w:cs="Arial"/>
          <w:color w:val="0D0D0D" w:themeColor="text1" w:themeTint="F2"/>
        </w:rPr>
        <w:t>Neighborhood</w:t>
      </w:r>
      <w:proofErr w:type="spellEnd"/>
      <w:r w:rsidRPr="3741862F">
        <w:rPr>
          <w:rFonts w:ascii="Arial" w:eastAsia="Arial" w:hAnsi="Arial" w:cs="Arial"/>
          <w:color w:val="0D0D0D" w:themeColor="text1" w:themeTint="F2"/>
        </w:rPr>
        <w:t>, family, and subjective socioeconomic status: How do they relate to adolescent health? Health Psychology, 25, 704-714.</w:t>
      </w:r>
    </w:p>
    <w:p w14:paraId="33A0C99F" w14:textId="342BC6AA"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Cowen, T. (2018). Teacher expectations matter. Fairfax: </w:t>
      </w:r>
      <w:proofErr w:type="spellStart"/>
      <w:r w:rsidRPr="3741862F">
        <w:rPr>
          <w:rFonts w:ascii="Arial" w:eastAsia="Arial" w:hAnsi="Arial" w:cs="Arial"/>
          <w:color w:val="0D0D0D" w:themeColor="text1" w:themeTint="F2"/>
        </w:rPr>
        <w:t>Newstex</w:t>
      </w:r>
      <w:proofErr w:type="spellEnd"/>
      <w:r w:rsidRPr="3741862F">
        <w:rPr>
          <w:rFonts w:ascii="Arial" w:eastAsia="Arial" w:hAnsi="Arial" w:cs="Arial"/>
          <w:color w:val="0D0D0D" w:themeColor="text1" w:themeTint="F2"/>
        </w:rPr>
        <w:t>.</w:t>
      </w:r>
    </w:p>
    <w:p w14:paraId="7DB19A3E" w14:textId="3245B3A3"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lastRenderedPageBreak/>
        <w:t>Davies, R., et al. (2011). An Anatomy of Economic Inequality in Wales: A report prepared on behalf of the Wales Equality and Human Rights Commission. WISERD Research Reports Series, WISERD/RRS/002</w:t>
      </w:r>
    </w:p>
    <w:p w14:paraId="256F4701" w14:textId="4E3F858B"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De </w:t>
      </w:r>
      <w:proofErr w:type="spellStart"/>
      <w:r w:rsidRPr="3741862F">
        <w:rPr>
          <w:rFonts w:ascii="Arial" w:eastAsia="Arial" w:hAnsi="Arial" w:cs="Arial"/>
          <w:color w:val="0D0D0D" w:themeColor="text1" w:themeTint="F2"/>
        </w:rPr>
        <w:t>Lissovoy</w:t>
      </w:r>
      <w:proofErr w:type="spellEnd"/>
      <w:r w:rsidRPr="3741862F">
        <w:rPr>
          <w:rFonts w:ascii="Arial" w:eastAsia="Arial" w:hAnsi="Arial" w:cs="Arial"/>
          <w:color w:val="0D0D0D" w:themeColor="text1" w:themeTint="F2"/>
        </w:rPr>
        <w:t>, N. (2013). Pedagogy of the impossible: Neoliberalism and the ideology of accountability. Policy Futures in Education, 11(4), 423–435.</w:t>
      </w:r>
    </w:p>
    <w:p w14:paraId="2CD8F6CD" w14:textId="245FF7C3"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Expectancy Theory. (2018). In Helicon (Ed.), The Hutchinson unabridged </w:t>
      </w:r>
      <w:proofErr w:type="spellStart"/>
      <w:r w:rsidRPr="3741862F">
        <w:rPr>
          <w:rFonts w:ascii="Arial" w:eastAsia="Arial" w:hAnsi="Arial" w:cs="Arial"/>
          <w:color w:val="0D0D0D" w:themeColor="text1" w:themeTint="F2"/>
        </w:rPr>
        <w:t>encyclopedia</w:t>
      </w:r>
      <w:proofErr w:type="spellEnd"/>
      <w:r w:rsidRPr="3741862F">
        <w:rPr>
          <w:rFonts w:ascii="Arial" w:eastAsia="Arial" w:hAnsi="Arial" w:cs="Arial"/>
          <w:color w:val="0D0D0D" w:themeColor="text1" w:themeTint="F2"/>
        </w:rPr>
        <w:t xml:space="preserve"> with atlas and weather guides. Abington, U.K.: Helicon.</w:t>
      </w:r>
    </w:p>
    <w:p w14:paraId="4521E1D2" w14:textId="7633EDAD"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Estyn, His Majesty’s Inspectorate for Education and Training in Wales. (2023). A report on Bishop Gore School, 2023. (Accessed: [27.02.24])</w:t>
      </w:r>
    </w:p>
    <w:p w14:paraId="1E5F9279" w14:textId="04956834" w:rsidR="60EAAEDE" w:rsidRDefault="66EEB070" w:rsidP="3741862F">
      <w:pPr>
        <w:spacing w:line="360" w:lineRule="auto"/>
        <w:rPr>
          <w:rFonts w:ascii="Arial" w:eastAsia="Arial" w:hAnsi="Arial" w:cs="Arial"/>
          <w:color w:val="0D0D0D" w:themeColor="text1" w:themeTint="F2"/>
        </w:rPr>
      </w:pPr>
      <w:proofErr w:type="spellStart"/>
      <w:r w:rsidRPr="3741862F">
        <w:rPr>
          <w:rFonts w:ascii="Arial" w:eastAsia="Arial" w:hAnsi="Arial" w:cs="Arial"/>
          <w:color w:val="0D0D0D" w:themeColor="text1" w:themeTint="F2"/>
        </w:rPr>
        <w:t>Gullo</w:t>
      </w:r>
      <w:proofErr w:type="spellEnd"/>
      <w:r w:rsidRPr="3741862F">
        <w:rPr>
          <w:rFonts w:ascii="Arial" w:eastAsia="Arial" w:hAnsi="Arial" w:cs="Arial"/>
          <w:color w:val="0D0D0D" w:themeColor="text1" w:themeTint="F2"/>
        </w:rPr>
        <w:t xml:space="preserve">, G. L., </w:t>
      </w:r>
      <w:proofErr w:type="spellStart"/>
      <w:r w:rsidRPr="3741862F">
        <w:rPr>
          <w:rFonts w:ascii="Arial" w:eastAsia="Arial" w:hAnsi="Arial" w:cs="Arial"/>
          <w:color w:val="0D0D0D" w:themeColor="text1" w:themeTint="F2"/>
        </w:rPr>
        <w:t>Capatosto</w:t>
      </w:r>
      <w:proofErr w:type="spellEnd"/>
      <w:r w:rsidRPr="3741862F">
        <w:rPr>
          <w:rFonts w:ascii="Arial" w:eastAsia="Arial" w:hAnsi="Arial" w:cs="Arial"/>
          <w:color w:val="0D0D0D" w:themeColor="text1" w:themeTint="F2"/>
        </w:rPr>
        <w:t xml:space="preserve">, K., &amp; </w:t>
      </w:r>
      <w:proofErr w:type="spellStart"/>
      <w:r w:rsidRPr="3741862F">
        <w:rPr>
          <w:rFonts w:ascii="Arial" w:eastAsia="Arial" w:hAnsi="Arial" w:cs="Arial"/>
          <w:color w:val="0D0D0D" w:themeColor="text1" w:themeTint="F2"/>
        </w:rPr>
        <w:t>Staats</w:t>
      </w:r>
      <w:proofErr w:type="spellEnd"/>
      <w:r w:rsidRPr="3741862F">
        <w:rPr>
          <w:rFonts w:ascii="Arial" w:eastAsia="Arial" w:hAnsi="Arial" w:cs="Arial"/>
          <w:color w:val="0D0D0D" w:themeColor="text1" w:themeTint="F2"/>
        </w:rPr>
        <w:t>, C. (2018). Implicit bias in schools: A practitioner’s guide. Routledge.</w:t>
      </w:r>
    </w:p>
    <w:p w14:paraId="340FBC27" w14:textId="490FFC65" w:rsidR="60EAAEDE" w:rsidRDefault="66EEB070" w:rsidP="3741862F">
      <w:pPr>
        <w:spacing w:line="360" w:lineRule="auto"/>
        <w:rPr>
          <w:rFonts w:ascii="Arial" w:eastAsia="Arial" w:hAnsi="Arial" w:cs="Arial"/>
          <w:color w:val="0D0D0D" w:themeColor="text1" w:themeTint="F2"/>
        </w:rPr>
      </w:pPr>
      <w:proofErr w:type="spellStart"/>
      <w:r w:rsidRPr="3741862F">
        <w:rPr>
          <w:rFonts w:ascii="Arial" w:eastAsia="Arial" w:hAnsi="Arial" w:cs="Arial"/>
          <w:color w:val="0D0D0D" w:themeColor="text1" w:themeTint="F2"/>
        </w:rPr>
        <w:t>Guskey</w:t>
      </w:r>
      <w:proofErr w:type="spellEnd"/>
      <w:r w:rsidRPr="3741862F">
        <w:rPr>
          <w:rFonts w:ascii="Arial" w:eastAsia="Arial" w:hAnsi="Arial" w:cs="Arial"/>
          <w:color w:val="0D0D0D" w:themeColor="text1" w:themeTint="F2"/>
        </w:rPr>
        <w:t>, T.R., 2000. Evaluating professional development. Corwin press.</w:t>
      </w:r>
    </w:p>
    <w:p w14:paraId="487AFF94" w14:textId="3FDAA944" w:rsidR="60EAAEDE" w:rsidRDefault="66EEB070" w:rsidP="3741862F">
      <w:pPr>
        <w:spacing w:line="360" w:lineRule="auto"/>
        <w:rPr>
          <w:rFonts w:ascii="Arial" w:eastAsia="Arial" w:hAnsi="Arial" w:cs="Arial"/>
          <w:color w:val="0D0D0D" w:themeColor="text1" w:themeTint="F2"/>
        </w:rPr>
      </w:pPr>
      <w:proofErr w:type="spellStart"/>
      <w:r w:rsidRPr="3741862F">
        <w:rPr>
          <w:rFonts w:ascii="Arial" w:eastAsia="Arial" w:hAnsi="Arial" w:cs="Arial"/>
          <w:color w:val="0D0D0D" w:themeColor="text1" w:themeTint="F2"/>
        </w:rPr>
        <w:t>Kretchmar</w:t>
      </w:r>
      <w:proofErr w:type="spellEnd"/>
      <w:r w:rsidRPr="3741862F">
        <w:rPr>
          <w:rFonts w:ascii="Arial" w:eastAsia="Arial" w:hAnsi="Arial" w:cs="Arial"/>
          <w:color w:val="0D0D0D" w:themeColor="text1" w:themeTint="F2"/>
        </w:rPr>
        <w:t xml:space="preserve">, K., &amp; </w:t>
      </w:r>
      <w:proofErr w:type="spellStart"/>
      <w:r w:rsidRPr="3741862F">
        <w:rPr>
          <w:rFonts w:ascii="Arial" w:eastAsia="Arial" w:hAnsi="Arial" w:cs="Arial"/>
          <w:color w:val="0D0D0D" w:themeColor="text1" w:themeTint="F2"/>
        </w:rPr>
        <w:t>Zeichner</w:t>
      </w:r>
      <w:proofErr w:type="spellEnd"/>
      <w:r w:rsidRPr="3741862F">
        <w:rPr>
          <w:rFonts w:ascii="Arial" w:eastAsia="Arial" w:hAnsi="Arial" w:cs="Arial"/>
          <w:color w:val="0D0D0D" w:themeColor="text1" w:themeTint="F2"/>
        </w:rPr>
        <w:t>, K. (2016). Teacher prep 3.0: A vision for teacher education to impact social transformation. Journal of Education for Teaching, 42(4), 417–433.</w:t>
      </w:r>
    </w:p>
    <w:p w14:paraId="0ACE34F7" w14:textId="29CE9733"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Love, N. (2009). Using data to improve learning for all: A collaborative inquiry approach. Corwin Press.</w:t>
      </w:r>
    </w:p>
    <w:p w14:paraId="526F7AA2" w14:textId="25DCAD6D" w:rsidR="60EAAEDE" w:rsidRDefault="66EEB070" w:rsidP="3741862F">
      <w:pPr>
        <w:spacing w:line="360" w:lineRule="auto"/>
        <w:rPr>
          <w:rFonts w:ascii="Arial" w:eastAsia="Arial" w:hAnsi="Arial" w:cs="Arial"/>
        </w:rPr>
      </w:pPr>
      <w:r w:rsidRPr="3741862F">
        <w:rPr>
          <w:rFonts w:ascii="Arial" w:eastAsia="Arial" w:hAnsi="Arial" w:cs="Arial"/>
          <w:color w:val="0D0D0D" w:themeColor="text1" w:themeTint="F2"/>
        </w:rPr>
        <w:t xml:space="preserve">National Reading and Numeracy Personalised Assessments Administration Handbook 2023 to 2024. (2023). (Accessed: [25/02/24]) </w:t>
      </w:r>
      <w:hyperlink r:id="rId5" w:anchor=":~:text=Requirements%20for%202023%20to%202024,once%20during%20the%20school%20year">
        <w:r w:rsidRPr="3741862F">
          <w:rPr>
            <w:rStyle w:val="Hyperlink"/>
            <w:rFonts w:ascii="Arial" w:eastAsia="Arial" w:hAnsi="Arial" w:cs="Arial"/>
            <w:color w:val="0D0D0D" w:themeColor="text1" w:themeTint="F2"/>
          </w:rPr>
          <w:t>https://hwb.gov.wales/curriculum-for-wales/reading-and-numeracy-assessments/personalised-assessments/national-reading-and-numeracy-personalised-assessments-administration-handbook-2023-to-2024#:~:text=Requirements%20for%202023%20to%202024,once%20during%20the%20school%20year</w:t>
        </w:r>
      </w:hyperlink>
    </w:p>
    <w:p w14:paraId="50C706F6" w14:textId="10537094"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Nuttall, A., &amp; Doherty, J. (2023). The effects of disadvantage on children’s life chances and educational outcomes. In H. Lynn, &amp; L. </w:t>
      </w:r>
      <w:proofErr w:type="spellStart"/>
      <w:r w:rsidRPr="3741862F">
        <w:rPr>
          <w:rFonts w:ascii="Arial" w:eastAsia="Arial" w:hAnsi="Arial" w:cs="Arial"/>
          <w:color w:val="0D0D0D" w:themeColor="text1" w:themeTint="F2"/>
        </w:rPr>
        <w:t>Trodd</w:t>
      </w:r>
      <w:proofErr w:type="spellEnd"/>
      <w:r w:rsidRPr="3741862F">
        <w:rPr>
          <w:rFonts w:ascii="Arial" w:eastAsia="Arial" w:hAnsi="Arial" w:cs="Arial"/>
          <w:color w:val="0D0D0D" w:themeColor="text1" w:themeTint="F2"/>
        </w:rPr>
        <w:t xml:space="preserve"> (Eds.), The early years handbook for students and practitioners: an Essential Guide for Levels 4 and 5 (2nd ed.). Routledge.</w:t>
      </w:r>
    </w:p>
    <w:p w14:paraId="2AC6D5B3" w14:textId="4D264010"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Papageorge, N.W., </w:t>
      </w:r>
      <w:proofErr w:type="spellStart"/>
      <w:r w:rsidRPr="3741862F">
        <w:rPr>
          <w:rFonts w:ascii="Arial" w:eastAsia="Arial" w:hAnsi="Arial" w:cs="Arial"/>
          <w:color w:val="0D0D0D" w:themeColor="text1" w:themeTint="F2"/>
        </w:rPr>
        <w:t>Gershenson</w:t>
      </w:r>
      <w:proofErr w:type="spellEnd"/>
      <w:r w:rsidRPr="3741862F">
        <w:rPr>
          <w:rFonts w:ascii="Arial" w:eastAsia="Arial" w:hAnsi="Arial" w:cs="Arial"/>
          <w:color w:val="0D0D0D" w:themeColor="text1" w:themeTint="F2"/>
        </w:rPr>
        <w:t>, S. and Kang, K.M., 2020. Teacher expectations matter. Review of Economics and Statistics, 102(2), pp.234-251.</w:t>
      </w:r>
    </w:p>
    <w:p w14:paraId="21AD0D7A" w14:textId="70C26932"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Rosenthal, R. and Jacobson, L., 1968. Pygmalion in the classroom. The urban review, 3(1), pp.16-20.</w:t>
      </w:r>
    </w:p>
    <w:p w14:paraId="34E2A518" w14:textId="18B68BD5"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Rubie-Davies, C. (2015). Teachers’ instructional beliefs and the classroom climate. In P. C. M. </w:t>
      </w:r>
      <w:proofErr w:type="spellStart"/>
      <w:r w:rsidRPr="3741862F">
        <w:rPr>
          <w:rFonts w:ascii="Arial" w:eastAsia="Arial" w:hAnsi="Arial" w:cs="Arial"/>
          <w:color w:val="0D0D0D" w:themeColor="text1" w:themeTint="F2"/>
        </w:rPr>
        <w:t>Leite</w:t>
      </w:r>
      <w:proofErr w:type="spellEnd"/>
      <w:r w:rsidRPr="3741862F">
        <w:rPr>
          <w:rFonts w:ascii="Arial" w:eastAsia="Arial" w:hAnsi="Arial" w:cs="Arial"/>
          <w:color w:val="0D0D0D" w:themeColor="text1" w:themeTint="F2"/>
        </w:rPr>
        <w:t>, N. M. Gil-Flores, &amp; J. M. Esteves (Eds.), International Handbook of Research on Teachers’ Beliefs (pp. 266–283).</w:t>
      </w:r>
    </w:p>
    <w:p w14:paraId="5504DCC1" w14:textId="28718634" w:rsidR="60EAAEDE" w:rsidRDefault="66EEB070" w:rsidP="3741862F">
      <w:pPr>
        <w:spacing w:line="360" w:lineRule="auto"/>
        <w:rPr>
          <w:rFonts w:ascii="Arial" w:eastAsia="Arial" w:hAnsi="Arial" w:cs="Arial"/>
        </w:rPr>
      </w:pPr>
      <w:r w:rsidRPr="3741862F">
        <w:rPr>
          <w:rFonts w:ascii="Arial" w:eastAsia="Arial" w:hAnsi="Arial" w:cs="Arial"/>
          <w:color w:val="0D0D0D" w:themeColor="text1" w:themeTint="F2"/>
        </w:rPr>
        <w:lastRenderedPageBreak/>
        <w:t xml:space="preserve">Schoon, I., &amp; Parsons, S. (2002). Teenage aspirations for future careers and occupational outcomes. Journal of Vocational Behaviour, 60(2), 262–288. </w:t>
      </w:r>
      <w:hyperlink r:id="rId6">
        <w:r w:rsidRPr="3741862F">
          <w:rPr>
            <w:rStyle w:val="Hyperlink"/>
            <w:rFonts w:ascii="Arial" w:eastAsia="Arial" w:hAnsi="Arial" w:cs="Arial"/>
            <w:color w:val="0D0D0D" w:themeColor="text1" w:themeTint="F2"/>
          </w:rPr>
          <w:t>https://doi.org/10.1006/jvbe.2001.1867</w:t>
        </w:r>
      </w:hyperlink>
    </w:p>
    <w:p w14:paraId="24B33AB4" w14:textId="002BD557"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Social Mobility Commission, (2017). </w:t>
      </w:r>
      <w:proofErr w:type="gramStart"/>
      <w:r w:rsidRPr="3741862F">
        <w:rPr>
          <w:rFonts w:ascii="Arial" w:eastAsia="Arial" w:hAnsi="Arial" w:cs="Arial"/>
          <w:color w:val="0D0D0D" w:themeColor="text1" w:themeTint="F2"/>
        </w:rPr>
        <w:t>Low income</w:t>
      </w:r>
      <w:proofErr w:type="gramEnd"/>
      <w:r w:rsidRPr="3741862F">
        <w:rPr>
          <w:rFonts w:ascii="Arial" w:eastAsia="Arial" w:hAnsi="Arial" w:cs="Arial"/>
          <w:color w:val="0D0D0D" w:themeColor="text1" w:themeTint="F2"/>
        </w:rPr>
        <w:t xml:space="preserve"> pupils’ progress at secondary school. </w:t>
      </w:r>
      <w:hyperlink r:id="rId7">
        <w:r w:rsidRPr="3741862F">
          <w:rPr>
            <w:rStyle w:val="Hyperlink"/>
            <w:rFonts w:ascii="Arial" w:eastAsia="Arial" w:hAnsi="Arial" w:cs="Arial"/>
            <w:color w:val="0D0D0D" w:themeColor="text1" w:themeTint="F2"/>
          </w:rPr>
          <w:t>https://assets.publishing.service.gov.uk/media/5a80cc78e5274a2e87dbbe1c/Progress_at_Secondary_School_report_final.pdf</w:t>
        </w:r>
      </w:hyperlink>
      <w:r w:rsidRPr="3741862F">
        <w:rPr>
          <w:rFonts w:ascii="Arial" w:eastAsia="Arial" w:hAnsi="Arial" w:cs="Arial"/>
          <w:color w:val="0D0D0D" w:themeColor="text1" w:themeTint="F2"/>
        </w:rPr>
        <w:t xml:space="preserve"> (Accessed: [04/03/2024])</w:t>
      </w:r>
    </w:p>
    <w:p w14:paraId="3DBA7193" w14:textId="6113CD56"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Strand, S. (2014). Ethnicity, gender, social </w:t>
      </w:r>
      <w:proofErr w:type="gramStart"/>
      <w:r w:rsidRPr="3741862F">
        <w:rPr>
          <w:rFonts w:ascii="Arial" w:eastAsia="Arial" w:hAnsi="Arial" w:cs="Arial"/>
          <w:color w:val="0D0D0D" w:themeColor="text1" w:themeTint="F2"/>
        </w:rPr>
        <w:t>class</w:t>
      </w:r>
      <w:proofErr w:type="gramEnd"/>
      <w:r w:rsidRPr="3741862F">
        <w:rPr>
          <w:rFonts w:ascii="Arial" w:eastAsia="Arial" w:hAnsi="Arial" w:cs="Arial"/>
          <w:color w:val="0D0D0D" w:themeColor="text1" w:themeTint="F2"/>
        </w:rPr>
        <w:t xml:space="preserve"> and achievement gaps at age 16: Intersectionality and ‘Getting it’ for the white working class. Research Papers in Education, 29, (2): 131-171.</w:t>
      </w:r>
    </w:p>
    <w:p w14:paraId="0C1236F9" w14:textId="3142368B"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Sylva, K., </w:t>
      </w:r>
      <w:proofErr w:type="spellStart"/>
      <w:r w:rsidRPr="3741862F">
        <w:rPr>
          <w:rFonts w:ascii="Arial" w:eastAsia="Arial" w:hAnsi="Arial" w:cs="Arial"/>
          <w:color w:val="0D0D0D" w:themeColor="text1" w:themeTint="F2"/>
        </w:rPr>
        <w:t>Melhuish</w:t>
      </w:r>
      <w:proofErr w:type="spellEnd"/>
      <w:r w:rsidRPr="3741862F">
        <w:rPr>
          <w:rFonts w:ascii="Arial" w:eastAsia="Arial" w:hAnsi="Arial" w:cs="Arial"/>
          <w:color w:val="0D0D0D" w:themeColor="text1" w:themeTint="F2"/>
        </w:rPr>
        <w:t>, E., Sammons, P., Siraj-Blatchford, I., &amp; Taggart, B. (2004). The effective provision of preschool education (EPPE) Project: Findings from the preschool to the end of Key Stage 1. London: DfES.</w:t>
      </w:r>
    </w:p>
    <w:p w14:paraId="3A2D6386" w14:textId="0474E0E1" w:rsidR="60EAAEDE" w:rsidRDefault="66EEB070" w:rsidP="3741862F">
      <w:pPr>
        <w:spacing w:line="360" w:lineRule="auto"/>
        <w:rPr>
          <w:rFonts w:ascii="Arial" w:eastAsia="Arial" w:hAnsi="Arial" w:cs="Arial"/>
        </w:rPr>
      </w:pPr>
      <w:r w:rsidRPr="3741862F">
        <w:rPr>
          <w:rFonts w:ascii="Arial" w:eastAsia="Arial" w:hAnsi="Arial" w:cs="Arial"/>
          <w:color w:val="0D0D0D" w:themeColor="text1" w:themeTint="F2"/>
        </w:rPr>
        <w:t xml:space="preserve">UK Government. (1988). Education Reform Act 1988 (Chapter 40). Retrieved from </w:t>
      </w:r>
      <w:hyperlink r:id="rId8">
        <w:r w:rsidRPr="3741862F">
          <w:rPr>
            <w:rStyle w:val="Hyperlink"/>
            <w:rFonts w:ascii="Arial" w:eastAsia="Arial" w:hAnsi="Arial" w:cs="Arial"/>
            <w:color w:val="0D0D0D" w:themeColor="text1" w:themeTint="F2"/>
          </w:rPr>
          <w:t>https://www.legislation.gov.uk/ukpga/1988/40/contents</w:t>
        </w:r>
      </w:hyperlink>
    </w:p>
    <w:p w14:paraId="3DE2123F" w14:textId="11BD4FC2"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Welsh Government. (2014). School development plans – proposals to introduce regulations documents consultation. </w:t>
      </w:r>
      <w:hyperlink r:id="rId9">
        <w:r w:rsidRPr="3741862F">
          <w:rPr>
            <w:rStyle w:val="Hyperlink"/>
            <w:rFonts w:ascii="Arial" w:eastAsia="Arial" w:hAnsi="Arial" w:cs="Arial"/>
            <w:color w:val="0D0D0D" w:themeColor="text1" w:themeTint="F2"/>
          </w:rPr>
          <w:t>https://www.gov.wales/sites/default/files/consultations/2018-01/141003-sdp-responses-en.pdf</w:t>
        </w:r>
      </w:hyperlink>
      <w:r w:rsidRPr="3741862F">
        <w:rPr>
          <w:rFonts w:ascii="Arial" w:eastAsia="Arial" w:hAnsi="Arial" w:cs="Arial"/>
          <w:color w:val="0D0D0D" w:themeColor="text1" w:themeTint="F2"/>
        </w:rPr>
        <w:t xml:space="preserve"> (Accessed: [14/02/2024])</w:t>
      </w:r>
    </w:p>
    <w:p w14:paraId="34186D1D" w14:textId="7CEF762C" w:rsidR="60EAAEDE" w:rsidRDefault="66EEB070" w:rsidP="3741862F">
      <w:pPr>
        <w:spacing w:line="360" w:lineRule="auto"/>
        <w:rPr>
          <w:rFonts w:ascii="Arial" w:eastAsia="Arial" w:hAnsi="Arial" w:cs="Arial"/>
          <w:color w:val="0D0D0D" w:themeColor="text1" w:themeTint="F2"/>
        </w:rPr>
      </w:pPr>
      <w:r w:rsidRPr="3741862F">
        <w:rPr>
          <w:rFonts w:ascii="Arial" w:eastAsia="Arial" w:hAnsi="Arial" w:cs="Arial"/>
          <w:color w:val="0D0D0D" w:themeColor="text1" w:themeTint="F2"/>
        </w:rPr>
        <w:t xml:space="preserve">Welsh Government. (2018). School Development Plans Guidance </w:t>
      </w:r>
      <w:hyperlink r:id="rId10">
        <w:r w:rsidRPr="3741862F">
          <w:rPr>
            <w:rStyle w:val="Hyperlink"/>
            <w:rFonts w:ascii="Arial" w:eastAsia="Arial" w:hAnsi="Arial" w:cs="Arial"/>
            <w:color w:val="0D0D0D" w:themeColor="text1" w:themeTint="F2"/>
          </w:rPr>
          <w:t>https://www.gov.wales/sites/default/files/publications/2018-03/school-development-plans.pdf</w:t>
        </w:r>
      </w:hyperlink>
      <w:r w:rsidRPr="3741862F">
        <w:rPr>
          <w:rFonts w:ascii="Arial" w:eastAsia="Arial" w:hAnsi="Arial" w:cs="Arial"/>
          <w:color w:val="0D0D0D" w:themeColor="text1" w:themeTint="F2"/>
        </w:rPr>
        <w:t xml:space="preserve"> (Accessed: [14/02/2024])</w:t>
      </w:r>
    </w:p>
    <w:p w14:paraId="306D5D56" w14:textId="3D1B7611" w:rsidR="60EAAEDE" w:rsidRDefault="66EEB070" w:rsidP="3741862F">
      <w:pPr>
        <w:spacing w:line="360" w:lineRule="auto"/>
        <w:rPr>
          <w:rFonts w:ascii="Arial" w:eastAsia="Arial" w:hAnsi="Arial" w:cs="Arial"/>
        </w:rPr>
      </w:pPr>
      <w:r w:rsidRPr="3741862F">
        <w:rPr>
          <w:rFonts w:ascii="Arial" w:eastAsia="Arial" w:hAnsi="Arial" w:cs="Arial"/>
          <w:color w:val="0D0D0D" w:themeColor="text1" w:themeTint="F2"/>
        </w:rPr>
        <w:t xml:space="preserve">Wirral Safeguarding Children Board. (2013). RADY: Recognise and Deal with Youth (RADY) Project [PDF]. Association of Directors of Children's Services (ADCS). </w:t>
      </w:r>
      <w:hyperlink r:id="rId11">
        <w:r w:rsidRPr="3741862F">
          <w:rPr>
            <w:rStyle w:val="Hyperlink"/>
            <w:rFonts w:ascii="Arial" w:eastAsia="Arial" w:hAnsi="Arial" w:cs="Arial"/>
            <w:color w:val="0D0D0D" w:themeColor="text1" w:themeTint="F2"/>
          </w:rPr>
          <w:t>https://adcs.org.uk/assets/documentation/Wirral_RADY_Project.pdf</w:t>
        </w:r>
      </w:hyperlink>
    </w:p>
    <w:p w14:paraId="71C02D0D" w14:textId="0C4E25A5" w:rsidR="60EAAEDE" w:rsidRDefault="66EEB070" w:rsidP="3741862F">
      <w:pPr>
        <w:shd w:val="clear" w:color="auto" w:fill="FFFFFF" w:themeFill="background1"/>
        <w:spacing w:after="0" w:line="360" w:lineRule="auto"/>
        <w:rPr>
          <w:rFonts w:ascii="Arial" w:eastAsia="Arial" w:hAnsi="Arial" w:cs="Arial"/>
        </w:rPr>
      </w:pPr>
      <w:r w:rsidRPr="3741862F">
        <w:rPr>
          <w:rFonts w:ascii="Arial" w:eastAsia="Arial" w:hAnsi="Arial" w:cs="Arial"/>
          <w:color w:val="0D0D0D" w:themeColor="text1" w:themeTint="F2"/>
        </w:rPr>
        <w:t xml:space="preserve">WISERD. (2019). Why are primary school children in Wales so worried about tests? WISERD Blog. (Accessed: [18/02/24] </w:t>
      </w:r>
      <w:hyperlink r:id="rId12">
        <w:r w:rsidRPr="3741862F">
          <w:rPr>
            <w:rStyle w:val="Hyperlink"/>
            <w:rFonts w:ascii="Arial" w:eastAsia="Arial" w:hAnsi="Arial" w:cs="Arial"/>
            <w:color w:val="0D0D0D" w:themeColor="text1" w:themeTint="F2"/>
          </w:rPr>
          <w:t>https://wiserd.ac.uk/blog/why-are-primary-school-children-in-wales-so-worried-about-tests/</w:t>
        </w:r>
      </w:hyperlink>
    </w:p>
    <w:p w14:paraId="58846221" w14:textId="68031670" w:rsidR="60EAAEDE" w:rsidRDefault="60EAAEDE" w:rsidP="3741862F">
      <w:pPr>
        <w:spacing w:line="360" w:lineRule="auto"/>
        <w:rPr>
          <w:rFonts w:ascii="ariel" w:eastAsia="ariel" w:hAnsi="ariel" w:cs="ariel"/>
        </w:rPr>
      </w:pPr>
    </w:p>
    <w:p w14:paraId="38F465C3" w14:textId="204F3EB6" w:rsidR="60EAAEDE" w:rsidRDefault="60EAAEDE" w:rsidP="3741862F">
      <w:pPr>
        <w:spacing w:line="360" w:lineRule="auto"/>
        <w:rPr>
          <w:rFonts w:ascii="ariel" w:eastAsia="ariel" w:hAnsi="ariel" w:cs="ariel"/>
          <w:color w:val="000000" w:themeColor="text1"/>
        </w:rPr>
      </w:pPr>
    </w:p>
    <w:p w14:paraId="579CEDAB" w14:textId="5D71F0CA" w:rsidR="60EAAEDE" w:rsidRDefault="60EAAEDE" w:rsidP="60EAAEDE">
      <w:pPr>
        <w:spacing w:line="360" w:lineRule="auto"/>
        <w:rPr>
          <w:rFonts w:ascii="ariel" w:eastAsia="ariel" w:hAnsi="ariel" w:cs="ariel"/>
        </w:rPr>
      </w:pPr>
    </w:p>
    <w:sectPr w:rsidR="60EAAE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el">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JDty1Q+Xz7Sj5g" int2:id="DZBa2dD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7B78"/>
    <w:multiLevelType w:val="hybridMultilevel"/>
    <w:tmpl w:val="4D8A2BAE"/>
    <w:lvl w:ilvl="0" w:tplc="373681CA">
      <w:start w:val="1"/>
      <w:numFmt w:val="bullet"/>
      <w:lvlText w:val=""/>
      <w:lvlJc w:val="left"/>
      <w:pPr>
        <w:ind w:left="720" w:hanging="360"/>
      </w:pPr>
      <w:rPr>
        <w:rFonts w:ascii="Symbol" w:hAnsi="Symbol" w:hint="default"/>
      </w:rPr>
    </w:lvl>
    <w:lvl w:ilvl="1" w:tplc="B88C76BE">
      <w:start w:val="1"/>
      <w:numFmt w:val="bullet"/>
      <w:lvlText w:val="o"/>
      <w:lvlJc w:val="left"/>
      <w:pPr>
        <w:ind w:left="1440" w:hanging="360"/>
      </w:pPr>
      <w:rPr>
        <w:rFonts w:ascii="Courier New" w:hAnsi="Courier New" w:hint="default"/>
      </w:rPr>
    </w:lvl>
    <w:lvl w:ilvl="2" w:tplc="CADC0F98">
      <w:start w:val="1"/>
      <w:numFmt w:val="bullet"/>
      <w:lvlText w:val=""/>
      <w:lvlJc w:val="left"/>
      <w:pPr>
        <w:ind w:left="2160" w:hanging="360"/>
      </w:pPr>
      <w:rPr>
        <w:rFonts w:ascii="Wingdings" w:hAnsi="Wingdings" w:hint="default"/>
      </w:rPr>
    </w:lvl>
    <w:lvl w:ilvl="3" w:tplc="7DFA818E">
      <w:start w:val="1"/>
      <w:numFmt w:val="bullet"/>
      <w:lvlText w:val=""/>
      <w:lvlJc w:val="left"/>
      <w:pPr>
        <w:ind w:left="2880" w:hanging="360"/>
      </w:pPr>
      <w:rPr>
        <w:rFonts w:ascii="Symbol" w:hAnsi="Symbol" w:hint="default"/>
      </w:rPr>
    </w:lvl>
    <w:lvl w:ilvl="4" w:tplc="B30A19C6">
      <w:start w:val="1"/>
      <w:numFmt w:val="bullet"/>
      <w:lvlText w:val="o"/>
      <w:lvlJc w:val="left"/>
      <w:pPr>
        <w:ind w:left="3600" w:hanging="360"/>
      </w:pPr>
      <w:rPr>
        <w:rFonts w:ascii="Courier New" w:hAnsi="Courier New" w:hint="default"/>
      </w:rPr>
    </w:lvl>
    <w:lvl w:ilvl="5" w:tplc="42E479DA">
      <w:start w:val="1"/>
      <w:numFmt w:val="bullet"/>
      <w:lvlText w:val=""/>
      <w:lvlJc w:val="left"/>
      <w:pPr>
        <w:ind w:left="4320" w:hanging="360"/>
      </w:pPr>
      <w:rPr>
        <w:rFonts w:ascii="Wingdings" w:hAnsi="Wingdings" w:hint="default"/>
      </w:rPr>
    </w:lvl>
    <w:lvl w:ilvl="6" w:tplc="2338792E">
      <w:start w:val="1"/>
      <w:numFmt w:val="bullet"/>
      <w:lvlText w:val=""/>
      <w:lvlJc w:val="left"/>
      <w:pPr>
        <w:ind w:left="5040" w:hanging="360"/>
      </w:pPr>
      <w:rPr>
        <w:rFonts w:ascii="Symbol" w:hAnsi="Symbol" w:hint="default"/>
      </w:rPr>
    </w:lvl>
    <w:lvl w:ilvl="7" w:tplc="4EA69F32">
      <w:start w:val="1"/>
      <w:numFmt w:val="bullet"/>
      <w:lvlText w:val="o"/>
      <w:lvlJc w:val="left"/>
      <w:pPr>
        <w:ind w:left="5760" w:hanging="360"/>
      </w:pPr>
      <w:rPr>
        <w:rFonts w:ascii="Courier New" w:hAnsi="Courier New" w:hint="default"/>
      </w:rPr>
    </w:lvl>
    <w:lvl w:ilvl="8" w:tplc="DA38316C">
      <w:start w:val="1"/>
      <w:numFmt w:val="bullet"/>
      <w:lvlText w:val=""/>
      <w:lvlJc w:val="left"/>
      <w:pPr>
        <w:ind w:left="6480" w:hanging="360"/>
      </w:pPr>
      <w:rPr>
        <w:rFonts w:ascii="Wingdings" w:hAnsi="Wingdings" w:hint="default"/>
      </w:rPr>
    </w:lvl>
  </w:abstractNum>
  <w:abstractNum w:abstractNumId="1" w15:restartNumberingAfterBreak="0">
    <w:nsid w:val="11A14D5C"/>
    <w:multiLevelType w:val="hybridMultilevel"/>
    <w:tmpl w:val="C4CAEDD0"/>
    <w:lvl w:ilvl="0" w:tplc="E5F4713A">
      <w:start w:val="1"/>
      <w:numFmt w:val="bullet"/>
      <w:lvlText w:val=""/>
      <w:lvlJc w:val="left"/>
      <w:pPr>
        <w:ind w:left="720" w:hanging="360"/>
      </w:pPr>
      <w:rPr>
        <w:rFonts w:ascii="Symbol" w:hAnsi="Symbol" w:hint="default"/>
      </w:rPr>
    </w:lvl>
    <w:lvl w:ilvl="1" w:tplc="56DE122E">
      <w:start w:val="1"/>
      <w:numFmt w:val="bullet"/>
      <w:lvlText w:val="o"/>
      <w:lvlJc w:val="left"/>
      <w:pPr>
        <w:ind w:left="1440" w:hanging="360"/>
      </w:pPr>
      <w:rPr>
        <w:rFonts w:ascii="Courier New" w:hAnsi="Courier New" w:hint="default"/>
      </w:rPr>
    </w:lvl>
    <w:lvl w:ilvl="2" w:tplc="D3028834">
      <w:start w:val="1"/>
      <w:numFmt w:val="bullet"/>
      <w:lvlText w:val=""/>
      <w:lvlJc w:val="left"/>
      <w:pPr>
        <w:ind w:left="2160" w:hanging="360"/>
      </w:pPr>
      <w:rPr>
        <w:rFonts w:ascii="Wingdings" w:hAnsi="Wingdings" w:hint="default"/>
      </w:rPr>
    </w:lvl>
    <w:lvl w:ilvl="3" w:tplc="B04CCBB6">
      <w:start w:val="1"/>
      <w:numFmt w:val="bullet"/>
      <w:lvlText w:val=""/>
      <w:lvlJc w:val="left"/>
      <w:pPr>
        <w:ind w:left="2880" w:hanging="360"/>
      </w:pPr>
      <w:rPr>
        <w:rFonts w:ascii="Symbol" w:hAnsi="Symbol" w:hint="default"/>
      </w:rPr>
    </w:lvl>
    <w:lvl w:ilvl="4" w:tplc="858A9D60">
      <w:start w:val="1"/>
      <w:numFmt w:val="bullet"/>
      <w:lvlText w:val="o"/>
      <w:lvlJc w:val="left"/>
      <w:pPr>
        <w:ind w:left="3600" w:hanging="360"/>
      </w:pPr>
      <w:rPr>
        <w:rFonts w:ascii="Courier New" w:hAnsi="Courier New" w:hint="default"/>
      </w:rPr>
    </w:lvl>
    <w:lvl w:ilvl="5" w:tplc="D20CB700">
      <w:start w:val="1"/>
      <w:numFmt w:val="bullet"/>
      <w:lvlText w:val=""/>
      <w:lvlJc w:val="left"/>
      <w:pPr>
        <w:ind w:left="4320" w:hanging="360"/>
      </w:pPr>
      <w:rPr>
        <w:rFonts w:ascii="Wingdings" w:hAnsi="Wingdings" w:hint="default"/>
      </w:rPr>
    </w:lvl>
    <w:lvl w:ilvl="6" w:tplc="30FC8D28">
      <w:start w:val="1"/>
      <w:numFmt w:val="bullet"/>
      <w:lvlText w:val=""/>
      <w:lvlJc w:val="left"/>
      <w:pPr>
        <w:ind w:left="5040" w:hanging="360"/>
      </w:pPr>
      <w:rPr>
        <w:rFonts w:ascii="Symbol" w:hAnsi="Symbol" w:hint="default"/>
      </w:rPr>
    </w:lvl>
    <w:lvl w:ilvl="7" w:tplc="CD446148">
      <w:start w:val="1"/>
      <w:numFmt w:val="bullet"/>
      <w:lvlText w:val="o"/>
      <w:lvlJc w:val="left"/>
      <w:pPr>
        <w:ind w:left="5760" w:hanging="360"/>
      </w:pPr>
      <w:rPr>
        <w:rFonts w:ascii="Courier New" w:hAnsi="Courier New" w:hint="default"/>
      </w:rPr>
    </w:lvl>
    <w:lvl w:ilvl="8" w:tplc="79FAEAEA">
      <w:start w:val="1"/>
      <w:numFmt w:val="bullet"/>
      <w:lvlText w:val=""/>
      <w:lvlJc w:val="left"/>
      <w:pPr>
        <w:ind w:left="6480" w:hanging="360"/>
      </w:pPr>
      <w:rPr>
        <w:rFonts w:ascii="Wingdings" w:hAnsi="Wingdings" w:hint="default"/>
      </w:rPr>
    </w:lvl>
  </w:abstractNum>
  <w:abstractNum w:abstractNumId="2" w15:restartNumberingAfterBreak="0">
    <w:nsid w:val="1B009050"/>
    <w:multiLevelType w:val="hybridMultilevel"/>
    <w:tmpl w:val="60B6C44A"/>
    <w:lvl w:ilvl="0" w:tplc="D4A8E38E">
      <w:start w:val="1"/>
      <w:numFmt w:val="bullet"/>
      <w:lvlText w:val=""/>
      <w:lvlJc w:val="left"/>
      <w:pPr>
        <w:ind w:left="1080" w:hanging="360"/>
      </w:pPr>
      <w:rPr>
        <w:rFonts w:ascii="Symbol" w:hAnsi="Symbol" w:hint="default"/>
      </w:rPr>
    </w:lvl>
    <w:lvl w:ilvl="1" w:tplc="60668E36">
      <w:start w:val="1"/>
      <w:numFmt w:val="bullet"/>
      <w:lvlText w:val="o"/>
      <w:lvlJc w:val="left"/>
      <w:pPr>
        <w:ind w:left="1800" w:hanging="360"/>
      </w:pPr>
      <w:rPr>
        <w:rFonts w:ascii="Courier New" w:hAnsi="Courier New" w:hint="default"/>
      </w:rPr>
    </w:lvl>
    <w:lvl w:ilvl="2" w:tplc="30FC8C8C">
      <w:start w:val="1"/>
      <w:numFmt w:val="bullet"/>
      <w:lvlText w:val=""/>
      <w:lvlJc w:val="left"/>
      <w:pPr>
        <w:ind w:left="2520" w:hanging="360"/>
      </w:pPr>
      <w:rPr>
        <w:rFonts w:ascii="Wingdings" w:hAnsi="Wingdings" w:hint="default"/>
      </w:rPr>
    </w:lvl>
    <w:lvl w:ilvl="3" w:tplc="3BB02E82">
      <w:start w:val="1"/>
      <w:numFmt w:val="bullet"/>
      <w:lvlText w:val=""/>
      <w:lvlJc w:val="left"/>
      <w:pPr>
        <w:ind w:left="3240" w:hanging="360"/>
      </w:pPr>
      <w:rPr>
        <w:rFonts w:ascii="Symbol" w:hAnsi="Symbol" w:hint="default"/>
      </w:rPr>
    </w:lvl>
    <w:lvl w:ilvl="4" w:tplc="BDC817CE">
      <w:start w:val="1"/>
      <w:numFmt w:val="bullet"/>
      <w:lvlText w:val="o"/>
      <w:lvlJc w:val="left"/>
      <w:pPr>
        <w:ind w:left="3960" w:hanging="360"/>
      </w:pPr>
      <w:rPr>
        <w:rFonts w:ascii="Courier New" w:hAnsi="Courier New" w:hint="default"/>
      </w:rPr>
    </w:lvl>
    <w:lvl w:ilvl="5" w:tplc="A45271DA">
      <w:start w:val="1"/>
      <w:numFmt w:val="bullet"/>
      <w:lvlText w:val=""/>
      <w:lvlJc w:val="left"/>
      <w:pPr>
        <w:ind w:left="4680" w:hanging="360"/>
      </w:pPr>
      <w:rPr>
        <w:rFonts w:ascii="Wingdings" w:hAnsi="Wingdings" w:hint="default"/>
      </w:rPr>
    </w:lvl>
    <w:lvl w:ilvl="6" w:tplc="2DA0CDB2">
      <w:start w:val="1"/>
      <w:numFmt w:val="bullet"/>
      <w:lvlText w:val=""/>
      <w:lvlJc w:val="left"/>
      <w:pPr>
        <w:ind w:left="5400" w:hanging="360"/>
      </w:pPr>
      <w:rPr>
        <w:rFonts w:ascii="Symbol" w:hAnsi="Symbol" w:hint="default"/>
      </w:rPr>
    </w:lvl>
    <w:lvl w:ilvl="7" w:tplc="AABECE32">
      <w:start w:val="1"/>
      <w:numFmt w:val="bullet"/>
      <w:lvlText w:val="o"/>
      <w:lvlJc w:val="left"/>
      <w:pPr>
        <w:ind w:left="6120" w:hanging="360"/>
      </w:pPr>
      <w:rPr>
        <w:rFonts w:ascii="Courier New" w:hAnsi="Courier New" w:hint="default"/>
      </w:rPr>
    </w:lvl>
    <w:lvl w:ilvl="8" w:tplc="DB62FB64">
      <w:start w:val="1"/>
      <w:numFmt w:val="bullet"/>
      <w:lvlText w:val=""/>
      <w:lvlJc w:val="left"/>
      <w:pPr>
        <w:ind w:left="6840" w:hanging="360"/>
      </w:pPr>
      <w:rPr>
        <w:rFonts w:ascii="Wingdings" w:hAnsi="Wingdings" w:hint="default"/>
      </w:rPr>
    </w:lvl>
  </w:abstractNum>
  <w:abstractNum w:abstractNumId="3" w15:restartNumberingAfterBreak="0">
    <w:nsid w:val="2501E325"/>
    <w:multiLevelType w:val="hybridMultilevel"/>
    <w:tmpl w:val="6C6AA664"/>
    <w:lvl w:ilvl="0" w:tplc="B510CCE6">
      <w:start w:val="1"/>
      <w:numFmt w:val="bullet"/>
      <w:lvlText w:val=""/>
      <w:lvlJc w:val="left"/>
      <w:pPr>
        <w:ind w:left="720" w:hanging="360"/>
      </w:pPr>
      <w:rPr>
        <w:rFonts w:ascii="Symbol" w:hAnsi="Symbol" w:hint="default"/>
      </w:rPr>
    </w:lvl>
    <w:lvl w:ilvl="1" w:tplc="37FC51C8">
      <w:start w:val="1"/>
      <w:numFmt w:val="bullet"/>
      <w:lvlText w:val="o"/>
      <w:lvlJc w:val="left"/>
      <w:pPr>
        <w:ind w:left="1440" w:hanging="360"/>
      </w:pPr>
      <w:rPr>
        <w:rFonts w:ascii="Courier New" w:hAnsi="Courier New" w:hint="default"/>
      </w:rPr>
    </w:lvl>
    <w:lvl w:ilvl="2" w:tplc="F2F8AEC0">
      <w:start w:val="1"/>
      <w:numFmt w:val="bullet"/>
      <w:lvlText w:val=""/>
      <w:lvlJc w:val="left"/>
      <w:pPr>
        <w:ind w:left="2160" w:hanging="360"/>
      </w:pPr>
      <w:rPr>
        <w:rFonts w:ascii="Wingdings" w:hAnsi="Wingdings" w:hint="default"/>
      </w:rPr>
    </w:lvl>
    <w:lvl w:ilvl="3" w:tplc="79F88B48">
      <w:start w:val="1"/>
      <w:numFmt w:val="bullet"/>
      <w:lvlText w:val=""/>
      <w:lvlJc w:val="left"/>
      <w:pPr>
        <w:ind w:left="2880" w:hanging="360"/>
      </w:pPr>
      <w:rPr>
        <w:rFonts w:ascii="Symbol" w:hAnsi="Symbol" w:hint="default"/>
      </w:rPr>
    </w:lvl>
    <w:lvl w:ilvl="4" w:tplc="DDDE3A32">
      <w:start w:val="1"/>
      <w:numFmt w:val="bullet"/>
      <w:lvlText w:val="o"/>
      <w:lvlJc w:val="left"/>
      <w:pPr>
        <w:ind w:left="3600" w:hanging="360"/>
      </w:pPr>
      <w:rPr>
        <w:rFonts w:ascii="Courier New" w:hAnsi="Courier New" w:hint="default"/>
      </w:rPr>
    </w:lvl>
    <w:lvl w:ilvl="5" w:tplc="E492372C">
      <w:start w:val="1"/>
      <w:numFmt w:val="bullet"/>
      <w:lvlText w:val=""/>
      <w:lvlJc w:val="left"/>
      <w:pPr>
        <w:ind w:left="4320" w:hanging="360"/>
      </w:pPr>
      <w:rPr>
        <w:rFonts w:ascii="Wingdings" w:hAnsi="Wingdings" w:hint="default"/>
      </w:rPr>
    </w:lvl>
    <w:lvl w:ilvl="6" w:tplc="03E6ED30">
      <w:start w:val="1"/>
      <w:numFmt w:val="bullet"/>
      <w:lvlText w:val=""/>
      <w:lvlJc w:val="left"/>
      <w:pPr>
        <w:ind w:left="5040" w:hanging="360"/>
      </w:pPr>
      <w:rPr>
        <w:rFonts w:ascii="Symbol" w:hAnsi="Symbol" w:hint="default"/>
      </w:rPr>
    </w:lvl>
    <w:lvl w:ilvl="7" w:tplc="D9647C72">
      <w:start w:val="1"/>
      <w:numFmt w:val="bullet"/>
      <w:lvlText w:val="o"/>
      <w:lvlJc w:val="left"/>
      <w:pPr>
        <w:ind w:left="5760" w:hanging="360"/>
      </w:pPr>
      <w:rPr>
        <w:rFonts w:ascii="Courier New" w:hAnsi="Courier New" w:hint="default"/>
      </w:rPr>
    </w:lvl>
    <w:lvl w:ilvl="8" w:tplc="96DAAA82">
      <w:start w:val="1"/>
      <w:numFmt w:val="bullet"/>
      <w:lvlText w:val=""/>
      <w:lvlJc w:val="left"/>
      <w:pPr>
        <w:ind w:left="6480" w:hanging="360"/>
      </w:pPr>
      <w:rPr>
        <w:rFonts w:ascii="Wingdings" w:hAnsi="Wingdings" w:hint="default"/>
      </w:rPr>
    </w:lvl>
  </w:abstractNum>
  <w:abstractNum w:abstractNumId="4" w15:restartNumberingAfterBreak="0">
    <w:nsid w:val="36EE8160"/>
    <w:multiLevelType w:val="hybridMultilevel"/>
    <w:tmpl w:val="4A9A8B22"/>
    <w:lvl w:ilvl="0" w:tplc="269A2CA4">
      <w:start w:val="1"/>
      <w:numFmt w:val="bullet"/>
      <w:lvlText w:val=""/>
      <w:lvlJc w:val="left"/>
      <w:pPr>
        <w:ind w:left="720" w:hanging="360"/>
      </w:pPr>
      <w:rPr>
        <w:rFonts w:ascii="Symbol" w:hAnsi="Symbol" w:hint="default"/>
      </w:rPr>
    </w:lvl>
    <w:lvl w:ilvl="1" w:tplc="D468210A">
      <w:start w:val="1"/>
      <w:numFmt w:val="bullet"/>
      <w:lvlText w:val="o"/>
      <w:lvlJc w:val="left"/>
      <w:pPr>
        <w:ind w:left="1440" w:hanging="360"/>
      </w:pPr>
      <w:rPr>
        <w:rFonts w:ascii="Courier New" w:hAnsi="Courier New" w:hint="default"/>
      </w:rPr>
    </w:lvl>
    <w:lvl w:ilvl="2" w:tplc="D242D83E">
      <w:start w:val="1"/>
      <w:numFmt w:val="bullet"/>
      <w:lvlText w:val=""/>
      <w:lvlJc w:val="left"/>
      <w:pPr>
        <w:ind w:left="2160" w:hanging="360"/>
      </w:pPr>
      <w:rPr>
        <w:rFonts w:ascii="Wingdings" w:hAnsi="Wingdings" w:hint="default"/>
      </w:rPr>
    </w:lvl>
    <w:lvl w:ilvl="3" w:tplc="6A6E924A">
      <w:start w:val="1"/>
      <w:numFmt w:val="bullet"/>
      <w:lvlText w:val=""/>
      <w:lvlJc w:val="left"/>
      <w:pPr>
        <w:ind w:left="2880" w:hanging="360"/>
      </w:pPr>
      <w:rPr>
        <w:rFonts w:ascii="Symbol" w:hAnsi="Symbol" w:hint="default"/>
      </w:rPr>
    </w:lvl>
    <w:lvl w:ilvl="4" w:tplc="CD7481E0">
      <w:start w:val="1"/>
      <w:numFmt w:val="bullet"/>
      <w:lvlText w:val="o"/>
      <w:lvlJc w:val="left"/>
      <w:pPr>
        <w:ind w:left="3600" w:hanging="360"/>
      </w:pPr>
      <w:rPr>
        <w:rFonts w:ascii="Courier New" w:hAnsi="Courier New" w:hint="default"/>
      </w:rPr>
    </w:lvl>
    <w:lvl w:ilvl="5" w:tplc="149054C0">
      <w:start w:val="1"/>
      <w:numFmt w:val="bullet"/>
      <w:lvlText w:val=""/>
      <w:lvlJc w:val="left"/>
      <w:pPr>
        <w:ind w:left="4320" w:hanging="360"/>
      </w:pPr>
      <w:rPr>
        <w:rFonts w:ascii="Wingdings" w:hAnsi="Wingdings" w:hint="default"/>
      </w:rPr>
    </w:lvl>
    <w:lvl w:ilvl="6" w:tplc="E3A265AC">
      <w:start w:val="1"/>
      <w:numFmt w:val="bullet"/>
      <w:lvlText w:val=""/>
      <w:lvlJc w:val="left"/>
      <w:pPr>
        <w:ind w:left="5040" w:hanging="360"/>
      </w:pPr>
      <w:rPr>
        <w:rFonts w:ascii="Symbol" w:hAnsi="Symbol" w:hint="default"/>
      </w:rPr>
    </w:lvl>
    <w:lvl w:ilvl="7" w:tplc="D548B81E">
      <w:start w:val="1"/>
      <w:numFmt w:val="bullet"/>
      <w:lvlText w:val="o"/>
      <w:lvlJc w:val="left"/>
      <w:pPr>
        <w:ind w:left="5760" w:hanging="360"/>
      </w:pPr>
      <w:rPr>
        <w:rFonts w:ascii="Courier New" w:hAnsi="Courier New" w:hint="default"/>
      </w:rPr>
    </w:lvl>
    <w:lvl w:ilvl="8" w:tplc="F69A2E04">
      <w:start w:val="1"/>
      <w:numFmt w:val="bullet"/>
      <w:lvlText w:val=""/>
      <w:lvlJc w:val="left"/>
      <w:pPr>
        <w:ind w:left="6480" w:hanging="360"/>
      </w:pPr>
      <w:rPr>
        <w:rFonts w:ascii="Wingdings" w:hAnsi="Wingdings" w:hint="default"/>
      </w:rPr>
    </w:lvl>
  </w:abstractNum>
  <w:abstractNum w:abstractNumId="5" w15:restartNumberingAfterBreak="0">
    <w:nsid w:val="3D314CEC"/>
    <w:multiLevelType w:val="hybridMultilevel"/>
    <w:tmpl w:val="A7F29E14"/>
    <w:lvl w:ilvl="0" w:tplc="F89C3DFC">
      <w:start w:val="1"/>
      <w:numFmt w:val="bullet"/>
      <w:lvlText w:val=""/>
      <w:lvlJc w:val="left"/>
      <w:pPr>
        <w:ind w:left="720" w:hanging="360"/>
      </w:pPr>
      <w:rPr>
        <w:rFonts w:ascii="Symbol" w:hAnsi="Symbol" w:hint="default"/>
      </w:rPr>
    </w:lvl>
    <w:lvl w:ilvl="1" w:tplc="79E233CE">
      <w:start w:val="1"/>
      <w:numFmt w:val="bullet"/>
      <w:lvlText w:val="o"/>
      <w:lvlJc w:val="left"/>
      <w:pPr>
        <w:ind w:left="1440" w:hanging="360"/>
      </w:pPr>
      <w:rPr>
        <w:rFonts w:ascii="Courier New" w:hAnsi="Courier New" w:hint="default"/>
      </w:rPr>
    </w:lvl>
    <w:lvl w:ilvl="2" w:tplc="BDC0E7F4">
      <w:start w:val="1"/>
      <w:numFmt w:val="bullet"/>
      <w:lvlText w:val=""/>
      <w:lvlJc w:val="left"/>
      <w:pPr>
        <w:ind w:left="2160" w:hanging="360"/>
      </w:pPr>
      <w:rPr>
        <w:rFonts w:ascii="Wingdings" w:hAnsi="Wingdings" w:hint="default"/>
      </w:rPr>
    </w:lvl>
    <w:lvl w:ilvl="3" w:tplc="FE1C4392">
      <w:start w:val="1"/>
      <w:numFmt w:val="bullet"/>
      <w:lvlText w:val=""/>
      <w:lvlJc w:val="left"/>
      <w:pPr>
        <w:ind w:left="2880" w:hanging="360"/>
      </w:pPr>
      <w:rPr>
        <w:rFonts w:ascii="Symbol" w:hAnsi="Symbol" w:hint="default"/>
      </w:rPr>
    </w:lvl>
    <w:lvl w:ilvl="4" w:tplc="8CDA28D4">
      <w:start w:val="1"/>
      <w:numFmt w:val="bullet"/>
      <w:lvlText w:val="o"/>
      <w:lvlJc w:val="left"/>
      <w:pPr>
        <w:ind w:left="3600" w:hanging="360"/>
      </w:pPr>
      <w:rPr>
        <w:rFonts w:ascii="Courier New" w:hAnsi="Courier New" w:hint="default"/>
      </w:rPr>
    </w:lvl>
    <w:lvl w:ilvl="5" w:tplc="D424174A">
      <w:start w:val="1"/>
      <w:numFmt w:val="bullet"/>
      <w:lvlText w:val=""/>
      <w:lvlJc w:val="left"/>
      <w:pPr>
        <w:ind w:left="4320" w:hanging="360"/>
      </w:pPr>
      <w:rPr>
        <w:rFonts w:ascii="Wingdings" w:hAnsi="Wingdings" w:hint="default"/>
      </w:rPr>
    </w:lvl>
    <w:lvl w:ilvl="6" w:tplc="B0B0D9A8">
      <w:start w:val="1"/>
      <w:numFmt w:val="bullet"/>
      <w:lvlText w:val=""/>
      <w:lvlJc w:val="left"/>
      <w:pPr>
        <w:ind w:left="5040" w:hanging="360"/>
      </w:pPr>
      <w:rPr>
        <w:rFonts w:ascii="Symbol" w:hAnsi="Symbol" w:hint="default"/>
      </w:rPr>
    </w:lvl>
    <w:lvl w:ilvl="7" w:tplc="95F43840">
      <w:start w:val="1"/>
      <w:numFmt w:val="bullet"/>
      <w:lvlText w:val="o"/>
      <w:lvlJc w:val="left"/>
      <w:pPr>
        <w:ind w:left="5760" w:hanging="360"/>
      </w:pPr>
      <w:rPr>
        <w:rFonts w:ascii="Courier New" w:hAnsi="Courier New" w:hint="default"/>
      </w:rPr>
    </w:lvl>
    <w:lvl w:ilvl="8" w:tplc="3E3AC70A">
      <w:start w:val="1"/>
      <w:numFmt w:val="bullet"/>
      <w:lvlText w:val=""/>
      <w:lvlJc w:val="left"/>
      <w:pPr>
        <w:ind w:left="6480" w:hanging="360"/>
      </w:pPr>
      <w:rPr>
        <w:rFonts w:ascii="Wingdings" w:hAnsi="Wingdings" w:hint="default"/>
      </w:rPr>
    </w:lvl>
  </w:abstractNum>
  <w:abstractNum w:abstractNumId="6" w15:restartNumberingAfterBreak="0">
    <w:nsid w:val="41744A57"/>
    <w:multiLevelType w:val="multilevel"/>
    <w:tmpl w:val="485E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CA66D6"/>
    <w:multiLevelType w:val="hybridMultilevel"/>
    <w:tmpl w:val="CFC8DCBC"/>
    <w:lvl w:ilvl="0" w:tplc="9CDE8336">
      <w:start w:val="1"/>
      <w:numFmt w:val="bullet"/>
      <w:lvlText w:val=""/>
      <w:lvlJc w:val="left"/>
      <w:pPr>
        <w:ind w:left="720" w:hanging="360"/>
      </w:pPr>
      <w:rPr>
        <w:rFonts w:ascii="Symbol" w:hAnsi="Symbol" w:hint="default"/>
      </w:rPr>
    </w:lvl>
    <w:lvl w:ilvl="1" w:tplc="58A06980">
      <w:start w:val="1"/>
      <w:numFmt w:val="bullet"/>
      <w:lvlText w:val="o"/>
      <w:lvlJc w:val="left"/>
      <w:pPr>
        <w:ind w:left="1440" w:hanging="360"/>
      </w:pPr>
      <w:rPr>
        <w:rFonts w:ascii="Courier New" w:hAnsi="Courier New" w:hint="default"/>
      </w:rPr>
    </w:lvl>
    <w:lvl w:ilvl="2" w:tplc="CEDEA630">
      <w:start w:val="1"/>
      <w:numFmt w:val="bullet"/>
      <w:lvlText w:val=""/>
      <w:lvlJc w:val="left"/>
      <w:pPr>
        <w:ind w:left="2160" w:hanging="360"/>
      </w:pPr>
      <w:rPr>
        <w:rFonts w:ascii="Wingdings" w:hAnsi="Wingdings" w:hint="default"/>
      </w:rPr>
    </w:lvl>
    <w:lvl w:ilvl="3" w:tplc="2048B1A8">
      <w:start w:val="1"/>
      <w:numFmt w:val="bullet"/>
      <w:lvlText w:val=""/>
      <w:lvlJc w:val="left"/>
      <w:pPr>
        <w:ind w:left="2880" w:hanging="360"/>
      </w:pPr>
      <w:rPr>
        <w:rFonts w:ascii="Symbol" w:hAnsi="Symbol" w:hint="default"/>
      </w:rPr>
    </w:lvl>
    <w:lvl w:ilvl="4" w:tplc="026896CC">
      <w:start w:val="1"/>
      <w:numFmt w:val="bullet"/>
      <w:lvlText w:val="o"/>
      <w:lvlJc w:val="left"/>
      <w:pPr>
        <w:ind w:left="3600" w:hanging="360"/>
      </w:pPr>
      <w:rPr>
        <w:rFonts w:ascii="Courier New" w:hAnsi="Courier New" w:hint="default"/>
      </w:rPr>
    </w:lvl>
    <w:lvl w:ilvl="5" w:tplc="7820D032">
      <w:start w:val="1"/>
      <w:numFmt w:val="bullet"/>
      <w:lvlText w:val=""/>
      <w:lvlJc w:val="left"/>
      <w:pPr>
        <w:ind w:left="4320" w:hanging="360"/>
      </w:pPr>
      <w:rPr>
        <w:rFonts w:ascii="Wingdings" w:hAnsi="Wingdings" w:hint="default"/>
      </w:rPr>
    </w:lvl>
    <w:lvl w:ilvl="6" w:tplc="C49E9AC4">
      <w:start w:val="1"/>
      <w:numFmt w:val="bullet"/>
      <w:lvlText w:val=""/>
      <w:lvlJc w:val="left"/>
      <w:pPr>
        <w:ind w:left="5040" w:hanging="360"/>
      </w:pPr>
      <w:rPr>
        <w:rFonts w:ascii="Symbol" w:hAnsi="Symbol" w:hint="default"/>
      </w:rPr>
    </w:lvl>
    <w:lvl w:ilvl="7" w:tplc="D68AF168">
      <w:start w:val="1"/>
      <w:numFmt w:val="bullet"/>
      <w:lvlText w:val="o"/>
      <w:lvlJc w:val="left"/>
      <w:pPr>
        <w:ind w:left="5760" w:hanging="360"/>
      </w:pPr>
      <w:rPr>
        <w:rFonts w:ascii="Courier New" w:hAnsi="Courier New" w:hint="default"/>
      </w:rPr>
    </w:lvl>
    <w:lvl w:ilvl="8" w:tplc="BBA2CE22">
      <w:start w:val="1"/>
      <w:numFmt w:val="bullet"/>
      <w:lvlText w:val=""/>
      <w:lvlJc w:val="left"/>
      <w:pPr>
        <w:ind w:left="6480" w:hanging="360"/>
      </w:pPr>
      <w:rPr>
        <w:rFonts w:ascii="Wingdings" w:hAnsi="Wingdings" w:hint="default"/>
      </w:rPr>
    </w:lvl>
  </w:abstractNum>
  <w:abstractNum w:abstractNumId="8" w15:restartNumberingAfterBreak="0">
    <w:nsid w:val="603E4949"/>
    <w:multiLevelType w:val="hybridMultilevel"/>
    <w:tmpl w:val="CFBAB7EE"/>
    <w:lvl w:ilvl="0" w:tplc="BC766D18">
      <w:start w:val="1"/>
      <w:numFmt w:val="bullet"/>
      <w:lvlText w:val=""/>
      <w:lvlJc w:val="left"/>
      <w:pPr>
        <w:ind w:left="720" w:hanging="360"/>
      </w:pPr>
      <w:rPr>
        <w:rFonts w:ascii="Symbol" w:hAnsi="Symbol" w:hint="default"/>
      </w:rPr>
    </w:lvl>
    <w:lvl w:ilvl="1" w:tplc="97065A52">
      <w:start w:val="1"/>
      <w:numFmt w:val="bullet"/>
      <w:lvlText w:val="o"/>
      <w:lvlJc w:val="left"/>
      <w:pPr>
        <w:ind w:left="1440" w:hanging="360"/>
      </w:pPr>
      <w:rPr>
        <w:rFonts w:ascii="Courier New" w:hAnsi="Courier New" w:hint="default"/>
      </w:rPr>
    </w:lvl>
    <w:lvl w:ilvl="2" w:tplc="5BCAD57A">
      <w:start w:val="1"/>
      <w:numFmt w:val="bullet"/>
      <w:lvlText w:val=""/>
      <w:lvlJc w:val="left"/>
      <w:pPr>
        <w:ind w:left="2160" w:hanging="360"/>
      </w:pPr>
      <w:rPr>
        <w:rFonts w:ascii="Wingdings" w:hAnsi="Wingdings" w:hint="default"/>
      </w:rPr>
    </w:lvl>
    <w:lvl w:ilvl="3" w:tplc="689487CC">
      <w:start w:val="1"/>
      <w:numFmt w:val="bullet"/>
      <w:lvlText w:val=""/>
      <w:lvlJc w:val="left"/>
      <w:pPr>
        <w:ind w:left="2880" w:hanging="360"/>
      </w:pPr>
      <w:rPr>
        <w:rFonts w:ascii="Symbol" w:hAnsi="Symbol" w:hint="default"/>
      </w:rPr>
    </w:lvl>
    <w:lvl w:ilvl="4" w:tplc="274CD2DA">
      <w:start w:val="1"/>
      <w:numFmt w:val="bullet"/>
      <w:lvlText w:val="o"/>
      <w:lvlJc w:val="left"/>
      <w:pPr>
        <w:ind w:left="3600" w:hanging="360"/>
      </w:pPr>
      <w:rPr>
        <w:rFonts w:ascii="Courier New" w:hAnsi="Courier New" w:hint="default"/>
      </w:rPr>
    </w:lvl>
    <w:lvl w:ilvl="5" w:tplc="8DA6B6E0">
      <w:start w:val="1"/>
      <w:numFmt w:val="bullet"/>
      <w:lvlText w:val=""/>
      <w:lvlJc w:val="left"/>
      <w:pPr>
        <w:ind w:left="4320" w:hanging="360"/>
      </w:pPr>
      <w:rPr>
        <w:rFonts w:ascii="Wingdings" w:hAnsi="Wingdings" w:hint="default"/>
      </w:rPr>
    </w:lvl>
    <w:lvl w:ilvl="6" w:tplc="4D704012">
      <w:start w:val="1"/>
      <w:numFmt w:val="bullet"/>
      <w:lvlText w:val=""/>
      <w:lvlJc w:val="left"/>
      <w:pPr>
        <w:ind w:left="5040" w:hanging="360"/>
      </w:pPr>
      <w:rPr>
        <w:rFonts w:ascii="Symbol" w:hAnsi="Symbol" w:hint="default"/>
      </w:rPr>
    </w:lvl>
    <w:lvl w:ilvl="7" w:tplc="523A1280">
      <w:start w:val="1"/>
      <w:numFmt w:val="bullet"/>
      <w:lvlText w:val="o"/>
      <w:lvlJc w:val="left"/>
      <w:pPr>
        <w:ind w:left="5760" w:hanging="360"/>
      </w:pPr>
      <w:rPr>
        <w:rFonts w:ascii="Courier New" w:hAnsi="Courier New" w:hint="default"/>
      </w:rPr>
    </w:lvl>
    <w:lvl w:ilvl="8" w:tplc="F4609F6C">
      <w:start w:val="1"/>
      <w:numFmt w:val="bullet"/>
      <w:lvlText w:val=""/>
      <w:lvlJc w:val="left"/>
      <w:pPr>
        <w:ind w:left="6480" w:hanging="360"/>
      </w:pPr>
      <w:rPr>
        <w:rFonts w:ascii="Wingdings" w:hAnsi="Wingdings" w:hint="default"/>
      </w:rPr>
    </w:lvl>
  </w:abstractNum>
  <w:abstractNum w:abstractNumId="9" w15:restartNumberingAfterBreak="0">
    <w:nsid w:val="749E32DD"/>
    <w:multiLevelType w:val="hybridMultilevel"/>
    <w:tmpl w:val="EA58D156"/>
    <w:lvl w:ilvl="0" w:tplc="52364EF8">
      <w:start w:val="1"/>
      <w:numFmt w:val="bullet"/>
      <w:lvlText w:val=""/>
      <w:lvlJc w:val="left"/>
      <w:pPr>
        <w:ind w:left="720" w:hanging="360"/>
      </w:pPr>
      <w:rPr>
        <w:rFonts w:ascii="Symbol" w:hAnsi="Symbol" w:hint="default"/>
      </w:rPr>
    </w:lvl>
    <w:lvl w:ilvl="1" w:tplc="148238A2">
      <w:start w:val="1"/>
      <w:numFmt w:val="bullet"/>
      <w:lvlText w:val="o"/>
      <w:lvlJc w:val="left"/>
      <w:pPr>
        <w:ind w:left="1440" w:hanging="360"/>
      </w:pPr>
      <w:rPr>
        <w:rFonts w:ascii="Courier New" w:hAnsi="Courier New" w:hint="default"/>
      </w:rPr>
    </w:lvl>
    <w:lvl w:ilvl="2" w:tplc="058AD762">
      <w:start w:val="1"/>
      <w:numFmt w:val="bullet"/>
      <w:lvlText w:val=""/>
      <w:lvlJc w:val="left"/>
      <w:pPr>
        <w:ind w:left="2160" w:hanging="360"/>
      </w:pPr>
      <w:rPr>
        <w:rFonts w:ascii="Wingdings" w:hAnsi="Wingdings" w:hint="default"/>
      </w:rPr>
    </w:lvl>
    <w:lvl w:ilvl="3" w:tplc="6A8C0214">
      <w:start w:val="1"/>
      <w:numFmt w:val="bullet"/>
      <w:lvlText w:val=""/>
      <w:lvlJc w:val="left"/>
      <w:pPr>
        <w:ind w:left="2880" w:hanging="360"/>
      </w:pPr>
      <w:rPr>
        <w:rFonts w:ascii="Symbol" w:hAnsi="Symbol" w:hint="default"/>
      </w:rPr>
    </w:lvl>
    <w:lvl w:ilvl="4" w:tplc="0D2A5072">
      <w:start w:val="1"/>
      <w:numFmt w:val="bullet"/>
      <w:lvlText w:val="o"/>
      <w:lvlJc w:val="left"/>
      <w:pPr>
        <w:ind w:left="3600" w:hanging="360"/>
      </w:pPr>
      <w:rPr>
        <w:rFonts w:ascii="Courier New" w:hAnsi="Courier New" w:hint="default"/>
      </w:rPr>
    </w:lvl>
    <w:lvl w:ilvl="5" w:tplc="BED8FD1C">
      <w:start w:val="1"/>
      <w:numFmt w:val="bullet"/>
      <w:lvlText w:val=""/>
      <w:lvlJc w:val="left"/>
      <w:pPr>
        <w:ind w:left="4320" w:hanging="360"/>
      </w:pPr>
      <w:rPr>
        <w:rFonts w:ascii="Wingdings" w:hAnsi="Wingdings" w:hint="default"/>
      </w:rPr>
    </w:lvl>
    <w:lvl w:ilvl="6" w:tplc="B366F864">
      <w:start w:val="1"/>
      <w:numFmt w:val="bullet"/>
      <w:lvlText w:val=""/>
      <w:lvlJc w:val="left"/>
      <w:pPr>
        <w:ind w:left="5040" w:hanging="360"/>
      </w:pPr>
      <w:rPr>
        <w:rFonts w:ascii="Symbol" w:hAnsi="Symbol" w:hint="default"/>
      </w:rPr>
    </w:lvl>
    <w:lvl w:ilvl="7" w:tplc="B71EAFAC">
      <w:start w:val="1"/>
      <w:numFmt w:val="bullet"/>
      <w:lvlText w:val="o"/>
      <w:lvlJc w:val="left"/>
      <w:pPr>
        <w:ind w:left="5760" w:hanging="360"/>
      </w:pPr>
      <w:rPr>
        <w:rFonts w:ascii="Courier New" w:hAnsi="Courier New" w:hint="default"/>
      </w:rPr>
    </w:lvl>
    <w:lvl w:ilvl="8" w:tplc="F4C27C24">
      <w:start w:val="1"/>
      <w:numFmt w:val="bullet"/>
      <w:lvlText w:val=""/>
      <w:lvlJc w:val="left"/>
      <w:pPr>
        <w:ind w:left="6480" w:hanging="360"/>
      </w:pPr>
      <w:rPr>
        <w:rFonts w:ascii="Wingdings" w:hAnsi="Wingdings" w:hint="default"/>
      </w:rPr>
    </w:lvl>
  </w:abstractNum>
  <w:abstractNum w:abstractNumId="10" w15:restartNumberingAfterBreak="0">
    <w:nsid w:val="7BFB5E24"/>
    <w:multiLevelType w:val="hybridMultilevel"/>
    <w:tmpl w:val="34F03070"/>
    <w:lvl w:ilvl="0" w:tplc="C932FF20">
      <w:start w:val="1"/>
      <w:numFmt w:val="bullet"/>
      <w:lvlText w:val=""/>
      <w:lvlJc w:val="left"/>
      <w:pPr>
        <w:ind w:left="720" w:hanging="360"/>
      </w:pPr>
      <w:rPr>
        <w:rFonts w:ascii="Symbol" w:hAnsi="Symbol" w:hint="default"/>
      </w:rPr>
    </w:lvl>
    <w:lvl w:ilvl="1" w:tplc="309E65F8">
      <w:start w:val="1"/>
      <w:numFmt w:val="bullet"/>
      <w:lvlText w:val="o"/>
      <w:lvlJc w:val="left"/>
      <w:pPr>
        <w:ind w:left="1440" w:hanging="360"/>
      </w:pPr>
      <w:rPr>
        <w:rFonts w:ascii="Courier New" w:hAnsi="Courier New" w:hint="default"/>
      </w:rPr>
    </w:lvl>
    <w:lvl w:ilvl="2" w:tplc="730AE8CE">
      <w:start w:val="1"/>
      <w:numFmt w:val="bullet"/>
      <w:lvlText w:val=""/>
      <w:lvlJc w:val="left"/>
      <w:pPr>
        <w:ind w:left="2160" w:hanging="360"/>
      </w:pPr>
      <w:rPr>
        <w:rFonts w:ascii="Wingdings" w:hAnsi="Wingdings" w:hint="default"/>
      </w:rPr>
    </w:lvl>
    <w:lvl w:ilvl="3" w:tplc="DEB088D0">
      <w:start w:val="1"/>
      <w:numFmt w:val="bullet"/>
      <w:lvlText w:val=""/>
      <w:lvlJc w:val="left"/>
      <w:pPr>
        <w:ind w:left="2880" w:hanging="360"/>
      </w:pPr>
      <w:rPr>
        <w:rFonts w:ascii="Symbol" w:hAnsi="Symbol" w:hint="default"/>
      </w:rPr>
    </w:lvl>
    <w:lvl w:ilvl="4" w:tplc="243A4594">
      <w:start w:val="1"/>
      <w:numFmt w:val="bullet"/>
      <w:lvlText w:val="o"/>
      <w:lvlJc w:val="left"/>
      <w:pPr>
        <w:ind w:left="3600" w:hanging="360"/>
      </w:pPr>
      <w:rPr>
        <w:rFonts w:ascii="Courier New" w:hAnsi="Courier New" w:hint="default"/>
      </w:rPr>
    </w:lvl>
    <w:lvl w:ilvl="5" w:tplc="977C0C28">
      <w:start w:val="1"/>
      <w:numFmt w:val="bullet"/>
      <w:lvlText w:val=""/>
      <w:lvlJc w:val="left"/>
      <w:pPr>
        <w:ind w:left="4320" w:hanging="360"/>
      </w:pPr>
      <w:rPr>
        <w:rFonts w:ascii="Wingdings" w:hAnsi="Wingdings" w:hint="default"/>
      </w:rPr>
    </w:lvl>
    <w:lvl w:ilvl="6" w:tplc="B1D6EE98">
      <w:start w:val="1"/>
      <w:numFmt w:val="bullet"/>
      <w:lvlText w:val=""/>
      <w:lvlJc w:val="left"/>
      <w:pPr>
        <w:ind w:left="5040" w:hanging="360"/>
      </w:pPr>
      <w:rPr>
        <w:rFonts w:ascii="Symbol" w:hAnsi="Symbol" w:hint="default"/>
      </w:rPr>
    </w:lvl>
    <w:lvl w:ilvl="7" w:tplc="024C7CEE">
      <w:start w:val="1"/>
      <w:numFmt w:val="bullet"/>
      <w:lvlText w:val="o"/>
      <w:lvlJc w:val="left"/>
      <w:pPr>
        <w:ind w:left="5760" w:hanging="360"/>
      </w:pPr>
      <w:rPr>
        <w:rFonts w:ascii="Courier New" w:hAnsi="Courier New" w:hint="default"/>
      </w:rPr>
    </w:lvl>
    <w:lvl w:ilvl="8" w:tplc="25C2045E">
      <w:start w:val="1"/>
      <w:numFmt w:val="bullet"/>
      <w:lvlText w:val=""/>
      <w:lvlJc w:val="left"/>
      <w:pPr>
        <w:ind w:left="6480" w:hanging="360"/>
      </w:pPr>
      <w:rPr>
        <w:rFonts w:ascii="Wingdings" w:hAnsi="Wingdings" w:hint="default"/>
      </w:rPr>
    </w:lvl>
  </w:abstractNum>
  <w:num w:numId="1" w16cid:durableId="1013452781">
    <w:abstractNumId w:val="9"/>
  </w:num>
  <w:num w:numId="2" w16cid:durableId="515925080">
    <w:abstractNumId w:val="5"/>
  </w:num>
  <w:num w:numId="3" w16cid:durableId="280573287">
    <w:abstractNumId w:val="3"/>
  </w:num>
  <w:num w:numId="4" w16cid:durableId="538855376">
    <w:abstractNumId w:val="1"/>
  </w:num>
  <w:num w:numId="5" w16cid:durableId="1534029601">
    <w:abstractNumId w:val="4"/>
  </w:num>
  <w:num w:numId="6" w16cid:durableId="2117014837">
    <w:abstractNumId w:val="7"/>
  </w:num>
  <w:num w:numId="7" w16cid:durableId="1623263744">
    <w:abstractNumId w:val="8"/>
  </w:num>
  <w:num w:numId="8" w16cid:durableId="1098058390">
    <w:abstractNumId w:val="10"/>
  </w:num>
  <w:num w:numId="9" w16cid:durableId="635179867">
    <w:abstractNumId w:val="2"/>
  </w:num>
  <w:num w:numId="10" w16cid:durableId="1704402460">
    <w:abstractNumId w:val="0"/>
  </w:num>
  <w:num w:numId="11" w16cid:durableId="18063124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C24630"/>
    <w:rsid w:val="002F6A26"/>
    <w:rsid w:val="005987F7"/>
    <w:rsid w:val="006AEAF4"/>
    <w:rsid w:val="00714E93"/>
    <w:rsid w:val="0071CB6D"/>
    <w:rsid w:val="007E4368"/>
    <w:rsid w:val="00F3EC9E"/>
    <w:rsid w:val="00F7012A"/>
    <w:rsid w:val="01108982"/>
    <w:rsid w:val="0206BB55"/>
    <w:rsid w:val="021F3C47"/>
    <w:rsid w:val="02674C70"/>
    <w:rsid w:val="02CB6062"/>
    <w:rsid w:val="0375DBD6"/>
    <w:rsid w:val="03D798A1"/>
    <w:rsid w:val="03DCE2E4"/>
    <w:rsid w:val="03EE4E5E"/>
    <w:rsid w:val="04BBDE30"/>
    <w:rsid w:val="057D24BD"/>
    <w:rsid w:val="05C7F486"/>
    <w:rsid w:val="05D84FB7"/>
    <w:rsid w:val="06030124"/>
    <w:rsid w:val="06A60026"/>
    <w:rsid w:val="07157252"/>
    <w:rsid w:val="08717E95"/>
    <w:rsid w:val="08FF7A90"/>
    <w:rsid w:val="0912B030"/>
    <w:rsid w:val="0912E00E"/>
    <w:rsid w:val="093AA1E6"/>
    <w:rsid w:val="0B11A018"/>
    <w:rsid w:val="0B4C9E9F"/>
    <w:rsid w:val="0B56B9D2"/>
    <w:rsid w:val="0B797149"/>
    <w:rsid w:val="0BA4C85F"/>
    <w:rsid w:val="0BD25923"/>
    <w:rsid w:val="0C002332"/>
    <w:rsid w:val="0C51A16F"/>
    <w:rsid w:val="0C578E3E"/>
    <w:rsid w:val="0D1541AA"/>
    <w:rsid w:val="0DF5A761"/>
    <w:rsid w:val="0E884799"/>
    <w:rsid w:val="0EE540A2"/>
    <w:rsid w:val="0F8A2D73"/>
    <w:rsid w:val="0FBB5C1A"/>
    <w:rsid w:val="105AFD48"/>
    <w:rsid w:val="10C3EFE1"/>
    <w:rsid w:val="11194352"/>
    <w:rsid w:val="12326494"/>
    <w:rsid w:val="128D3479"/>
    <w:rsid w:val="12C97AB9"/>
    <w:rsid w:val="138398DA"/>
    <w:rsid w:val="13927452"/>
    <w:rsid w:val="1418C1AF"/>
    <w:rsid w:val="15CEA8F1"/>
    <w:rsid w:val="16357E16"/>
    <w:rsid w:val="16944FAB"/>
    <w:rsid w:val="16F644C3"/>
    <w:rsid w:val="1711652A"/>
    <w:rsid w:val="17B08493"/>
    <w:rsid w:val="18807B91"/>
    <w:rsid w:val="18F49F44"/>
    <w:rsid w:val="195B9B7A"/>
    <w:rsid w:val="1A4905EC"/>
    <w:rsid w:val="1A560153"/>
    <w:rsid w:val="1A8F1BD8"/>
    <w:rsid w:val="1AEAC33C"/>
    <w:rsid w:val="1B2D897B"/>
    <w:rsid w:val="1D89C413"/>
    <w:rsid w:val="1E3CE988"/>
    <w:rsid w:val="1ECF235B"/>
    <w:rsid w:val="1F2CFF3E"/>
    <w:rsid w:val="21A9548F"/>
    <w:rsid w:val="2205935A"/>
    <w:rsid w:val="22C39C67"/>
    <w:rsid w:val="24AF2F6F"/>
    <w:rsid w:val="24EE1D28"/>
    <w:rsid w:val="257CB27B"/>
    <w:rsid w:val="25A36B8B"/>
    <w:rsid w:val="26538F66"/>
    <w:rsid w:val="28028ACF"/>
    <w:rsid w:val="283D885C"/>
    <w:rsid w:val="2861D112"/>
    <w:rsid w:val="2982403A"/>
    <w:rsid w:val="29D958BD"/>
    <w:rsid w:val="29E0AC3E"/>
    <w:rsid w:val="2CDE76EF"/>
    <w:rsid w:val="2DFE0874"/>
    <w:rsid w:val="2E867956"/>
    <w:rsid w:val="2F679909"/>
    <w:rsid w:val="30428FC9"/>
    <w:rsid w:val="307193A7"/>
    <w:rsid w:val="310D6087"/>
    <w:rsid w:val="310F3779"/>
    <w:rsid w:val="3289C805"/>
    <w:rsid w:val="32E70801"/>
    <w:rsid w:val="3326216E"/>
    <w:rsid w:val="33E43161"/>
    <w:rsid w:val="3430DC45"/>
    <w:rsid w:val="3448D030"/>
    <w:rsid w:val="34C3AA86"/>
    <w:rsid w:val="3551179F"/>
    <w:rsid w:val="35989EE1"/>
    <w:rsid w:val="3598DF2B"/>
    <w:rsid w:val="362F233F"/>
    <w:rsid w:val="37023191"/>
    <w:rsid w:val="3741862F"/>
    <w:rsid w:val="37E87550"/>
    <w:rsid w:val="38B895AD"/>
    <w:rsid w:val="390E672C"/>
    <w:rsid w:val="39B890B1"/>
    <w:rsid w:val="3AF5E93E"/>
    <w:rsid w:val="3B4BBD37"/>
    <w:rsid w:val="3C0CDE71"/>
    <w:rsid w:val="3C33F03C"/>
    <w:rsid w:val="3C6ED230"/>
    <w:rsid w:val="3F9A25B1"/>
    <w:rsid w:val="40EB300C"/>
    <w:rsid w:val="40EF36EE"/>
    <w:rsid w:val="41DA1D9C"/>
    <w:rsid w:val="4281ED04"/>
    <w:rsid w:val="43B242AB"/>
    <w:rsid w:val="44D0F6A4"/>
    <w:rsid w:val="46096735"/>
    <w:rsid w:val="46506C8D"/>
    <w:rsid w:val="4685F5B2"/>
    <w:rsid w:val="4690C61F"/>
    <w:rsid w:val="47FBAE67"/>
    <w:rsid w:val="48BA5F12"/>
    <w:rsid w:val="48F641F1"/>
    <w:rsid w:val="4A1F4C2D"/>
    <w:rsid w:val="4A31797B"/>
    <w:rsid w:val="4B30B7D1"/>
    <w:rsid w:val="4B3DAF02"/>
    <w:rsid w:val="4C23AC15"/>
    <w:rsid w:val="4C5E4757"/>
    <w:rsid w:val="4CBBE52A"/>
    <w:rsid w:val="4CC24630"/>
    <w:rsid w:val="4CCC8832"/>
    <w:rsid w:val="4D9A00E9"/>
    <w:rsid w:val="4DA62071"/>
    <w:rsid w:val="4DEB673A"/>
    <w:rsid w:val="4E4B29CD"/>
    <w:rsid w:val="4F9A83AD"/>
    <w:rsid w:val="4FCCE285"/>
    <w:rsid w:val="4FDE8169"/>
    <w:rsid w:val="50119885"/>
    <w:rsid w:val="5074B431"/>
    <w:rsid w:val="5100B1C6"/>
    <w:rsid w:val="514C43B8"/>
    <w:rsid w:val="520524B8"/>
    <w:rsid w:val="524D5E7C"/>
    <w:rsid w:val="526D4EEB"/>
    <w:rsid w:val="53009052"/>
    <w:rsid w:val="531B9054"/>
    <w:rsid w:val="5357B812"/>
    <w:rsid w:val="53BDCA0E"/>
    <w:rsid w:val="53C1D464"/>
    <w:rsid w:val="54006EB0"/>
    <w:rsid w:val="5417DB3D"/>
    <w:rsid w:val="54873560"/>
    <w:rsid w:val="54B35369"/>
    <w:rsid w:val="54DE69AC"/>
    <w:rsid w:val="567F53C8"/>
    <w:rsid w:val="572560C2"/>
    <w:rsid w:val="58223607"/>
    <w:rsid w:val="58C5A78A"/>
    <w:rsid w:val="592A38D7"/>
    <w:rsid w:val="598A4B1B"/>
    <w:rsid w:val="5A6177EB"/>
    <w:rsid w:val="5B4A63D6"/>
    <w:rsid w:val="5B82D0B2"/>
    <w:rsid w:val="5B887CFE"/>
    <w:rsid w:val="5BA968D3"/>
    <w:rsid w:val="5E49E351"/>
    <w:rsid w:val="5EDF0BB6"/>
    <w:rsid w:val="5EFF247F"/>
    <w:rsid w:val="5F0331A1"/>
    <w:rsid w:val="5F3609CD"/>
    <w:rsid w:val="60E4D535"/>
    <w:rsid w:val="60EAAEDE"/>
    <w:rsid w:val="60EF1668"/>
    <w:rsid w:val="61F51B2C"/>
    <w:rsid w:val="62412445"/>
    <w:rsid w:val="627C7B9C"/>
    <w:rsid w:val="6410AB46"/>
    <w:rsid w:val="64FEE6BD"/>
    <w:rsid w:val="65062055"/>
    <w:rsid w:val="6528F70D"/>
    <w:rsid w:val="65359C38"/>
    <w:rsid w:val="656014F1"/>
    <w:rsid w:val="6560AE71"/>
    <w:rsid w:val="65EC71AF"/>
    <w:rsid w:val="666CF2E8"/>
    <w:rsid w:val="66EEB070"/>
    <w:rsid w:val="67884210"/>
    <w:rsid w:val="68886D28"/>
    <w:rsid w:val="68978A45"/>
    <w:rsid w:val="68B0B5D7"/>
    <w:rsid w:val="69F30F88"/>
    <w:rsid w:val="6ABFE2D2"/>
    <w:rsid w:val="6CE2EDE9"/>
    <w:rsid w:val="6E2D13CA"/>
    <w:rsid w:val="6E443450"/>
    <w:rsid w:val="6E68AEC9"/>
    <w:rsid w:val="6E968683"/>
    <w:rsid w:val="6EA2DB0E"/>
    <w:rsid w:val="6EDE5230"/>
    <w:rsid w:val="6F1CA05F"/>
    <w:rsid w:val="7003C502"/>
    <w:rsid w:val="703EAB6F"/>
    <w:rsid w:val="70BF192B"/>
    <w:rsid w:val="70C64ACB"/>
    <w:rsid w:val="71B6CC9A"/>
    <w:rsid w:val="71D74A8D"/>
    <w:rsid w:val="71DA7BD0"/>
    <w:rsid w:val="72259C7B"/>
    <w:rsid w:val="729B22B3"/>
    <w:rsid w:val="72A4E9C3"/>
    <w:rsid w:val="72AD4F11"/>
    <w:rsid w:val="73ABF3E7"/>
    <w:rsid w:val="73D4933E"/>
    <w:rsid w:val="746F61CB"/>
    <w:rsid w:val="74FDBDA2"/>
    <w:rsid w:val="7517758A"/>
    <w:rsid w:val="758F3255"/>
    <w:rsid w:val="767CE136"/>
    <w:rsid w:val="76CBCE0D"/>
    <w:rsid w:val="77D2EE29"/>
    <w:rsid w:val="782E79DB"/>
    <w:rsid w:val="784F164C"/>
    <w:rsid w:val="79E330D0"/>
    <w:rsid w:val="7B091B49"/>
    <w:rsid w:val="7B4F9DAD"/>
    <w:rsid w:val="7BB35F59"/>
    <w:rsid w:val="7CC904F5"/>
    <w:rsid w:val="7CD8C4EB"/>
    <w:rsid w:val="7CE5B1B1"/>
    <w:rsid w:val="7D0A429C"/>
    <w:rsid w:val="7E74E55A"/>
    <w:rsid w:val="7F6D12AB"/>
    <w:rsid w:val="7F94FAFB"/>
    <w:rsid w:val="7F9FC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24630"/>
  <w15:chartTrackingRefBased/>
  <w15:docId w15:val="{E27152CD-0F37-41DA-AB82-E7DD0EAB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2F6A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6A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8/40/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media/5a80cc78e5274a2e87dbbe1c/Progress_at_Secondary_School_report_final.pdf" TargetMode="External"/><Relationship Id="rId12" Type="http://schemas.openxmlformats.org/officeDocument/2006/relationships/hyperlink" Target="https://wiserd.ac.uk/blog/why-are-primary-school-children-in-wales-so-worried-about-te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6/jvbe.2001.1867" TargetMode="External"/><Relationship Id="rId11" Type="http://schemas.openxmlformats.org/officeDocument/2006/relationships/hyperlink" Target="https://adcs.org.uk/assets/documentation/Wirral_RADY_Project.pdf" TargetMode="External"/><Relationship Id="rId5" Type="http://schemas.openxmlformats.org/officeDocument/2006/relationships/hyperlink" Target="https://hwb.gov.wales/curriculum-for-wales/reading-and-numeracy-assessments/personalised-assessments/national-reading-and-numeracy-personalised-assessments-administration-handbook-2023-to-2024" TargetMode="External"/><Relationship Id="rId15" Type="http://schemas.microsoft.com/office/2020/10/relationships/intelligence" Target="intelligence2.xml"/><Relationship Id="rId10" Type="http://schemas.openxmlformats.org/officeDocument/2006/relationships/hyperlink" Target="https://www.gov.wales/sites/default/files/publications/2018-03/school-development-plans.pdf" TargetMode="External"/><Relationship Id="rId4" Type="http://schemas.openxmlformats.org/officeDocument/2006/relationships/webSettings" Target="webSettings.xml"/><Relationship Id="rId9" Type="http://schemas.openxmlformats.org/officeDocument/2006/relationships/hyperlink" Target="https://www.gov.wales/sites/default/files/consultations/2018-01/141003-sdp-responses-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3323</Words>
  <Characters>18942</Characters>
  <Application>Microsoft Office Word</Application>
  <DocSecurity>0</DocSecurity>
  <Lines>157</Lines>
  <Paragraphs>44</Paragraphs>
  <ScaleCrop>false</ScaleCrop>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Maskery (1451073)</dc:creator>
  <cp:keywords/>
  <dc:description/>
  <cp:lastModifiedBy>Danielle Maskery (1451073)</cp:lastModifiedBy>
  <cp:revision>6</cp:revision>
  <dcterms:created xsi:type="dcterms:W3CDTF">2024-02-27T10:18:00Z</dcterms:created>
  <dcterms:modified xsi:type="dcterms:W3CDTF">2024-03-07T18:37:00Z</dcterms:modified>
</cp:coreProperties>
</file>