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B1CAD" w:rsidRPr="000B1CAD" w:rsidRDefault="000B1CAD">
      <w:pPr>
        <w:rPr>
          <w:i/>
          <w:sz w:val="24"/>
        </w:rPr>
      </w:pPr>
      <w:r>
        <w:rPr>
          <w:noProof/>
        </w:rPr>
        <w:drawing>
          <wp:anchor distT="0" distB="0" distL="114300" distR="114300" simplePos="0" relativeHeight="251659264" behindDoc="0" locked="0" layoutInCell="1" allowOverlap="1" wp14:anchorId="36E00F43" wp14:editId="4CB64426">
            <wp:simplePos x="0" y="0"/>
            <wp:positionH relativeFrom="page">
              <wp:posOffset>5467350</wp:posOffset>
            </wp:positionH>
            <wp:positionV relativeFrom="paragraph">
              <wp:posOffset>-857250</wp:posOffset>
            </wp:positionV>
            <wp:extent cx="1684020" cy="165735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ealthcare (1).png"/>
                    <pic:cNvPicPr/>
                  </pic:nvPicPr>
                  <pic:blipFill rotWithShape="1">
                    <a:blip r:embed="rId5">
                      <a:extLst>
                        <a:ext uri="{28A0092B-C50C-407E-A947-70E740481C1C}">
                          <a14:useLocalDpi xmlns:a14="http://schemas.microsoft.com/office/drawing/2010/main" val="0"/>
                        </a:ext>
                      </a:extLst>
                    </a:blip>
                    <a:srcRect l="20790" t="21830" r="25572" b="25364"/>
                    <a:stretch/>
                  </pic:blipFill>
                  <pic:spPr bwMode="auto">
                    <a:xfrm>
                      <a:off x="0" y="0"/>
                      <a:ext cx="1684020" cy="1657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0B1CAD">
        <w:rPr>
          <w:i/>
          <w:noProof/>
          <w:sz w:val="24"/>
        </w:rPr>
        <mc:AlternateContent>
          <mc:Choice Requires="wps">
            <w:drawing>
              <wp:anchor distT="45720" distB="45720" distL="114300" distR="114300" simplePos="0" relativeHeight="251661312" behindDoc="0" locked="0" layoutInCell="1" allowOverlap="1">
                <wp:simplePos x="0" y="0"/>
                <wp:positionH relativeFrom="margin">
                  <wp:align>left</wp:align>
                </wp:positionH>
                <wp:positionV relativeFrom="paragraph">
                  <wp:posOffset>-342900</wp:posOffset>
                </wp:positionV>
                <wp:extent cx="4705350" cy="140462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05350" cy="1404620"/>
                        </a:xfrm>
                        <a:prstGeom prst="rect">
                          <a:avLst/>
                        </a:prstGeom>
                        <a:solidFill>
                          <a:srgbClr val="FFFFFF"/>
                        </a:solidFill>
                        <a:ln w="9525">
                          <a:noFill/>
                          <a:miter lim="800000"/>
                          <a:headEnd/>
                          <a:tailEnd/>
                        </a:ln>
                      </wps:spPr>
                      <wps:txbx>
                        <w:txbxContent>
                          <w:p w:rsidR="00DA4985" w:rsidRDefault="00DA4985">
                            <w:r w:rsidRPr="000B1CAD">
                              <w:rPr>
                                <w:i/>
                                <w:sz w:val="24"/>
                              </w:rPr>
                              <w:t xml:space="preserve">The following document has been prepared to provide the </w:t>
                            </w:r>
                            <w:r>
                              <w:rPr>
                                <w:i/>
                                <w:sz w:val="24"/>
                              </w:rPr>
                              <w:t xml:space="preserve">Healthcare on Hand </w:t>
                            </w:r>
                            <w:r w:rsidRPr="000B1CAD">
                              <w:rPr>
                                <w:i/>
                                <w:sz w:val="24"/>
                              </w:rPr>
                              <w:t>senior management team with foundational knowledge on elements of relevant employment legislation</w:t>
                            </w:r>
                            <w:r>
                              <w:rPr>
                                <w:i/>
                                <w:sz w:val="24"/>
                              </w:rPr>
                              <w:t xml:space="preserve"> and good practice for employment relations in regards to work-life balance and wellbeing.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0;margin-top:-27pt;width:370.5pt;height:110.6pt;z-index:251661312;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" stroked="f">
                <v:textbox style="mso-fit-shape-to-text:t">
                  <w:txbxContent>
                    <w:p w:rsidR="00DA4985" w:rsidRDefault="00DA4985">
                      <w:r w:rsidRPr="000B1CAD">
                        <w:rPr>
                          <w:i/>
                          <w:sz w:val="24"/>
                        </w:rPr>
                        <w:t xml:space="preserve">The following document has been prepared to provide the </w:t>
                      </w:r>
                      <w:r>
                        <w:rPr>
                          <w:i/>
                          <w:sz w:val="24"/>
                        </w:rPr>
                        <w:t xml:space="preserve">Healthcare on Hand </w:t>
                      </w:r>
                      <w:r w:rsidRPr="000B1CAD">
                        <w:rPr>
                          <w:i/>
                          <w:sz w:val="24"/>
                        </w:rPr>
                        <w:t>senior management team with foundational knowledge on elements of relevant employment legislation</w:t>
                      </w:r>
                      <w:r>
                        <w:rPr>
                          <w:i/>
                          <w:sz w:val="24"/>
                        </w:rPr>
                        <w:t xml:space="preserve"> and good practice for employment relations in regards to work-life balance and wellbeing.</w:t>
                      </w:r>
                    </w:p>
                  </w:txbxContent>
                </v:textbox>
                <w10:wrap anchorx="margin"/>
              </v:shape>
            </w:pict>
          </mc:Fallback>
        </mc:AlternateContent>
      </w:r>
    </w:p>
    <w:p w:rsidR="000B1CAD" w:rsidRDefault="000B1CAD">
      <w:pPr>
        <w:rPr>
          <w:b/>
          <w:sz w:val="24"/>
          <w:u w:val="single"/>
        </w:rPr>
      </w:pPr>
    </w:p>
    <w:p w:rsidR="000B1CAD" w:rsidRDefault="000B1CAD">
      <w:pPr>
        <w:rPr>
          <w:b/>
          <w:sz w:val="24"/>
          <w:u w:val="single"/>
        </w:rPr>
      </w:pPr>
    </w:p>
    <w:p w:rsidR="002C417A" w:rsidRPr="00D4012A" w:rsidRDefault="00D4012A">
      <w:pPr>
        <w:rPr>
          <w:b/>
          <w:sz w:val="24"/>
          <w:u w:val="single"/>
        </w:rPr>
      </w:pPr>
      <w:r w:rsidRPr="00D4012A">
        <w:rPr>
          <w:b/>
          <w:sz w:val="24"/>
          <w:u w:val="single"/>
        </w:rPr>
        <w:t>AC 3.1</w:t>
      </w:r>
    </w:p>
    <w:p w:rsidR="00D545A6" w:rsidRDefault="006C24E6">
      <w:r>
        <w:t>Work-life balance will mean something different to each employee; from working less hours to working more flexibly, the balance is however the individual is able to meet both their work and personal commitments (</w:t>
      </w:r>
      <w:r w:rsidR="002F7C8A">
        <w:t xml:space="preserve">Jones </w:t>
      </w:r>
      <w:r>
        <w:t xml:space="preserve">Chase, 2021; Parkes and Langford, 2008). As younger generations join the workforce, work-life balance is becoming a key condition of employment, particularly with millennials (Hall, 2022). Achieving the balance is key for </w:t>
      </w:r>
      <w:r w:rsidR="005F4C2F">
        <w:t xml:space="preserve">both </w:t>
      </w:r>
      <w:r>
        <w:t>staff</w:t>
      </w:r>
      <w:r w:rsidR="005F4C2F">
        <w:t xml:space="preserve"> attraction and</w:t>
      </w:r>
      <w:r>
        <w:t xml:space="preserve"> retention; </w:t>
      </w:r>
      <w:r w:rsidR="00E97155">
        <w:t xml:space="preserve">supportive </w:t>
      </w:r>
      <w:r w:rsidR="005F4C2F">
        <w:t xml:space="preserve">work-balance strategies </w:t>
      </w:r>
      <w:r w:rsidR="00E97155">
        <w:t>gives organisations a competitive advantage with today’s workforce and</w:t>
      </w:r>
      <w:r w:rsidR="005F4C2F">
        <w:t xml:space="preserve"> </w:t>
      </w:r>
      <w:r>
        <w:t>employees who rate work-life balance as a priority are 10% more likely to remain at their organisation (Li, 2022</w:t>
      </w:r>
      <w:r w:rsidR="00E97155">
        <w:t xml:space="preserve">; De </w:t>
      </w:r>
      <w:proofErr w:type="spellStart"/>
      <w:r w:rsidR="00E97155">
        <w:t>Cieri</w:t>
      </w:r>
      <w:proofErr w:type="spellEnd"/>
      <w:r w:rsidR="00E97155">
        <w:t xml:space="preserve"> et al,</w:t>
      </w:r>
      <w:r w:rsidR="00704C45">
        <w:t xml:space="preserve"> </w:t>
      </w:r>
      <w:r w:rsidR="00E97155">
        <w:t>2005</w:t>
      </w:r>
      <w:r>
        <w:t xml:space="preserve">). </w:t>
      </w:r>
      <w:r w:rsidR="00D83102">
        <w:t xml:space="preserve">The effect </w:t>
      </w:r>
      <w:r w:rsidR="0018418D">
        <w:t xml:space="preserve">of </w:t>
      </w:r>
      <w:r w:rsidR="00D83102">
        <w:t xml:space="preserve">work-life </w:t>
      </w:r>
      <w:r w:rsidR="0018418D">
        <w:t>im</w:t>
      </w:r>
      <w:r w:rsidR="00D83102">
        <w:t xml:space="preserve">balance on an employee is multi-layered; their physical, mental and emotional wellbeing can be negatively impacted. </w:t>
      </w:r>
      <w:r w:rsidR="004773F8">
        <w:t>Employee b</w:t>
      </w:r>
      <w:r w:rsidR="00D83102">
        <w:t>urnout is a pressing issue for organisations; stress from working overtime, overwhelming workloads or long</w:t>
      </w:r>
      <w:r w:rsidR="00FE5351">
        <w:t xml:space="preserve"> working</w:t>
      </w:r>
      <w:r w:rsidR="00D83102">
        <w:t xml:space="preserve"> periods without leave can </w:t>
      </w:r>
      <w:r w:rsidR="00E23535">
        <w:t>cause issues such as</w:t>
      </w:r>
      <w:r w:rsidR="00D83102">
        <w:t xml:space="preserve"> chronic health problems, fatigue, anxiety and depression, to name a few (</w:t>
      </w:r>
      <w:proofErr w:type="spellStart"/>
      <w:r w:rsidR="00D83102">
        <w:t>Kohll</w:t>
      </w:r>
      <w:proofErr w:type="spellEnd"/>
      <w:r w:rsidR="00D83102">
        <w:t>, 2018).</w:t>
      </w:r>
      <w:r w:rsidR="004773F8">
        <w:t xml:space="preserve"> </w:t>
      </w:r>
      <w:r w:rsidR="00270FB4">
        <w:t xml:space="preserve">The ability to work flexibly and balance </w:t>
      </w:r>
      <w:r w:rsidR="00DB5256">
        <w:t>both work and family commitments enables more engaged, productive, committed and loyal employees (</w:t>
      </w:r>
      <w:proofErr w:type="spellStart"/>
      <w:r w:rsidR="00DB5256">
        <w:t>Acas</w:t>
      </w:r>
      <w:proofErr w:type="spellEnd"/>
      <w:r w:rsidR="00DB5256">
        <w:t>, 2015</w:t>
      </w:r>
      <w:r w:rsidR="00704C45">
        <w:t>a</w:t>
      </w:r>
      <w:r w:rsidR="00DB5256">
        <w:t>).</w:t>
      </w:r>
      <w:r w:rsidR="00DC3D01">
        <w:t xml:space="preserve"> </w:t>
      </w:r>
    </w:p>
    <w:p w:rsidR="00D11568" w:rsidRDefault="00DC3D01">
      <w:r>
        <w:t xml:space="preserve">The principal legislation </w:t>
      </w:r>
      <w:r w:rsidR="00C1797F">
        <w:t>facilitating several elements of maintaining a healthy work-life balance is the Working Time Regulations (1988) that outlines the maximum weekly working hours, the right to rest and statutory leave entitlement (</w:t>
      </w:r>
      <w:proofErr w:type="spellStart"/>
      <w:r w:rsidR="00C1797F">
        <w:t>Suff</w:t>
      </w:r>
      <w:proofErr w:type="spellEnd"/>
      <w:r w:rsidR="00C1797F">
        <w:t>, 2022</w:t>
      </w:r>
      <w:r w:rsidR="00704C45">
        <w:t>a</w:t>
      </w:r>
      <w:r w:rsidR="00C1797F">
        <w:t xml:space="preserve">). </w:t>
      </w:r>
      <w:r w:rsidR="008F1CDE">
        <w:t>Although there is currently no legal right to work from home or change of flexibility to working, there is the right to make the request to an employer (Emir, 2022). Furthermore, the government have consulted on making flexible working the default position and a ‘day one’ right (Department for Business, Energy and Industrial Strategy, 2022).</w:t>
      </w:r>
    </w:p>
    <w:p w:rsidR="00D4012A" w:rsidRDefault="00D4012A"/>
    <w:p w:rsidR="00D4012A" w:rsidRPr="00D4012A" w:rsidRDefault="00D4012A">
      <w:pPr>
        <w:rPr>
          <w:b/>
          <w:sz w:val="24"/>
          <w:u w:val="single"/>
        </w:rPr>
      </w:pPr>
      <w:r w:rsidRPr="00D4012A">
        <w:rPr>
          <w:b/>
          <w:sz w:val="24"/>
          <w:u w:val="single"/>
        </w:rPr>
        <w:t>AC 3.2</w:t>
      </w:r>
    </w:p>
    <w:p w:rsidR="00D545A6" w:rsidRDefault="005049EB">
      <w:r>
        <w:t xml:space="preserve">Wellbeing, at its most fundamental definition, is the elements of our physical and mental health that we care for; in a more specific context of the workplace, employee wellbeing </w:t>
      </w:r>
      <w:r w:rsidR="004F0432">
        <w:t>can be</w:t>
      </w:r>
      <w:r>
        <w:t xml:space="preserve"> impacted by their physical surroundings, working practices and social interactions (Waite et al, 2021). The concept of wellbeing </w:t>
      </w:r>
      <w:r w:rsidR="0013004F">
        <w:t xml:space="preserve">in the workplace </w:t>
      </w:r>
      <w:r>
        <w:t xml:space="preserve">has expanded in recent years to include not only physical health but </w:t>
      </w:r>
      <w:r w:rsidR="0013004F">
        <w:t xml:space="preserve">a more holistic approach to employee wellbeing that covers emotional, financial, social, career growth and values/principles (Meister, 2021; </w:t>
      </w:r>
      <w:proofErr w:type="spellStart"/>
      <w:r w:rsidR="0013004F">
        <w:t>Suff</w:t>
      </w:r>
      <w:proofErr w:type="spellEnd"/>
      <w:r w:rsidR="0013004F">
        <w:t>, 2022</w:t>
      </w:r>
      <w:r w:rsidR="00704C45">
        <w:t>b</w:t>
      </w:r>
      <w:r w:rsidR="0013004F">
        <w:t xml:space="preserve">). </w:t>
      </w:r>
      <w:r w:rsidR="00CE7B31">
        <w:t xml:space="preserve">Work overload with little time to complete it, poorly designed jobs and low-quality jobs are all linked with negative wellbeing indicators such as absence levels and engagement (Bowling et al, 2015; </w:t>
      </w:r>
      <w:proofErr w:type="spellStart"/>
      <w:r w:rsidR="00CE7B31">
        <w:t>Böckerman</w:t>
      </w:r>
      <w:proofErr w:type="spellEnd"/>
      <w:r w:rsidR="00CE7B31">
        <w:t xml:space="preserve"> et al, 2020</w:t>
      </w:r>
      <w:r w:rsidR="001A5C16">
        <w:t>; Churchill, 2021</w:t>
      </w:r>
      <w:r w:rsidR="00CE7B31">
        <w:t xml:space="preserve">). </w:t>
      </w:r>
      <w:r w:rsidR="00843B60">
        <w:t xml:space="preserve">Organisations continuing to ignore wellbeing are seeing </w:t>
      </w:r>
      <w:r w:rsidR="00CD3920">
        <w:t>‘</w:t>
      </w:r>
      <w:r w:rsidR="00843B60">
        <w:t>higher levels of stress, absenteeism, presenteeism (the act of attending work while sick) and staff turnover’ (</w:t>
      </w:r>
      <w:proofErr w:type="spellStart"/>
      <w:r w:rsidR="00843B60">
        <w:t>Woollard</w:t>
      </w:r>
      <w:proofErr w:type="spellEnd"/>
      <w:r w:rsidR="00843B60">
        <w:t xml:space="preserve">, 2012). </w:t>
      </w:r>
    </w:p>
    <w:p w:rsidR="00AE5BA1" w:rsidRDefault="0013004F">
      <w:r>
        <w:t>The benefits of a healthy workforce are plentiful; employees are more engaged, productive, creative, innovative, motivated and committed when their wellbeing is prioritised and taken care of (</w:t>
      </w:r>
      <w:r w:rsidR="00413DFB">
        <w:t xml:space="preserve">Bevan and </w:t>
      </w:r>
      <w:proofErr w:type="spellStart"/>
      <w:r w:rsidR="00413DFB">
        <w:t>Bajorek</w:t>
      </w:r>
      <w:proofErr w:type="spellEnd"/>
      <w:r w:rsidR="00413DFB">
        <w:t>, 2018).</w:t>
      </w:r>
      <w:r>
        <w:t xml:space="preserve"> </w:t>
      </w:r>
      <w:r w:rsidR="00837BDE">
        <w:t xml:space="preserve">Moreover, the business benefits financially from an engaged and healthy workforce through the reduction in sick days, lost productivity and the cost of labour turnover (Robison, 2010). </w:t>
      </w:r>
      <w:r w:rsidR="00F40545">
        <w:t xml:space="preserve">Therefore, the case for organisations to step up and take responsibility for the </w:t>
      </w:r>
      <w:r w:rsidR="00F40545">
        <w:lastRenderedPageBreak/>
        <w:t xml:space="preserve">wellbeing of their </w:t>
      </w:r>
      <w:r w:rsidR="001D6DAB">
        <w:t>employee</w:t>
      </w:r>
      <w:r w:rsidR="00F40545">
        <w:t xml:space="preserve">s </w:t>
      </w:r>
      <w:r w:rsidR="001D6DAB">
        <w:t xml:space="preserve">is </w:t>
      </w:r>
      <w:r w:rsidR="00F40545">
        <w:t>compelling</w:t>
      </w:r>
      <w:r w:rsidR="00655A85">
        <w:t xml:space="preserve"> in its impact on attraction and retention of a </w:t>
      </w:r>
      <w:r w:rsidR="001D6DAB">
        <w:t>high-performing, engaged workforce (McIntyre, 2021).</w:t>
      </w:r>
    </w:p>
    <w:p w:rsidR="00D4012A" w:rsidRPr="00AE5BA1" w:rsidRDefault="00D4012A">
      <w:r w:rsidRPr="00D4012A">
        <w:rPr>
          <w:b/>
          <w:sz w:val="24"/>
          <w:u w:val="single"/>
        </w:rPr>
        <w:t>AC 3.3</w:t>
      </w:r>
    </w:p>
    <w:p w:rsidR="00D545A6" w:rsidRDefault="001A5C16">
      <w:r>
        <w:t>Discrimination</w:t>
      </w:r>
      <w:r w:rsidR="0097251D">
        <w:t xml:space="preserve">, the unequal treatment of an individual or group over others, can occur in all aspects of life from our social interactions, education or institutionalised through the justice system and elections, in subtle or overt forms (Rosette et al, 2016). Focussing on discrimination, specifically, in the workplace, </w:t>
      </w:r>
      <w:r w:rsidR="004E5A30">
        <w:t xml:space="preserve">can have a damaging </w:t>
      </w:r>
      <w:r w:rsidR="0073083E">
        <w:t>effect</w:t>
      </w:r>
      <w:r w:rsidR="004E5A30">
        <w:t xml:space="preserve"> on both the employees and the organisation as a whole. </w:t>
      </w:r>
      <w:r w:rsidR="0073083E">
        <w:t>Experiencing discrimination in the workplace can impact a person’s psychological wellbeing, causing feelings of unsafety, dissatisfaction and disengagement from the job</w:t>
      </w:r>
      <w:r w:rsidR="00811692">
        <w:t xml:space="preserve"> and potentially leading to mental health conditions such as anxiety and depression</w:t>
      </w:r>
      <w:r w:rsidR="0073083E">
        <w:t xml:space="preserve"> (</w:t>
      </w:r>
      <w:proofErr w:type="spellStart"/>
      <w:r w:rsidR="0073083E">
        <w:t>Maese</w:t>
      </w:r>
      <w:proofErr w:type="spellEnd"/>
      <w:r w:rsidR="0073083E">
        <w:t xml:space="preserve"> and Lloyd, 2021). </w:t>
      </w:r>
      <w:r w:rsidR="00811692">
        <w:t xml:space="preserve">In terms of the impact on the organisation, </w:t>
      </w:r>
      <w:r w:rsidR="00D90999">
        <w:t xml:space="preserve">minority employees’ levels of productivity are seen to drop when working with discriminatory or biased managers which, ultimately, impacts the bottom line and generates a financial cost </w:t>
      </w:r>
      <w:r w:rsidR="00F23D72">
        <w:t xml:space="preserve">for the organisation </w:t>
      </w:r>
      <w:r w:rsidR="00D90999">
        <w:t>(Glover et al, 2017; Murray-</w:t>
      </w:r>
      <w:proofErr w:type="spellStart"/>
      <w:r w:rsidR="00D90999">
        <w:t>Nevill</w:t>
      </w:r>
      <w:proofErr w:type="spellEnd"/>
      <w:r w:rsidR="00D90999">
        <w:t xml:space="preserve">, 2019). </w:t>
      </w:r>
      <w:r w:rsidR="00F23D72">
        <w:t>In the most extreme of cases, workplace discrimination can result in expensive litigation, damaging an organisation both financially and reputationally and making it extremely difficult to recruit and retain staff (</w:t>
      </w:r>
      <w:proofErr w:type="spellStart"/>
      <w:r w:rsidR="00F23D72">
        <w:t>Botwin</w:t>
      </w:r>
      <w:proofErr w:type="spellEnd"/>
      <w:r w:rsidR="00F23D72">
        <w:t xml:space="preserve">, 2021). </w:t>
      </w:r>
    </w:p>
    <w:p w:rsidR="001A5C16" w:rsidRDefault="00FA2B10">
      <w:r>
        <w:t xml:space="preserve">The Equality Act 2010 is the </w:t>
      </w:r>
      <w:r w:rsidR="00E42C62">
        <w:t xml:space="preserve">principal legislation protecting individuals from discrimination in the workplace with a list of ‘protected characteristics’ such as age, sex and race. Furthermore, the Act safeguards these characteristics from various types of discrimination such as direct, indirect, </w:t>
      </w:r>
      <w:r w:rsidR="00032843">
        <w:t xml:space="preserve">associative, perceptive, </w:t>
      </w:r>
      <w:r w:rsidR="00E42C62">
        <w:t>harassment and victimisation (</w:t>
      </w:r>
      <w:r w:rsidR="00032843">
        <w:t>Miller, 2022</w:t>
      </w:r>
      <w:r w:rsidR="00E42C62">
        <w:t>).</w:t>
      </w:r>
      <w:r w:rsidR="006721B1">
        <w:t xml:space="preserve"> This legislation </w:t>
      </w:r>
      <w:r w:rsidR="00205B21">
        <w:t xml:space="preserve">not only holds </w:t>
      </w:r>
      <w:r w:rsidR="006721B1">
        <w:t>the discriminatory individual responsible</w:t>
      </w:r>
      <w:r w:rsidR="000E13C0">
        <w:t xml:space="preserve"> but, additionally, </w:t>
      </w:r>
      <w:r w:rsidR="007E4A46">
        <w:t xml:space="preserve">can find </w:t>
      </w:r>
      <w:r w:rsidR="000E13C0">
        <w:t>the employer culpable for the action</w:t>
      </w:r>
      <w:r w:rsidR="00CE3C3D">
        <w:t xml:space="preserve">s </w:t>
      </w:r>
      <w:r w:rsidR="000E13C0">
        <w:t>of their employee (</w:t>
      </w:r>
      <w:proofErr w:type="spellStart"/>
      <w:r w:rsidR="000E13C0">
        <w:t>Acas</w:t>
      </w:r>
      <w:proofErr w:type="spellEnd"/>
      <w:r w:rsidR="000E13C0">
        <w:t xml:space="preserve">, 2023). </w:t>
      </w:r>
    </w:p>
    <w:p w:rsidR="00D4012A" w:rsidRDefault="00D4012A"/>
    <w:p w:rsidR="00D4012A" w:rsidRPr="00D4012A" w:rsidRDefault="00D4012A">
      <w:pPr>
        <w:rPr>
          <w:b/>
          <w:sz w:val="24"/>
          <w:u w:val="single"/>
        </w:rPr>
      </w:pPr>
      <w:r w:rsidRPr="00D4012A">
        <w:rPr>
          <w:b/>
          <w:sz w:val="24"/>
          <w:u w:val="single"/>
        </w:rPr>
        <w:t>AC 3.4</w:t>
      </w:r>
    </w:p>
    <w:p w:rsidR="00D545A6" w:rsidRDefault="00E06875">
      <w:r>
        <w:t xml:space="preserve">Diversity is what differentiates us from everyone else on the planet; </w:t>
      </w:r>
      <w:r w:rsidR="00955821">
        <w:t xml:space="preserve">physically, our age, gender, ethnicity and sexual orientation sets us apart from one another as does our religion, culture, socio-economic status and language (Frost and Kalman, 2016). </w:t>
      </w:r>
      <w:r w:rsidR="00026DAE">
        <w:t>Diversity is the combination of these physical and social markers that separates us from every other individual, whereas, inclusion is the act of bringing together all people fairly in a way that values these differences and shows the potential that could be reached (Frost and Kalman, 2016; Ali, 2022).</w:t>
      </w:r>
      <w:r w:rsidR="00C7610E">
        <w:t xml:space="preserve"> </w:t>
      </w:r>
      <w:r w:rsidR="00AD68A4">
        <w:t>Differing from equal opportunities, which is the legal obligation to consider all qualified applicants for a role and not discriminate, diversity and inclusion strategies and initiatives encourage the hiring of individuals from different backgrounds or under-represented groups (Kuehl, 2015).</w:t>
      </w:r>
      <w:r w:rsidR="00385398">
        <w:t xml:space="preserve"> </w:t>
      </w:r>
    </w:p>
    <w:p w:rsidR="00CE3C3D" w:rsidRDefault="00F50998">
      <w:r>
        <w:t>Diversity and i</w:t>
      </w:r>
      <w:r w:rsidR="0050367C">
        <w:t xml:space="preserve">nclusion </w:t>
      </w:r>
      <w:r>
        <w:t>operate on the belief that everyone is entitled to be treated fairly and reach their potential in their employment</w:t>
      </w:r>
      <w:r w:rsidR="00E60537">
        <w:t xml:space="preserve">, thus, </w:t>
      </w:r>
      <w:r>
        <w:t>a</w:t>
      </w:r>
      <w:r w:rsidR="000A0081">
        <w:t xml:space="preserve"> component </w:t>
      </w:r>
      <w:r>
        <w:t xml:space="preserve">of the act of social justice (Ali, 2022; Byrd and Sparkman, 2022). </w:t>
      </w:r>
      <w:r w:rsidR="00385398">
        <w:t xml:space="preserve">An inclusive working environment promotes the sharing of new and innovative ideas, differing views and opinions and </w:t>
      </w:r>
      <w:r w:rsidR="006C24F4">
        <w:t>more collaborative team-working (</w:t>
      </w:r>
      <w:proofErr w:type="spellStart"/>
      <w:r w:rsidR="006C24F4">
        <w:t>Hammerling</w:t>
      </w:r>
      <w:proofErr w:type="spellEnd"/>
      <w:r w:rsidR="006C24F4">
        <w:t xml:space="preserve">, 2019). </w:t>
      </w:r>
      <w:r w:rsidR="000A709A">
        <w:t xml:space="preserve">A diverse and inclusive organisation attracts high quality talent and enhances an organisation’s reputation, presenting a socially responsible image to both customers and potential employees (Ali, 2022). </w:t>
      </w:r>
      <w:r w:rsidR="002959BB">
        <w:t>Evidence suggests a solid diversity and inclusion strategy in an organisation improves retention levels, employee satisfaction and profitability</w:t>
      </w:r>
      <w:r w:rsidR="003763BE">
        <w:t>,</w:t>
      </w:r>
      <w:r w:rsidR="00703380">
        <w:t xml:space="preserve"> with more diverse organisations </w:t>
      </w:r>
      <w:r w:rsidR="00DE04E2">
        <w:t xml:space="preserve">financially </w:t>
      </w:r>
      <w:r w:rsidR="00703380">
        <w:t xml:space="preserve">outperforming </w:t>
      </w:r>
      <w:r w:rsidR="00DE04E2">
        <w:t>less diverse competitors</w:t>
      </w:r>
      <w:r w:rsidR="002959BB">
        <w:t xml:space="preserve"> (Faragher, 2020</w:t>
      </w:r>
      <w:r w:rsidR="003763BE">
        <w:t>; Dixon-</w:t>
      </w:r>
      <w:proofErr w:type="spellStart"/>
      <w:r w:rsidR="003763BE">
        <w:t>Fyle</w:t>
      </w:r>
      <w:proofErr w:type="spellEnd"/>
      <w:r w:rsidR="003763BE">
        <w:t>, et al, 2020</w:t>
      </w:r>
      <w:r w:rsidR="002959BB">
        <w:t xml:space="preserve">).  </w:t>
      </w:r>
    </w:p>
    <w:p w:rsidR="00D4012A" w:rsidRDefault="00D4012A"/>
    <w:p w:rsidR="00D4012A" w:rsidRPr="00D4012A" w:rsidRDefault="00D4012A">
      <w:pPr>
        <w:rPr>
          <w:b/>
          <w:sz w:val="24"/>
          <w:u w:val="single"/>
        </w:rPr>
      </w:pPr>
      <w:r w:rsidRPr="00D4012A">
        <w:rPr>
          <w:b/>
          <w:sz w:val="24"/>
          <w:u w:val="single"/>
        </w:rPr>
        <w:lastRenderedPageBreak/>
        <w:t>AC 3.5</w:t>
      </w:r>
    </w:p>
    <w:p w:rsidR="00DF4C68" w:rsidRDefault="00274CC6">
      <w:r>
        <w:t xml:space="preserve">Dismissal is the process of </w:t>
      </w:r>
      <w:r w:rsidR="009D4893">
        <w:t>ending an employee’s contract through a ‘fair and reasonable procedure’ for a variety of reasons including capability, redundancy, misconduct or legal restrictions such as driving bans or prison sentences (</w:t>
      </w:r>
      <w:proofErr w:type="spellStart"/>
      <w:r w:rsidR="009D4893">
        <w:t>Acas</w:t>
      </w:r>
      <w:proofErr w:type="spellEnd"/>
      <w:r w:rsidR="009D4893">
        <w:t xml:space="preserve">, 2022; CIPD, 2020). </w:t>
      </w:r>
      <w:r w:rsidR="00055219">
        <w:t>Fair dismissal may also occur due to ‘some other substantial reason’;</w:t>
      </w:r>
      <w:r w:rsidR="00652C60">
        <w:t xml:space="preserve"> this must be shown by the employer as the principal, reasonable and substantially justifiable cause for dismissal</w:t>
      </w:r>
      <w:r w:rsidR="00BA7073">
        <w:t xml:space="preserve"> such as personality clashes or irreparable relationships</w:t>
      </w:r>
      <w:r w:rsidR="00652C60">
        <w:t xml:space="preserve"> (Crawford, 2022). On the other hand, an unfair dismissal can occur if the decision is without reason or substance or the organisation in question mishandles the dismissal procedure (</w:t>
      </w:r>
      <w:proofErr w:type="spellStart"/>
      <w:r w:rsidR="00652C60">
        <w:t>Suff</w:t>
      </w:r>
      <w:proofErr w:type="spellEnd"/>
      <w:r w:rsidR="00652C60">
        <w:t>, 2022</w:t>
      </w:r>
      <w:r w:rsidR="00704C45">
        <w:t>c</w:t>
      </w:r>
      <w:r w:rsidR="00652C60">
        <w:t>).</w:t>
      </w:r>
      <w:r w:rsidR="00BD23D8">
        <w:t xml:space="preserve"> The Employment Rights Act 1996</w:t>
      </w:r>
      <w:r w:rsidR="006063FC">
        <w:t xml:space="preserve"> enshrines the right not to be unfairly dismissed and provides employees with the right to claim unfair dismissal which can lead to an employment tribunal (</w:t>
      </w:r>
      <w:proofErr w:type="spellStart"/>
      <w:r w:rsidR="006063FC">
        <w:t>Brione</w:t>
      </w:r>
      <w:proofErr w:type="spellEnd"/>
      <w:r w:rsidR="006063FC">
        <w:t xml:space="preserve"> and </w:t>
      </w:r>
      <w:proofErr w:type="spellStart"/>
      <w:r w:rsidR="006063FC">
        <w:t>Pyper</w:t>
      </w:r>
      <w:proofErr w:type="spellEnd"/>
      <w:r w:rsidR="006063FC">
        <w:t xml:space="preserve">, 2022). </w:t>
      </w:r>
    </w:p>
    <w:p w:rsidR="00274CC6" w:rsidRDefault="00AA6A14">
      <w:r>
        <w:t xml:space="preserve">In order to ensure a fair dismissal process, a full and thorough investigation must be conducted </w:t>
      </w:r>
      <w:r w:rsidR="00BD5B24">
        <w:t>to gather the facts, consider any extenuating circumstances and provide opportunities for support to the employee being investigated (</w:t>
      </w:r>
      <w:proofErr w:type="spellStart"/>
      <w:r w:rsidR="00BD5B24">
        <w:t>Suff</w:t>
      </w:r>
      <w:proofErr w:type="spellEnd"/>
      <w:r w:rsidR="00BD5B24">
        <w:t>, 2022</w:t>
      </w:r>
      <w:r w:rsidR="00704C45">
        <w:t>c</w:t>
      </w:r>
      <w:r w:rsidR="00BD5B24">
        <w:t>).</w:t>
      </w:r>
      <w:r w:rsidR="00822EEF">
        <w:t xml:space="preserve"> Communication throughout the process with the employee, </w:t>
      </w:r>
      <w:r w:rsidR="007A5A63">
        <w:t xml:space="preserve">allowing the employee to attend discussions with a companion to put their case forward and keeping detailed notes throughout the investigation will ensure a fair process (CIPD, 2023). </w:t>
      </w:r>
      <w:proofErr w:type="spellStart"/>
      <w:r w:rsidR="006C0229">
        <w:t>Acas’</w:t>
      </w:r>
      <w:proofErr w:type="spellEnd"/>
      <w:r w:rsidR="006C0229">
        <w:t xml:space="preserve"> Code of Practice on Disciplinary and Grievance Procedures sets out the bare minimum standards an organisation should follow when conducting procedures that could lead to a dismissal (</w:t>
      </w:r>
      <w:proofErr w:type="spellStart"/>
      <w:r w:rsidR="006C0229">
        <w:t>Acas</w:t>
      </w:r>
      <w:proofErr w:type="spellEnd"/>
      <w:r w:rsidR="006C0229">
        <w:t>, 2015</w:t>
      </w:r>
      <w:r w:rsidR="008553DA">
        <w:t>b</w:t>
      </w:r>
      <w:r w:rsidR="006C0229">
        <w:t xml:space="preserve">). </w:t>
      </w:r>
      <w:r w:rsidR="00093F3D">
        <w:t xml:space="preserve">There is a financial risk to unfair dismissal claims </w:t>
      </w:r>
      <w:r w:rsidR="007E10B3">
        <w:t xml:space="preserve">for organisations </w:t>
      </w:r>
      <w:r w:rsidR="00093F3D">
        <w:t xml:space="preserve">as, if successful, </w:t>
      </w:r>
      <w:r w:rsidR="007E10B3">
        <w:t>the dismissed employee can claim a substantial compensatory award from their ex-employer (Tara, 2018).</w:t>
      </w:r>
    </w:p>
    <w:p w:rsidR="008E3F0D" w:rsidRDefault="008E3F0D"/>
    <w:p w:rsidR="008E3F0D" w:rsidRDefault="008E3F0D"/>
    <w:p w:rsidR="008E3F0D" w:rsidRDefault="008E3F0D">
      <w:r>
        <w:t>Word count = 127</w:t>
      </w:r>
      <w:r w:rsidR="008C5ACE">
        <w:t>3</w:t>
      </w:r>
      <w:bookmarkStart w:id="0" w:name="_GoBack"/>
      <w:bookmarkEnd w:id="0"/>
    </w:p>
    <w:p w:rsidR="00AE5BA1" w:rsidRDefault="00AE5BA1"/>
    <w:p w:rsidR="00AE5BA1" w:rsidRDefault="00AE5BA1"/>
    <w:p w:rsidR="00AE5BA1" w:rsidRDefault="00AE5BA1"/>
    <w:p w:rsidR="00AE5BA1" w:rsidRDefault="00AE5BA1"/>
    <w:p w:rsidR="00AE5BA1" w:rsidRDefault="00AE5BA1"/>
    <w:p w:rsidR="00AE5BA1" w:rsidRDefault="00AE5BA1"/>
    <w:p w:rsidR="00AE5BA1" w:rsidRDefault="00AE5BA1"/>
    <w:p w:rsidR="00AE5BA1" w:rsidRDefault="00AE5BA1"/>
    <w:p w:rsidR="00AE5BA1" w:rsidRDefault="00AE5BA1"/>
    <w:p w:rsidR="00AE5BA1" w:rsidRDefault="00AE5BA1"/>
    <w:p w:rsidR="00AE5BA1" w:rsidRDefault="00AE5BA1"/>
    <w:p w:rsidR="00AE5BA1" w:rsidRDefault="00AE5BA1"/>
    <w:p w:rsidR="00105447" w:rsidRDefault="00105447"/>
    <w:p w:rsidR="00AE5BA1" w:rsidRDefault="00AE5BA1">
      <w:r>
        <w:lastRenderedPageBreak/>
        <w:t>References</w:t>
      </w:r>
    </w:p>
    <w:p w:rsidR="00704C45" w:rsidRPr="00CC3FD4" w:rsidRDefault="00704C45" w:rsidP="00704C45">
      <w:proofErr w:type="spellStart"/>
      <w:r w:rsidRPr="00CC3FD4">
        <w:rPr>
          <w:rFonts w:eastAsia="Times New Roman" w:cstheme="minorHAnsi"/>
          <w:iCs/>
          <w:lang w:eastAsia="en-GB"/>
        </w:rPr>
        <w:t>Acas</w:t>
      </w:r>
      <w:proofErr w:type="spellEnd"/>
      <w:r w:rsidRPr="00CC3FD4">
        <w:rPr>
          <w:rFonts w:eastAsia="Times New Roman" w:cstheme="minorHAnsi"/>
          <w:iCs/>
          <w:lang w:eastAsia="en-GB"/>
        </w:rPr>
        <w:t xml:space="preserve">. (2015a) </w:t>
      </w:r>
      <w:r w:rsidRPr="00CC3FD4">
        <w:rPr>
          <w:rFonts w:eastAsia="Times New Roman" w:cstheme="minorHAnsi"/>
          <w:i/>
          <w:iCs/>
          <w:lang w:eastAsia="en-GB"/>
        </w:rPr>
        <w:t xml:space="preserve">Flexible working and work-life balance. </w:t>
      </w:r>
      <w:r w:rsidRPr="00CC3FD4">
        <w:rPr>
          <w:rFonts w:eastAsia="Times New Roman" w:cstheme="minorHAnsi"/>
          <w:iCs/>
          <w:lang w:eastAsia="en-GB"/>
        </w:rPr>
        <w:t xml:space="preserve">Available at: </w:t>
      </w:r>
      <w:hyperlink r:id="rId6" w:history="1">
        <w:r w:rsidRPr="00CC3FD4">
          <w:rPr>
            <w:rStyle w:val="Hyperlink"/>
            <w:rFonts w:eastAsia="Times New Roman" w:cstheme="minorHAnsi"/>
            <w:iCs/>
            <w:color w:val="auto"/>
            <w:u w:val="none"/>
            <w:lang w:eastAsia="en-GB"/>
          </w:rPr>
          <w:t>https://www.acas.org.uk/sites/default/files/2021-03/flexible-working-and-work-life-balance-guide.pdf</w:t>
        </w:r>
      </w:hyperlink>
      <w:r w:rsidRPr="00CC3FD4">
        <w:rPr>
          <w:rFonts w:eastAsia="Times New Roman" w:cstheme="minorHAnsi"/>
          <w:iCs/>
          <w:lang w:eastAsia="en-GB"/>
        </w:rPr>
        <w:t xml:space="preserve"> </w:t>
      </w:r>
      <w:r w:rsidRPr="00CC3FD4">
        <w:t xml:space="preserve">(Accessed: 23 May 2023). </w:t>
      </w:r>
    </w:p>
    <w:p w:rsidR="003B4E09" w:rsidRPr="00CC3FD4" w:rsidRDefault="003B4E09" w:rsidP="00704C45">
      <w:proofErr w:type="spellStart"/>
      <w:r w:rsidRPr="00CC3FD4">
        <w:t>Acas</w:t>
      </w:r>
      <w:proofErr w:type="spellEnd"/>
      <w:r w:rsidRPr="00CC3FD4">
        <w:t xml:space="preserve">. (2015b) </w:t>
      </w:r>
      <w:r w:rsidRPr="00CC3FD4">
        <w:rPr>
          <w:i/>
        </w:rPr>
        <w:t xml:space="preserve">Code of Practice on disciplinary and grievance procedures. </w:t>
      </w:r>
      <w:r w:rsidRPr="00CC3FD4">
        <w:t xml:space="preserve">Available at: </w:t>
      </w:r>
      <w:hyperlink r:id="rId7" w:history="1">
        <w:r w:rsidRPr="00CC3FD4">
          <w:rPr>
            <w:rStyle w:val="Hyperlink"/>
            <w:color w:val="auto"/>
            <w:u w:val="none"/>
          </w:rPr>
          <w:t>https://www.acas.org.uk/acas-code-of-practice-for-disciplinary-and-grievance-procedures/html</w:t>
        </w:r>
      </w:hyperlink>
      <w:r w:rsidRPr="00CC3FD4">
        <w:t xml:space="preserve"> (Accessed: 6 June 2023). </w:t>
      </w:r>
    </w:p>
    <w:p w:rsidR="00F24933" w:rsidRPr="00CC3FD4" w:rsidRDefault="00F24933" w:rsidP="00704C45">
      <w:proofErr w:type="spellStart"/>
      <w:r w:rsidRPr="00CC3FD4">
        <w:t>Acas</w:t>
      </w:r>
      <w:proofErr w:type="spellEnd"/>
      <w:r w:rsidRPr="00CC3FD4">
        <w:t xml:space="preserve">. (2022) </w:t>
      </w:r>
      <w:r w:rsidRPr="00CC3FD4">
        <w:rPr>
          <w:i/>
        </w:rPr>
        <w:t xml:space="preserve">Dismissals. </w:t>
      </w:r>
      <w:r w:rsidRPr="00CC3FD4">
        <w:t xml:space="preserve">Available at: </w:t>
      </w:r>
      <w:hyperlink r:id="rId8" w:history="1">
        <w:r w:rsidRPr="00CC3FD4">
          <w:rPr>
            <w:rStyle w:val="Hyperlink"/>
            <w:color w:val="auto"/>
            <w:u w:val="none"/>
          </w:rPr>
          <w:t>https://www.acas.org.uk/dismissals</w:t>
        </w:r>
      </w:hyperlink>
      <w:r w:rsidRPr="00CC3FD4">
        <w:t xml:space="preserve"> (Accessed: 6 June 2023). </w:t>
      </w:r>
    </w:p>
    <w:p w:rsidR="00365ADF" w:rsidRPr="00CC3FD4" w:rsidRDefault="00365ADF" w:rsidP="00704C45">
      <w:proofErr w:type="spellStart"/>
      <w:r w:rsidRPr="00CC3FD4">
        <w:t>Acas</w:t>
      </w:r>
      <w:proofErr w:type="spellEnd"/>
      <w:r w:rsidRPr="00CC3FD4">
        <w:t xml:space="preserve">. (2023) </w:t>
      </w:r>
      <w:r w:rsidRPr="00CC3FD4">
        <w:rPr>
          <w:i/>
        </w:rPr>
        <w:t xml:space="preserve">Discrimination and the Equality Act 2010. </w:t>
      </w:r>
      <w:r w:rsidRPr="00CC3FD4">
        <w:t xml:space="preserve">Available at: </w:t>
      </w:r>
      <w:hyperlink r:id="rId9" w:history="1">
        <w:r w:rsidRPr="00CC3FD4">
          <w:rPr>
            <w:rStyle w:val="Hyperlink"/>
            <w:color w:val="auto"/>
            <w:u w:val="none"/>
          </w:rPr>
          <w:t>https://www.acas.org.uk/discrimination-and-the-law</w:t>
        </w:r>
      </w:hyperlink>
      <w:r w:rsidRPr="00CC3FD4">
        <w:t xml:space="preserve"> (Accessed: 3 June 2023).</w:t>
      </w:r>
    </w:p>
    <w:p w:rsidR="00452F57" w:rsidRPr="00CC3FD4" w:rsidRDefault="00452F57" w:rsidP="00704C45">
      <w:r w:rsidRPr="00CC3FD4">
        <w:t xml:space="preserve">Ali, L. (2022) </w:t>
      </w:r>
      <w:r w:rsidRPr="00CC3FD4">
        <w:rPr>
          <w:i/>
        </w:rPr>
        <w:t xml:space="preserve">Equality, diversity and inclusion (EDI) in the workplace. </w:t>
      </w:r>
      <w:r w:rsidRPr="00CC3FD4">
        <w:t xml:space="preserve">Available at: </w:t>
      </w:r>
      <w:hyperlink r:id="rId10" w:history="1">
        <w:r w:rsidRPr="00CC3FD4">
          <w:rPr>
            <w:rStyle w:val="Hyperlink"/>
            <w:color w:val="auto"/>
            <w:u w:val="none"/>
          </w:rPr>
          <w:t>https://www.cipd.org/en/knowledge/factsheets/diversity-factsheet/</w:t>
        </w:r>
      </w:hyperlink>
      <w:r w:rsidRPr="00CC3FD4">
        <w:t xml:space="preserve"> (Accessed: 5 June 2023).</w:t>
      </w:r>
    </w:p>
    <w:p w:rsidR="00E44EDC" w:rsidRPr="00CC3FD4" w:rsidRDefault="00E44EDC" w:rsidP="00704C45">
      <w:r w:rsidRPr="00CC3FD4">
        <w:t xml:space="preserve">Bevan, S. and </w:t>
      </w:r>
      <w:proofErr w:type="spellStart"/>
      <w:r w:rsidRPr="00CC3FD4">
        <w:t>Bajorek</w:t>
      </w:r>
      <w:proofErr w:type="spellEnd"/>
      <w:r w:rsidRPr="00CC3FD4">
        <w:t xml:space="preserve">, Z. (2018) </w:t>
      </w:r>
      <w:r w:rsidRPr="00CC3FD4">
        <w:rPr>
          <w:i/>
        </w:rPr>
        <w:t xml:space="preserve">Why ‘good work’ trumps fruit and </w:t>
      </w:r>
      <w:proofErr w:type="spellStart"/>
      <w:r w:rsidRPr="00CC3FD4">
        <w:rPr>
          <w:i/>
        </w:rPr>
        <w:t>pilates</w:t>
      </w:r>
      <w:proofErr w:type="spellEnd"/>
      <w:r w:rsidRPr="00CC3FD4">
        <w:rPr>
          <w:i/>
        </w:rPr>
        <w:t xml:space="preserve"> evangelism every time. </w:t>
      </w:r>
      <w:r w:rsidRPr="00CC3FD4">
        <w:t xml:space="preserve">Accessible at: </w:t>
      </w:r>
      <w:hyperlink r:id="rId11" w:history="1">
        <w:r w:rsidRPr="00CC3FD4">
          <w:rPr>
            <w:rStyle w:val="Hyperlink"/>
            <w:color w:val="auto"/>
            <w:u w:val="none"/>
          </w:rPr>
          <w:t>https://www.hrmagazine.co.uk/content/features/why-good-work-trumps-fruit-and-pilates-evangelism-every-time/</w:t>
        </w:r>
      </w:hyperlink>
      <w:r w:rsidRPr="00CC3FD4">
        <w:rPr>
          <w:rStyle w:val="Hyperlink"/>
          <w:color w:val="auto"/>
          <w:u w:val="none"/>
        </w:rPr>
        <w:t xml:space="preserve"> (Accessed: 27</w:t>
      </w:r>
      <w:r w:rsidRPr="00CC3FD4">
        <w:rPr>
          <w:rStyle w:val="Hyperlink"/>
          <w:color w:val="auto"/>
          <w:u w:val="none"/>
          <w:vertAlign w:val="superscript"/>
        </w:rPr>
        <w:t xml:space="preserve"> </w:t>
      </w:r>
      <w:r w:rsidRPr="00CC3FD4">
        <w:rPr>
          <w:rStyle w:val="Hyperlink"/>
          <w:color w:val="auto"/>
          <w:u w:val="none"/>
        </w:rPr>
        <w:t xml:space="preserve">May 2023). </w:t>
      </w:r>
    </w:p>
    <w:p w:rsidR="00E06A31" w:rsidRPr="00CC3FD4" w:rsidRDefault="00E06A31" w:rsidP="00704C45">
      <w:pPr>
        <w:rPr>
          <w:rFonts w:cstheme="minorHAnsi"/>
        </w:rPr>
      </w:pPr>
      <w:proofErr w:type="spellStart"/>
      <w:r w:rsidRPr="00CC3FD4">
        <w:t>Böckerman</w:t>
      </w:r>
      <w:proofErr w:type="spellEnd"/>
      <w:r w:rsidRPr="00CC3FD4">
        <w:t xml:space="preserve">, P., Bryson, A., </w:t>
      </w:r>
      <w:proofErr w:type="spellStart"/>
      <w:r w:rsidRPr="00CC3FD4">
        <w:t>Kauhanen</w:t>
      </w:r>
      <w:proofErr w:type="spellEnd"/>
      <w:r w:rsidRPr="00CC3FD4">
        <w:t xml:space="preserve">, A. and </w:t>
      </w:r>
      <w:proofErr w:type="spellStart"/>
      <w:r w:rsidRPr="00CC3FD4">
        <w:t>Kangasniemi</w:t>
      </w:r>
      <w:proofErr w:type="spellEnd"/>
      <w:r w:rsidRPr="00CC3FD4">
        <w:t xml:space="preserve">, M. (2020) ‘Does Job Design Make Workers Happy?’ </w:t>
      </w:r>
      <w:r w:rsidRPr="00CC3FD4">
        <w:rPr>
          <w:i/>
        </w:rPr>
        <w:t>Scottish Journal of Political Economy</w:t>
      </w:r>
      <w:r w:rsidRPr="00CC3FD4">
        <w:t xml:space="preserve">, 67 (1), pp. 31-52. Available at: </w:t>
      </w:r>
      <w:hyperlink r:id="rId12" w:history="1">
        <w:r w:rsidRPr="00CC3FD4">
          <w:rPr>
            <w:rStyle w:val="Hyperlink"/>
            <w:rFonts w:cstheme="minorHAnsi"/>
            <w:bCs/>
            <w:color w:val="auto"/>
            <w:u w:val="none"/>
            <w:shd w:val="clear" w:color="auto" w:fill="FFFFFF"/>
          </w:rPr>
          <w:t>https://doi.org/10.1111/sjpe.12211</w:t>
        </w:r>
      </w:hyperlink>
    </w:p>
    <w:p w:rsidR="00630E7D" w:rsidRPr="00CC3FD4" w:rsidRDefault="00630E7D" w:rsidP="00704C45">
      <w:proofErr w:type="spellStart"/>
      <w:r w:rsidRPr="00CC3FD4">
        <w:t>Botwin</w:t>
      </w:r>
      <w:proofErr w:type="spellEnd"/>
      <w:r w:rsidRPr="00CC3FD4">
        <w:t xml:space="preserve">, A. (2021) </w:t>
      </w:r>
      <w:hyperlink r:id="rId13" w:history="1">
        <w:r w:rsidR="00460D7A" w:rsidRPr="00CC3FD4">
          <w:rPr>
            <w:rStyle w:val="Hyperlink"/>
            <w:i/>
            <w:color w:val="auto"/>
            <w:u w:val="none"/>
          </w:rPr>
          <w:t xml:space="preserve">The Evolution of Workplace Policies on Sexual Harassment and Discrimination. </w:t>
        </w:r>
        <w:r w:rsidR="00460D7A" w:rsidRPr="00CC3FD4">
          <w:rPr>
            <w:rStyle w:val="Hyperlink"/>
            <w:color w:val="auto"/>
            <w:u w:val="none"/>
          </w:rPr>
          <w:t xml:space="preserve">Available at: </w:t>
        </w:r>
        <w:r w:rsidR="00460D7A" w:rsidRPr="00CC3FD4">
          <w:rPr>
            <w:rStyle w:val="Hyperlink"/>
            <w:i/>
            <w:color w:val="auto"/>
            <w:u w:val="none"/>
          </w:rPr>
          <w:t>https</w:t>
        </w:r>
        <w:r w:rsidR="00460D7A" w:rsidRPr="00CC3FD4">
          <w:rPr>
            <w:rStyle w:val="Hyperlink"/>
            <w:color w:val="auto"/>
            <w:u w:val="none"/>
          </w:rPr>
          <w:t>://www.strategypeopleculture.com/blog/impact-workplace-harassment-discrimination/</w:t>
        </w:r>
      </w:hyperlink>
      <w:r w:rsidRPr="00CC3FD4">
        <w:t xml:space="preserve"> (Accessed: 3 June 2023).</w:t>
      </w:r>
    </w:p>
    <w:p w:rsidR="00E06A31" w:rsidRPr="00CC3FD4" w:rsidRDefault="00E06A31" w:rsidP="00704C45">
      <w:r w:rsidRPr="00CC3FD4">
        <w:t>Bowling, N. A., Alarcon, G. M., Bragg, C. B., and Hartman, M. J. (2015) ‘A meta-analytic examination of the potential correlates and consequences of workload’, </w:t>
      </w:r>
      <w:r w:rsidRPr="00CC3FD4">
        <w:rPr>
          <w:i/>
        </w:rPr>
        <w:t>Work &amp; Stress</w:t>
      </w:r>
      <w:r w:rsidRPr="00CC3FD4">
        <w:t xml:space="preserve">, 29 (2), pp. 95–113. Available at: </w:t>
      </w:r>
      <w:hyperlink r:id="rId14" w:history="1">
        <w:r w:rsidRPr="00CC3FD4">
          <w:rPr>
            <w:rStyle w:val="Hyperlink"/>
            <w:color w:val="auto"/>
            <w:u w:val="none"/>
          </w:rPr>
          <w:t>https://doi.org/10.1080/02678373.2015.1033037</w:t>
        </w:r>
      </w:hyperlink>
    </w:p>
    <w:p w:rsidR="006751A1" w:rsidRPr="00CC3FD4" w:rsidRDefault="006751A1" w:rsidP="00704C45">
      <w:proofErr w:type="spellStart"/>
      <w:r w:rsidRPr="00CC3FD4">
        <w:t>Brione</w:t>
      </w:r>
      <w:proofErr w:type="spellEnd"/>
      <w:r w:rsidRPr="00CC3FD4">
        <w:t xml:space="preserve">, P. and </w:t>
      </w:r>
      <w:proofErr w:type="spellStart"/>
      <w:r w:rsidRPr="00CC3FD4">
        <w:t>Pyper</w:t>
      </w:r>
      <w:proofErr w:type="spellEnd"/>
      <w:r w:rsidRPr="00CC3FD4">
        <w:t xml:space="preserve">, D. (2022) </w:t>
      </w:r>
      <w:r w:rsidRPr="00CC3FD4">
        <w:rPr>
          <w:i/>
        </w:rPr>
        <w:t xml:space="preserve">Key Employment Rights. </w:t>
      </w:r>
      <w:r w:rsidRPr="00CC3FD4">
        <w:t xml:space="preserve">House of Commons Library research briefing. Available at: </w:t>
      </w:r>
      <w:r w:rsidR="00D27869" w:rsidRPr="00CC3FD4">
        <w:t>https://researchbriefings.files.parliament.uk/documents/CBP-7245/CBP-7245.pdf</w:t>
      </w:r>
      <w:r w:rsidRPr="00CC3FD4">
        <w:t xml:space="preserve"> (Accessed: 6 June 2023). </w:t>
      </w:r>
    </w:p>
    <w:p w:rsidR="00B445B7" w:rsidRPr="00CC3FD4" w:rsidRDefault="00B445B7" w:rsidP="00704C45">
      <w:pPr>
        <w:rPr>
          <w:rFonts w:cstheme="minorHAnsi"/>
        </w:rPr>
      </w:pPr>
      <w:r w:rsidRPr="00CC3FD4">
        <w:rPr>
          <w:rFonts w:cstheme="minorHAnsi"/>
          <w:shd w:val="clear" w:color="auto" w:fill="FFFFFF"/>
        </w:rPr>
        <w:t>Byrd, M. and Sparkman, T. (2022) ‘Reconciling the Business Case and the Social Justice Case for Diversity: A Model of Human Relations’, </w:t>
      </w:r>
      <w:r w:rsidRPr="00CC3FD4">
        <w:rPr>
          <w:rFonts w:cstheme="minorHAnsi"/>
          <w:i/>
          <w:iCs/>
          <w:shd w:val="clear" w:color="auto" w:fill="FFFFFF"/>
        </w:rPr>
        <w:t>Human Resource Development Review</w:t>
      </w:r>
      <w:r w:rsidRPr="00CC3FD4">
        <w:rPr>
          <w:rFonts w:cstheme="minorHAnsi"/>
          <w:shd w:val="clear" w:color="auto" w:fill="FFFFFF"/>
        </w:rPr>
        <w:t>, </w:t>
      </w:r>
      <w:r w:rsidRPr="00CC3FD4">
        <w:rPr>
          <w:rFonts w:cstheme="minorHAnsi"/>
          <w:iCs/>
          <w:shd w:val="clear" w:color="auto" w:fill="FFFFFF"/>
        </w:rPr>
        <w:t>21</w:t>
      </w:r>
      <w:r w:rsidRPr="00CC3FD4">
        <w:rPr>
          <w:rFonts w:cstheme="minorHAnsi"/>
          <w:shd w:val="clear" w:color="auto" w:fill="FFFFFF"/>
        </w:rPr>
        <w:t xml:space="preserve">(1), pp. 75–100. Available at: </w:t>
      </w:r>
      <w:hyperlink r:id="rId15" w:history="1">
        <w:r w:rsidR="00D27869" w:rsidRPr="00CC3FD4">
          <w:rPr>
            <w:rStyle w:val="Hyperlink"/>
            <w:rFonts w:cstheme="minorHAnsi"/>
            <w:color w:val="auto"/>
            <w:u w:val="none"/>
            <w:shd w:val="clear" w:color="auto" w:fill="FFFFFF"/>
          </w:rPr>
          <w:t>https://doi.org/10.1177/15344843211072356</w:t>
        </w:r>
      </w:hyperlink>
    </w:p>
    <w:p w:rsidR="00E06A31" w:rsidRPr="00CC3FD4" w:rsidRDefault="00E06A31" w:rsidP="00704C45">
      <w:r w:rsidRPr="00CC3FD4">
        <w:t xml:space="preserve">Churchill, F. (2021) </w:t>
      </w:r>
      <w:r w:rsidRPr="00CC3FD4">
        <w:rPr>
          <w:i/>
        </w:rPr>
        <w:t xml:space="preserve">Job quality more important to wellbeing than hours worked, study finds. </w:t>
      </w:r>
      <w:r w:rsidR="008553DA" w:rsidRPr="00CC3FD4">
        <w:t>Available at:</w:t>
      </w:r>
      <w:r w:rsidRPr="00CC3FD4">
        <w:t xml:space="preserve"> </w:t>
      </w:r>
      <w:hyperlink r:id="rId16" w:history="1">
        <w:r w:rsidRPr="00CC3FD4">
          <w:rPr>
            <w:rStyle w:val="Hyperlink"/>
            <w:color w:val="auto"/>
            <w:u w:val="none"/>
          </w:rPr>
          <w:t>https://www.peoplemanagement.co.uk/article/1747325/job-quality-more-important-wellbeing-than-hours-worked-study-finds</w:t>
        </w:r>
      </w:hyperlink>
      <w:r w:rsidRPr="00CC3FD4">
        <w:t xml:space="preserve"> (Accessed: 3 June 2023).</w:t>
      </w:r>
    </w:p>
    <w:p w:rsidR="00DA4985" w:rsidRPr="00CC3FD4" w:rsidRDefault="00F24933" w:rsidP="00704C45">
      <w:r w:rsidRPr="00CC3FD4">
        <w:t xml:space="preserve">CIPD. (2020) </w:t>
      </w:r>
      <w:r w:rsidRPr="00CC3FD4">
        <w:rPr>
          <w:i/>
        </w:rPr>
        <w:t xml:space="preserve">Dismissal: UK employment law. </w:t>
      </w:r>
      <w:r w:rsidRPr="00CC3FD4">
        <w:t xml:space="preserve">Available at: </w:t>
      </w:r>
      <w:hyperlink r:id="rId17" w:history="1">
        <w:r w:rsidRPr="00CC3FD4">
          <w:rPr>
            <w:rStyle w:val="Hyperlink"/>
            <w:color w:val="auto"/>
            <w:u w:val="none"/>
          </w:rPr>
          <w:t>https://www.cipd.org/uk/knowledge/employment-law/dismissal/</w:t>
        </w:r>
      </w:hyperlink>
      <w:r w:rsidRPr="00CC3FD4">
        <w:t xml:space="preserve"> (Accessed: 5 June 2023).</w:t>
      </w:r>
    </w:p>
    <w:p w:rsidR="00DA4985" w:rsidRPr="00CC3FD4" w:rsidRDefault="00DA4985" w:rsidP="00DA4985">
      <w:r w:rsidRPr="00CC3FD4">
        <w:t xml:space="preserve">CIPD. (2023) </w:t>
      </w:r>
      <w:r w:rsidRPr="00CC3FD4">
        <w:rPr>
          <w:i/>
        </w:rPr>
        <w:t xml:space="preserve">People manager guide: Dismissal. </w:t>
      </w:r>
      <w:r w:rsidRPr="00CC3FD4">
        <w:t xml:space="preserve">Available at:  </w:t>
      </w:r>
      <w:hyperlink r:id="rId18" w:anchor="why-we-need-to-manage-dismissals-carefully" w:history="1">
        <w:r w:rsidRPr="00CC3FD4">
          <w:rPr>
            <w:rStyle w:val="Hyperlink"/>
            <w:color w:val="auto"/>
            <w:u w:val="none"/>
          </w:rPr>
          <w:t>https://www.cipd.org/uk/knowledge/guides/dismissal-guidance-for-managers/#why-we-need-to-manage-dismissals-carefully</w:t>
        </w:r>
      </w:hyperlink>
      <w:r w:rsidRPr="00CC3FD4">
        <w:t xml:space="preserve"> (Accessed: 6 June 2023).</w:t>
      </w:r>
    </w:p>
    <w:p w:rsidR="00157A62" w:rsidRPr="00CC3FD4" w:rsidRDefault="00157A62" w:rsidP="00704C45">
      <w:r w:rsidRPr="00CC3FD4">
        <w:lastRenderedPageBreak/>
        <w:t xml:space="preserve">Crawford, D. (2022) </w:t>
      </w:r>
      <w:r w:rsidRPr="00CC3FD4">
        <w:rPr>
          <w:i/>
        </w:rPr>
        <w:t xml:space="preserve">Sorry, It’s Some Other Substantial Reason. </w:t>
      </w:r>
      <w:r w:rsidRPr="00CC3FD4">
        <w:t xml:space="preserve">Available at: https://wslaw.co.uk/blog/sorry-its-some-other-substantial-reason/ </w:t>
      </w:r>
      <w:bookmarkStart w:id="1" w:name="_Hlk137045099"/>
      <w:r w:rsidRPr="00CC3FD4">
        <w:t xml:space="preserve">(Accessed: 6 June 2023). </w:t>
      </w:r>
      <w:bookmarkEnd w:id="1"/>
    </w:p>
    <w:p w:rsidR="00704C45" w:rsidRPr="00CC3FD4" w:rsidRDefault="00704C45" w:rsidP="00704C45">
      <w:pPr>
        <w:pStyle w:val="dx-doi"/>
        <w:spacing w:before="0" w:after="0"/>
        <w:rPr>
          <w:rFonts w:asciiTheme="minorHAnsi" w:hAnsiTheme="minorHAnsi" w:cstheme="minorHAnsi"/>
          <w:sz w:val="22"/>
          <w:szCs w:val="22"/>
        </w:rPr>
      </w:pPr>
      <w:r w:rsidRPr="00CC3FD4">
        <w:rPr>
          <w:rStyle w:val="surname"/>
          <w:rFonts w:asciiTheme="minorHAnsi" w:hAnsiTheme="minorHAnsi" w:cstheme="minorHAnsi"/>
          <w:sz w:val="22"/>
          <w:szCs w:val="22"/>
          <w:bdr w:val="none" w:sz="0" w:space="0" w:color="auto" w:frame="1"/>
          <w:shd w:val="clear" w:color="auto" w:fill="FFFFFF"/>
        </w:rPr>
        <w:t>De Cieri</w:t>
      </w:r>
      <w:r w:rsidRPr="00CC3FD4">
        <w:rPr>
          <w:rStyle w:val="name"/>
          <w:rFonts w:asciiTheme="minorHAnsi" w:hAnsiTheme="minorHAnsi" w:cstheme="minorHAnsi"/>
          <w:sz w:val="22"/>
          <w:szCs w:val="22"/>
          <w:bdr w:val="none" w:sz="0" w:space="0" w:color="auto" w:frame="1"/>
          <w:shd w:val="clear" w:color="auto" w:fill="FFFFFF"/>
        </w:rPr>
        <w:t>, </w:t>
      </w:r>
      <w:r w:rsidRPr="00CC3FD4">
        <w:rPr>
          <w:rStyle w:val="given-names"/>
          <w:rFonts w:asciiTheme="minorHAnsi" w:hAnsiTheme="minorHAnsi" w:cstheme="minorHAnsi"/>
          <w:sz w:val="22"/>
          <w:szCs w:val="22"/>
          <w:bdr w:val="none" w:sz="0" w:space="0" w:color="auto" w:frame="1"/>
          <w:shd w:val="clear" w:color="auto" w:fill="FFFFFF"/>
        </w:rPr>
        <w:t>H</w:t>
      </w:r>
      <w:r w:rsidRPr="00CC3FD4">
        <w:rPr>
          <w:rFonts w:asciiTheme="minorHAnsi" w:hAnsiTheme="minorHAnsi" w:cstheme="minorHAnsi"/>
          <w:sz w:val="22"/>
          <w:szCs w:val="22"/>
          <w:shd w:val="clear" w:color="auto" w:fill="FFFFFF"/>
        </w:rPr>
        <w:t>., </w:t>
      </w:r>
      <w:r w:rsidRPr="00CC3FD4">
        <w:rPr>
          <w:rStyle w:val="surname"/>
          <w:rFonts w:asciiTheme="minorHAnsi" w:hAnsiTheme="minorHAnsi" w:cstheme="minorHAnsi"/>
          <w:sz w:val="22"/>
          <w:szCs w:val="22"/>
          <w:bdr w:val="none" w:sz="0" w:space="0" w:color="auto" w:frame="1"/>
          <w:shd w:val="clear" w:color="auto" w:fill="FFFFFF"/>
        </w:rPr>
        <w:t>Holmes</w:t>
      </w:r>
      <w:r w:rsidRPr="00CC3FD4">
        <w:rPr>
          <w:rStyle w:val="name"/>
          <w:rFonts w:asciiTheme="minorHAnsi" w:hAnsiTheme="minorHAnsi" w:cstheme="minorHAnsi"/>
          <w:sz w:val="22"/>
          <w:szCs w:val="22"/>
          <w:bdr w:val="none" w:sz="0" w:space="0" w:color="auto" w:frame="1"/>
          <w:shd w:val="clear" w:color="auto" w:fill="FFFFFF"/>
        </w:rPr>
        <w:t>, </w:t>
      </w:r>
      <w:r w:rsidRPr="00CC3FD4">
        <w:rPr>
          <w:rStyle w:val="given-names"/>
          <w:rFonts w:asciiTheme="minorHAnsi" w:hAnsiTheme="minorHAnsi" w:cstheme="minorHAnsi"/>
          <w:sz w:val="22"/>
          <w:szCs w:val="22"/>
          <w:bdr w:val="none" w:sz="0" w:space="0" w:color="auto" w:frame="1"/>
          <w:shd w:val="clear" w:color="auto" w:fill="FFFFFF"/>
        </w:rPr>
        <w:t>B</w:t>
      </w:r>
      <w:r w:rsidRPr="00CC3FD4">
        <w:rPr>
          <w:rFonts w:asciiTheme="minorHAnsi" w:hAnsiTheme="minorHAnsi" w:cstheme="minorHAnsi"/>
          <w:sz w:val="22"/>
          <w:szCs w:val="22"/>
          <w:shd w:val="clear" w:color="auto" w:fill="FFFFFF"/>
        </w:rPr>
        <w:t>., </w:t>
      </w:r>
      <w:r w:rsidRPr="00CC3FD4">
        <w:rPr>
          <w:rStyle w:val="surname"/>
          <w:rFonts w:asciiTheme="minorHAnsi" w:hAnsiTheme="minorHAnsi" w:cstheme="minorHAnsi"/>
          <w:sz w:val="22"/>
          <w:szCs w:val="22"/>
          <w:bdr w:val="none" w:sz="0" w:space="0" w:color="auto" w:frame="1"/>
          <w:shd w:val="clear" w:color="auto" w:fill="FFFFFF"/>
        </w:rPr>
        <w:t>Abbott</w:t>
      </w:r>
      <w:r w:rsidRPr="00CC3FD4">
        <w:rPr>
          <w:rStyle w:val="name"/>
          <w:rFonts w:asciiTheme="minorHAnsi" w:hAnsiTheme="minorHAnsi" w:cstheme="minorHAnsi"/>
          <w:sz w:val="22"/>
          <w:szCs w:val="22"/>
          <w:bdr w:val="none" w:sz="0" w:space="0" w:color="auto" w:frame="1"/>
          <w:shd w:val="clear" w:color="auto" w:fill="FFFFFF"/>
        </w:rPr>
        <w:t>, </w:t>
      </w:r>
      <w:r w:rsidRPr="00CC3FD4">
        <w:rPr>
          <w:rStyle w:val="given-names"/>
          <w:rFonts w:asciiTheme="minorHAnsi" w:hAnsiTheme="minorHAnsi" w:cstheme="minorHAnsi"/>
          <w:sz w:val="22"/>
          <w:szCs w:val="22"/>
          <w:bdr w:val="none" w:sz="0" w:space="0" w:color="auto" w:frame="1"/>
          <w:shd w:val="clear" w:color="auto" w:fill="FFFFFF"/>
        </w:rPr>
        <w:t>J.</w:t>
      </w:r>
      <w:r w:rsidRPr="00CC3FD4">
        <w:rPr>
          <w:rFonts w:asciiTheme="minorHAnsi" w:hAnsiTheme="minorHAnsi" w:cstheme="minorHAnsi"/>
          <w:sz w:val="22"/>
          <w:szCs w:val="22"/>
          <w:shd w:val="clear" w:color="auto" w:fill="FFFFFF"/>
        </w:rPr>
        <w:t> and </w:t>
      </w:r>
      <w:r w:rsidRPr="00CC3FD4">
        <w:rPr>
          <w:rStyle w:val="surname"/>
          <w:rFonts w:asciiTheme="minorHAnsi" w:hAnsiTheme="minorHAnsi" w:cstheme="minorHAnsi"/>
          <w:sz w:val="22"/>
          <w:szCs w:val="22"/>
          <w:bdr w:val="none" w:sz="0" w:space="0" w:color="auto" w:frame="1"/>
          <w:shd w:val="clear" w:color="auto" w:fill="FFFFFF"/>
        </w:rPr>
        <w:t>Pettit</w:t>
      </w:r>
      <w:r w:rsidRPr="00CC3FD4">
        <w:rPr>
          <w:rStyle w:val="name"/>
          <w:rFonts w:asciiTheme="minorHAnsi" w:hAnsiTheme="minorHAnsi" w:cstheme="minorHAnsi"/>
          <w:sz w:val="22"/>
          <w:szCs w:val="22"/>
          <w:bdr w:val="none" w:sz="0" w:space="0" w:color="auto" w:frame="1"/>
          <w:shd w:val="clear" w:color="auto" w:fill="FFFFFF"/>
        </w:rPr>
        <w:t>, </w:t>
      </w:r>
      <w:r w:rsidRPr="00CC3FD4">
        <w:rPr>
          <w:rStyle w:val="given-names"/>
          <w:rFonts w:asciiTheme="minorHAnsi" w:hAnsiTheme="minorHAnsi" w:cstheme="minorHAnsi"/>
          <w:sz w:val="22"/>
          <w:szCs w:val="22"/>
          <w:bdr w:val="none" w:sz="0" w:space="0" w:color="auto" w:frame="1"/>
          <w:shd w:val="clear" w:color="auto" w:fill="FFFFFF"/>
        </w:rPr>
        <w:t>T.</w:t>
      </w:r>
      <w:r w:rsidRPr="00CC3FD4">
        <w:rPr>
          <w:rFonts w:asciiTheme="minorHAnsi" w:hAnsiTheme="minorHAnsi" w:cstheme="minorHAnsi"/>
          <w:sz w:val="22"/>
          <w:szCs w:val="22"/>
          <w:shd w:val="clear" w:color="auto" w:fill="FFFFFF"/>
        </w:rPr>
        <w:t> (</w:t>
      </w:r>
      <w:r w:rsidRPr="00CC3FD4">
        <w:rPr>
          <w:rStyle w:val="year"/>
          <w:rFonts w:asciiTheme="minorHAnsi" w:hAnsiTheme="minorHAnsi" w:cstheme="minorHAnsi"/>
          <w:sz w:val="22"/>
          <w:szCs w:val="22"/>
          <w:bdr w:val="none" w:sz="0" w:space="0" w:color="auto" w:frame="1"/>
          <w:shd w:val="clear" w:color="auto" w:fill="FFFFFF"/>
        </w:rPr>
        <w:t>2005</w:t>
      </w:r>
      <w:r w:rsidRPr="00CC3FD4">
        <w:rPr>
          <w:rFonts w:asciiTheme="minorHAnsi" w:hAnsiTheme="minorHAnsi" w:cstheme="minorHAnsi"/>
          <w:sz w:val="22"/>
          <w:szCs w:val="22"/>
          <w:shd w:val="clear" w:color="auto" w:fill="FFFFFF"/>
        </w:rPr>
        <w:t>) ‘</w:t>
      </w:r>
      <w:r w:rsidRPr="00CC3FD4">
        <w:rPr>
          <w:rStyle w:val="article-title"/>
          <w:rFonts w:asciiTheme="minorHAnsi" w:hAnsiTheme="minorHAnsi" w:cstheme="minorHAnsi"/>
          <w:sz w:val="22"/>
          <w:szCs w:val="22"/>
          <w:bdr w:val="none" w:sz="0" w:space="0" w:color="auto" w:frame="1"/>
          <w:shd w:val="clear" w:color="auto" w:fill="FFFFFF"/>
        </w:rPr>
        <w:t>Achievements and challenges for work-life balance strategies in Australian organizations’</w:t>
      </w:r>
      <w:r w:rsidRPr="00CC3FD4">
        <w:rPr>
          <w:rFonts w:asciiTheme="minorHAnsi" w:hAnsiTheme="minorHAnsi" w:cstheme="minorHAnsi"/>
          <w:sz w:val="22"/>
          <w:szCs w:val="22"/>
          <w:shd w:val="clear" w:color="auto" w:fill="FFFFFF"/>
        </w:rPr>
        <w:t>, </w:t>
      </w:r>
      <w:r w:rsidRPr="00CC3FD4">
        <w:rPr>
          <w:rStyle w:val="source"/>
          <w:rFonts w:asciiTheme="minorHAnsi" w:hAnsiTheme="minorHAnsi" w:cstheme="minorHAnsi"/>
          <w:i/>
          <w:sz w:val="22"/>
          <w:szCs w:val="22"/>
          <w:bdr w:val="none" w:sz="0" w:space="0" w:color="auto" w:frame="1"/>
          <w:shd w:val="clear" w:color="auto" w:fill="FFFFFF"/>
        </w:rPr>
        <w:t>International Journal of Human Resource Management</w:t>
      </w:r>
      <w:r w:rsidRPr="00CC3FD4">
        <w:rPr>
          <w:rFonts w:asciiTheme="minorHAnsi" w:hAnsiTheme="minorHAnsi" w:cstheme="minorHAnsi"/>
          <w:sz w:val="22"/>
          <w:szCs w:val="22"/>
          <w:shd w:val="clear" w:color="auto" w:fill="FFFFFF"/>
        </w:rPr>
        <w:t>, </w:t>
      </w:r>
      <w:r w:rsidRPr="00CC3FD4">
        <w:rPr>
          <w:rStyle w:val="volume"/>
          <w:rFonts w:asciiTheme="minorHAnsi" w:hAnsiTheme="minorHAnsi" w:cstheme="minorHAnsi"/>
          <w:sz w:val="22"/>
          <w:szCs w:val="22"/>
          <w:bdr w:val="none" w:sz="0" w:space="0" w:color="auto" w:frame="1"/>
          <w:shd w:val="clear" w:color="auto" w:fill="FFFFFF"/>
        </w:rPr>
        <w:t>16 (1)</w:t>
      </w:r>
      <w:r w:rsidRPr="00CC3FD4">
        <w:rPr>
          <w:rFonts w:asciiTheme="minorHAnsi" w:hAnsiTheme="minorHAnsi" w:cstheme="minorHAnsi"/>
          <w:sz w:val="22"/>
          <w:szCs w:val="22"/>
          <w:shd w:val="clear" w:color="auto" w:fill="FFFFFF"/>
        </w:rPr>
        <w:t>, pp. </w:t>
      </w:r>
      <w:r w:rsidRPr="00CC3FD4">
        <w:rPr>
          <w:rStyle w:val="fpage"/>
          <w:rFonts w:asciiTheme="minorHAnsi" w:hAnsiTheme="minorHAnsi" w:cstheme="minorHAnsi"/>
          <w:sz w:val="22"/>
          <w:szCs w:val="22"/>
          <w:bdr w:val="none" w:sz="0" w:space="0" w:color="auto" w:frame="1"/>
          <w:shd w:val="clear" w:color="auto" w:fill="FFFFFF"/>
        </w:rPr>
        <w:t>90</w:t>
      </w:r>
      <w:r w:rsidRPr="00CC3FD4">
        <w:rPr>
          <w:rFonts w:asciiTheme="minorHAnsi" w:hAnsiTheme="minorHAnsi" w:cstheme="minorHAnsi"/>
          <w:sz w:val="22"/>
          <w:szCs w:val="22"/>
          <w:shd w:val="clear" w:color="auto" w:fill="FFFFFF"/>
        </w:rPr>
        <w:t>–</w:t>
      </w:r>
      <w:r w:rsidRPr="00CC3FD4">
        <w:rPr>
          <w:rStyle w:val="lpage"/>
          <w:rFonts w:asciiTheme="minorHAnsi" w:hAnsiTheme="minorHAnsi" w:cstheme="minorHAnsi"/>
          <w:sz w:val="22"/>
          <w:szCs w:val="22"/>
          <w:bdr w:val="none" w:sz="0" w:space="0" w:color="auto" w:frame="1"/>
          <w:shd w:val="clear" w:color="auto" w:fill="FFFFFF"/>
        </w:rPr>
        <w:t>103</w:t>
      </w:r>
      <w:r w:rsidRPr="00CC3FD4">
        <w:rPr>
          <w:rFonts w:asciiTheme="minorHAnsi" w:hAnsiTheme="minorHAnsi" w:cstheme="minorHAnsi"/>
          <w:sz w:val="22"/>
          <w:szCs w:val="22"/>
          <w:shd w:val="clear" w:color="auto" w:fill="FFFFFF"/>
        </w:rPr>
        <w:t>.</w:t>
      </w:r>
      <w:hyperlink r:id="rId19" w:tgtFrame="_blank" w:history="1"/>
      <w:r w:rsidRPr="00CC3FD4">
        <w:rPr>
          <w:rFonts w:asciiTheme="minorHAnsi" w:hAnsiTheme="minorHAnsi" w:cstheme="minorHAnsi"/>
          <w:sz w:val="22"/>
          <w:szCs w:val="22"/>
        </w:rPr>
        <w:t xml:space="preserve"> Available at: </w:t>
      </w:r>
      <w:hyperlink r:id="rId20" w:history="1">
        <w:r w:rsidRPr="00CC3FD4">
          <w:rPr>
            <w:rStyle w:val="Hyperlink"/>
            <w:rFonts w:asciiTheme="minorHAnsi" w:hAnsiTheme="minorHAnsi" w:cstheme="minorHAnsi"/>
            <w:color w:val="auto"/>
            <w:sz w:val="22"/>
            <w:szCs w:val="22"/>
            <w:u w:val="none"/>
          </w:rPr>
          <w:t>https://doi.org/10.1080/0958519042000295966</w:t>
        </w:r>
      </w:hyperlink>
    </w:p>
    <w:p w:rsidR="00704C45" w:rsidRPr="00CC3FD4" w:rsidRDefault="00704C45" w:rsidP="00704C45">
      <w:pPr>
        <w:rPr>
          <w:rStyle w:val="Hyperlink"/>
          <w:rFonts w:cstheme="minorHAnsi"/>
          <w:color w:val="auto"/>
          <w:u w:val="none"/>
        </w:rPr>
      </w:pPr>
      <w:r w:rsidRPr="00CC3FD4">
        <w:rPr>
          <w:rFonts w:cstheme="minorHAnsi"/>
          <w:shd w:val="clear" w:color="auto" w:fill="FFFFFF"/>
        </w:rPr>
        <w:t xml:space="preserve">Department of Business, Energy and Industrial Strategy. (2022) </w:t>
      </w:r>
      <w:r w:rsidRPr="00CC3FD4">
        <w:rPr>
          <w:rFonts w:cstheme="minorHAnsi"/>
          <w:i/>
          <w:shd w:val="clear" w:color="auto" w:fill="FFFFFF"/>
        </w:rPr>
        <w:t xml:space="preserve">Making flexible working the default. </w:t>
      </w:r>
      <w:r w:rsidRPr="00CC3FD4">
        <w:rPr>
          <w:rFonts w:cstheme="minorHAnsi"/>
          <w:shd w:val="clear" w:color="auto" w:fill="FFFFFF"/>
        </w:rPr>
        <w:t xml:space="preserve">Available at: </w:t>
      </w:r>
      <w:hyperlink r:id="rId21" w:history="1">
        <w:r w:rsidRPr="00CC3FD4">
          <w:rPr>
            <w:rStyle w:val="Hyperlink"/>
            <w:rFonts w:cstheme="minorHAnsi"/>
            <w:color w:val="auto"/>
            <w:u w:val="none"/>
            <w:shd w:val="clear" w:color="auto" w:fill="FFFFFF"/>
          </w:rPr>
          <w:t>https://www.gov.uk/government/consultations/making-flexible-working-the-default</w:t>
        </w:r>
      </w:hyperlink>
      <w:r w:rsidRPr="00CC3FD4">
        <w:rPr>
          <w:rStyle w:val="Hyperlink"/>
          <w:rFonts w:cstheme="minorHAnsi"/>
          <w:color w:val="auto"/>
          <w:u w:val="none"/>
          <w:shd w:val="clear" w:color="auto" w:fill="FFFFFF"/>
        </w:rPr>
        <w:t xml:space="preserve"> </w:t>
      </w:r>
      <w:r w:rsidRPr="00CC3FD4">
        <w:rPr>
          <w:rStyle w:val="Hyperlink"/>
          <w:rFonts w:cstheme="minorHAnsi"/>
          <w:color w:val="auto"/>
          <w:u w:val="none"/>
        </w:rPr>
        <w:t xml:space="preserve">(Accessed: 27 May 2023). </w:t>
      </w:r>
    </w:p>
    <w:p w:rsidR="0031297E" w:rsidRPr="00CC3FD4" w:rsidRDefault="0031297E" w:rsidP="00704C45">
      <w:r w:rsidRPr="00CC3FD4">
        <w:t>Dixon-</w:t>
      </w:r>
      <w:proofErr w:type="spellStart"/>
      <w:r w:rsidRPr="00CC3FD4">
        <w:t>Fyle</w:t>
      </w:r>
      <w:proofErr w:type="spellEnd"/>
      <w:r w:rsidRPr="00CC3FD4">
        <w:t xml:space="preserve">, S., Dolan, K., Hunt, V. and Prince, S. (2020) </w:t>
      </w:r>
      <w:r w:rsidRPr="00CC3FD4">
        <w:rPr>
          <w:i/>
        </w:rPr>
        <w:t xml:space="preserve">Diversity wins: How inclusion matters. </w:t>
      </w:r>
      <w:r w:rsidRPr="00CC3FD4">
        <w:t xml:space="preserve">Available at: </w:t>
      </w:r>
      <w:hyperlink r:id="rId22" w:history="1">
        <w:r w:rsidRPr="00CC3FD4">
          <w:rPr>
            <w:rStyle w:val="Hyperlink"/>
            <w:color w:val="auto"/>
            <w:u w:val="none"/>
          </w:rPr>
          <w:t>https://www.mckinsey.com/~/media/mckinsey/featured%20insights/diversity%20and%20inclusion/diversity%20wins%20how%20inclusion%20matters/diversity-wins-how-inclusion-matters-vf.pdf</w:t>
        </w:r>
      </w:hyperlink>
      <w:r w:rsidRPr="00CC3FD4">
        <w:t xml:space="preserve"> (Accessed: 5 June 2023).  </w:t>
      </w:r>
    </w:p>
    <w:p w:rsidR="00704C45" w:rsidRPr="00CC3FD4" w:rsidRDefault="00704C45" w:rsidP="00704C45">
      <w:r w:rsidRPr="00CC3FD4">
        <w:t xml:space="preserve">Emir, A. (2022) </w:t>
      </w:r>
      <w:r w:rsidRPr="00CC3FD4">
        <w:rPr>
          <w:i/>
        </w:rPr>
        <w:t xml:space="preserve">A legal right to work from home? Here’s what the law says. </w:t>
      </w:r>
      <w:r w:rsidRPr="00CC3FD4">
        <w:t xml:space="preserve">Available at: </w:t>
      </w:r>
      <w:hyperlink r:id="rId23" w:history="1">
        <w:r w:rsidRPr="00CC3FD4">
          <w:rPr>
            <w:rStyle w:val="Hyperlink"/>
            <w:color w:val="auto"/>
            <w:u w:val="none"/>
          </w:rPr>
          <w:t>https://blog.oup.com/2022/03/a-legal-right-to-work-from-home-heres-what-the-law-says/</w:t>
        </w:r>
      </w:hyperlink>
      <w:r w:rsidRPr="00CC3FD4">
        <w:t xml:space="preserve"> (Accessed: 26 May 2023).</w:t>
      </w:r>
    </w:p>
    <w:p w:rsidR="009533BA" w:rsidRPr="00CC3FD4" w:rsidRDefault="009533BA" w:rsidP="00704C45">
      <w:r w:rsidRPr="00CC3FD4">
        <w:t xml:space="preserve">Faragher, J. (2020) </w:t>
      </w:r>
      <w:r w:rsidRPr="00CC3FD4">
        <w:rPr>
          <w:i/>
        </w:rPr>
        <w:t xml:space="preserve">We need to talk about diversity and inclusion. </w:t>
      </w:r>
      <w:r w:rsidRPr="00CC3FD4">
        <w:t xml:space="preserve">Available at: </w:t>
      </w:r>
      <w:hyperlink r:id="rId24" w:history="1">
        <w:r w:rsidRPr="00CC3FD4">
          <w:rPr>
            <w:rStyle w:val="Hyperlink"/>
            <w:color w:val="auto"/>
            <w:u w:val="none"/>
          </w:rPr>
          <w:t>https://www.peoplemanagement.co.uk/article/1746481/we-need-talk-diversity-inclusion</w:t>
        </w:r>
      </w:hyperlink>
      <w:r w:rsidRPr="00CC3FD4">
        <w:t xml:space="preserve"> (Accessed: 5</w:t>
      </w:r>
      <w:r w:rsidRPr="00CC3FD4">
        <w:rPr>
          <w:vertAlign w:val="superscript"/>
        </w:rPr>
        <w:t>th</w:t>
      </w:r>
      <w:r w:rsidRPr="00CC3FD4">
        <w:t xml:space="preserve"> June 2023).</w:t>
      </w:r>
    </w:p>
    <w:p w:rsidR="00131AF2" w:rsidRPr="00CC3FD4" w:rsidRDefault="00131AF2" w:rsidP="00704C45">
      <w:pPr>
        <w:rPr>
          <w:rFonts w:cstheme="minorHAnsi"/>
          <w:szCs w:val="23"/>
          <w:shd w:val="clear" w:color="auto" w:fill="FFFFFF"/>
        </w:rPr>
      </w:pPr>
      <w:r w:rsidRPr="00CC3FD4">
        <w:rPr>
          <w:rFonts w:cstheme="minorHAnsi"/>
          <w:szCs w:val="23"/>
          <w:shd w:val="clear" w:color="auto" w:fill="FFFFFF"/>
        </w:rPr>
        <w:t>Frost, S. and Kalman, D. (2016) </w:t>
      </w:r>
      <w:r w:rsidRPr="00CC3FD4">
        <w:rPr>
          <w:rFonts w:cstheme="minorHAnsi"/>
          <w:i/>
          <w:iCs/>
          <w:szCs w:val="23"/>
          <w:shd w:val="clear" w:color="auto" w:fill="FFFFFF"/>
        </w:rPr>
        <w:t>Inclusive talent management: how business can thrive in an age of diversity</w:t>
      </w:r>
      <w:r w:rsidRPr="00CC3FD4">
        <w:rPr>
          <w:rFonts w:cstheme="minorHAnsi"/>
          <w:szCs w:val="23"/>
          <w:shd w:val="clear" w:color="auto" w:fill="FFFFFF"/>
        </w:rPr>
        <w:t>. London</w:t>
      </w:r>
      <w:r w:rsidR="000031F9" w:rsidRPr="00CC3FD4">
        <w:rPr>
          <w:rFonts w:cstheme="minorHAnsi"/>
          <w:szCs w:val="23"/>
          <w:shd w:val="clear" w:color="auto" w:fill="FFFFFF"/>
        </w:rPr>
        <w:t xml:space="preserve">: </w:t>
      </w:r>
      <w:r w:rsidRPr="00CC3FD4">
        <w:rPr>
          <w:rFonts w:cstheme="minorHAnsi"/>
          <w:szCs w:val="23"/>
          <w:shd w:val="clear" w:color="auto" w:fill="FFFFFF"/>
        </w:rPr>
        <w:t>Kogan Page</w:t>
      </w:r>
    </w:p>
    <w:p w:rsidR="00615145" w:rsidRPr="00CC3FD4" w:rsidRDefault="00615145" w:rsidP="00704C45">
      <w:pPr>
        <w:rPr>
          <w:rFonts w:cstheme="minorHAnsi"/>
          <w:shd w:val="clear" w:color="auto" w:fill="FFFFFF"/>
        </w:rPr>
      </w:pPr>
      <w:r w:rsidRPr="00CC3FD4">
        <w:rPr>
          <w:rFonts w:cstheme="minorHAnsi"/>
          <w:shd w:val="clear" w:color="auto" w:fill="FFFFFF"/>
        </w:rPr>
        <w:t>Glover</w:t>
      </w:r>
      <w:r w:rsidR="00E102D5" w:rsidRPr="00CC3FD4">
        <w:rPr>
          <w:rFonts w:cstheme="minorHAnsi"/>
          <w:shd w:val="clear" w:color="auto" w:fill="FFFFFF"/>
        </w:rPr>
        <w:t>,</w:t>
      </w:r>
      <w:r w:rsidRPr="00CC3FD4">
        <w:rPr>
          <w:rFonts w:cstheme="minorHAnsi"/>
          <w:shd w:val="clear" w:color="auto" w:fill="FFFFFF"/>
        </w:rPr>
        <w:t xml:space="preserve"> D</w:t>
      </w:r>
      <w:r w:rsidR="00E102D5" w:rsidRPr="00CC3FD4">
        <w:rPr>
          <w:rFonts w:cstheme="minorHAnsi"/>
          <w:shd w:val="clear" w:color="auto" w:fill="FFFFFF"/>
        </w:rPr>
        <w:t>.</w:t>
      </w:r>
      <w:r w:rsidRPr="00CC3FD4">
        <w:rPr>
          <w:rFonts w:cstheme="minorHAnsi"/>
          <w:shd w:val="clear" w:color="auto" w:fill="FFFFFF"/>
        </w:rPr>
        <w:t xml:space="preserve">, </w:t>
      </w:r>
      <w:proofErr w:type="spellStart"/>
      <w:r w:rsidRPr="00CC3FD4">
        <w:rPr>
          <w:rFonts w:cstheme="minorHAnsi"/>
          <w:shd w:val="clear" w:color="auto" w:fill="FFFFFF"/>
        </w:rPr>
        <w:t>Pallais</w:t>
      </w:r>
      <w:proofErr w:type="spellEnd"/>
      <w:r w:rsidR="00E102D5" w:rsidRPr="00CC3FD4">
        <w:rPr>
          <w:rFonts w:cstheme="minorHAnsi"/>
          <w:shd w:val="clear" w:color="auto" w:fill="FFFFFF"/>
        </w:rPr>
        <w:t>,</w:t>
      </w:r>
      <w:r w:rsidRPr="00CC3FD4">
        <w:rPr>
          <w:rFonts w:cstheme="minorHAnsi"/>
          <w:shd w:val="clear" w:color="auto" w:fill="FFFFFF"/>
        </w:rPr>
        <w:t xml:space="preserve"> A</w:t>
      </w:r>
      <w:r w:rsidR="00E102D5" w:rsidRPr="00CC3FD4">
        <w:rPr>
          <w:rFonts w:cstheme="minorHAnsi"/>
          <w:shd w:val="clear" w:color="auto" w:fill="FFFFFF"/>
        </w:rPr>
        <w:t>.</w:t>
      </w:r>
      <w:r w:rsidRPr="00CC3FD4">
        <w:rPr>
          <w:rFonts w:cstheme="minorHAnsi"/>
          <w:shd w:val="clear" w:color="auto" w:fill="FFFFFF"/>
        </w:rPr>
        <w:t xml:space="preserve"> and </w:t>
      </w:r>
      <w:proofErr w:type="spellStart"/>
      <w:r w:rsidRPr="00CC3FD4">
        <w:rPr>
          <w:rFonts w:cstheme="minorHAnsi"/>
          <w:shd w:val="clear" w:color="auto" w:fill="FFFFFF"/>
        </w:rPr>
        <w:t>Pariente</w:t>
      </w:r>
      <w:proofErr w:type="spellEnd"/>
      <w:r w:rsidR="00E102D5" w:rsidRPr="00CC3FD4">
        <w:rPr>
          <w:rFonts w:cstheme="minorHAnsi"/>
          <w:shd w:val="clear" w:color="auto" w:fill="FFFFFF"/>
        </w:rPr>
        <w:t>,</w:t>
      </w:r>
      <w:r w:rsidRPr="00CC3FD4">
        <w:rPr>
          <w:rFonts w:cstheme="minorHAnsi"/>
          <w:shd w:val="clear" w:color="auto" w:fill="FFFFFF"/>
        </w:rPr>
        <w:t xml:space="preserve"> W.</w:t>
      </w:r>
      <w:r w:rsidR="00E102D5" w:rsidRPr="00CC3FD4">
        <w:rPr>
          <w:rFonts w:cstheme="minorHAnsi"/>
          <w:shd w:val="clear" w:color="auto" w:fill="FFFFFF"/>
        </w:rPr>
        <w:t xml:space="preserve"> (2017)</w:t>
      </w:r>
      <w:r w:rsidRPr="00CC3FD4">
        <w:rPr>
          <w:rFonts w:cstheme="minorHAnsi"/>
          <w:shd w:val="clear" w:color="auto" w:fill="FFFFFF"/>
        </w:rPr>
        <w:t> </w:t>
      </w:r>
      <w:r w:rsidR="00E102D5" w:rsidRPr="00CC3FD4">
        <w:rPr>
          <w:rFonts w:cstheme="minorHAnsi"/>
          <w:shd w:val="clear" w:color="auto" w:fill="FFFFFF"/>
        </w:rPr>
        <w:t>‘</w:t>
      </w:r>
      <w:hyperlink r:id="rId25" w:history="1">
        <w:r w:rsidRPr="00CC3FD4">
          <w:rPr>
            <w:rStyle w:val="Hyperlink"/>
            <w:rFonts w:cstheme="minorHAnsi"/>
            <w:color w:val="auto"/>
            <w:u w:val="none"/>
            <w:shd w:val="clear" w:color="auto" w:fill="FFFFFF"/>
          </w:rPr>
          <w:t>Discrimination as a Self-Fulfilling Prophecy: Evidence from French Grocery Stores</w:t>
        </w:r>
      </w:hyperlink>
      <w:r w:rsidR="00E102D5" w:rsidRPr="00CC3FD4">
        <w:rPr>
          <w:rFonts w:cstheme="minorHAnsi"/>
          <w:shd w:val="clear" w:color="auto" w:fill="FFFFFF"/>
        </w:rPr>
        <w:t>’,</w:t>
      </w:r>
      <w:r w:rsidRPr="00CC3FD4">
        <w:rPr>
          <w:rFonts w:cstheme="minorHAnsi"/>
          <w:shd w:val="clear" w:color="auto" w:fill="FFFFFF"/>
        </w:rPr>
        <w:t xml:space="preserve"> </w:t>
      </w:r>
      <w:r w:rsidRPr="00CC3FD4">
        <w:rPr>
          <w:rFonts w:cstheme="minorHAnsi"/>
          <w:i/>
          <w:shd w:val="clear" w:color="auto" w:fill="FFFFFF"/>
        </w:rPr>
        <w:t>Quarterly Journal of Economics</w:t>
      </w:r>
      <w:r w:rsidR="00E102D5" w:rsidRPr="00CC3FD4">
        <w:rPr>
          <w:rFonts w:cstheme="minorHAnsi"/>
          <w:shd w:val="clear" w:color="auto" w:fill="FFFFFF"/>
        </w:rPr>
        <w:t xml:space="preserve">, </w:t>
      </w:r>
      <w:r w:rsidRPr="00CC3FD4">
        <w:rPr>
          <w:rFonts w:cstheme="minorHAnsi"/>
          <w:shd w:val="clear" w:color="auto" w:fill="FFFFFF"/>
        </w:rPr>
        <w:t>132 (3)</w:t>
      </w:r>
      <w:r w:rsidR="00E102D5" w:rsidRPr="00CC3FD4">
        <w:rPr>
          <w:rFonts w:cstheme="minorHAnsi"/>
          <w:shd w:val="clear" w:color="auto" w:fill="FFFFFF"/>
        </w:rPr>
        <w:t xml:space="preserve">, pp. </w:t>
      </w:r>
      <w:r w:rsidRPr="00CC3FD4">
        <w:rPr>
          <w:rFonts w:cstheme="minorHAnsi"/>
          <w:shd w:val="clear" w:color="auto" w:fill="FFFFFF"/>
        </w:rPr>
        <w:t>1219-1260.</w:t>
      </w:r>
      <w:r w:rsidR="00E102D5" w:rsidRPr="00CC3FD4">
        <w:rPr>
          <w:rFonts w:cstheme="minorHAnsi"/>
          <w:shd w:val="clear" w:color="auto" w:fill="FFFFFF"/>
        </w:rPr>
        <w:t xml:space="preserve"> Available at: </w:t>
      </w:r>
      <w:hyperlink r:id="rId26" w:history="1">
        <w:r w:rsidR="00E102D5" w:rsidRPr="00CC3FD4">
          <w:rPr>
            <w:rStyle w:val="Hyperlink"/>
            <w:rFonts w:cstheme="minorHAnsi"/>
            <w:color w:val="auto"/>
            <w:u w:val="none"/>
            <w:bdr w:val="none" w:sz="0" w:space="0" w:color="auto" w:frame="1"/>
            <w:shd w:val="clear" w:color="auto" w:fill="FFFFFF"/>
          </w:rPr>
          <w:t>https://doi.org/10.1093/qje/qjx006</w:t>
        </w:r>
      </w:hyperlink>
    </w:p>
    <w:p w:rsidR="00615145" w:rsidRPr="00CC3FD4" w:rsidRDefault="00615145" w:rsidP="002F7C8A">
      <w:r w:rsidRPr="00CC3FD4">
        <w:t xml:space="preserve">Hall, J. (2022) </w:t>
      </w:r>
      <w:r w:rsidRPr="00CC3FD4">
        <w:rPr>
          <w:i/>
        </w:rPr>
        <w:t xml:space="preserve">A Work-Life Balance Will Help You Keep Employees. </w:t>
      </w:r>
      <w:r w:rsidRPr="00CC3FD4">
        <w:t xml:space="preserve">Available at: </w:t>
      </w:r>
      <w:hyperlink r:id="rId27" w:history="1">
        <w:r w:rsidRPr="00CC3FD4">
          <w:rPr>
            <w:rStyle w:val="Hyperlink"/>
            <w:color w:val="auto"/>
            <w:u w:val="none"/>
          </w:rPr>
          <w:t>https://www.entrepreneur.com/growth-strategies/a-work-life-balance-will-help-you-keep-employees/431437</w:t>
        </w:r>
      </w:hyperlink>
      <w:r w:rsidRPr="00CC3FD4">
        <w:t xml:space="preserve"> (Accessed: 26 May 2023).</w:t>
      </w:r>
    </w:p>
    <w:p w:rsidR="008F7811" w:rsidRPr="00CC3FD4" w:rsidRDefault="008F7811" w:rsidP="002F7C8A">
      <w:proofErr w:type="spellStart"/>
      <w:r w:rsidRPr="00CC3FD4">
        <w:t>Hammerling</w:t>
      </w:r>
      <w:proofErr w:type="spellEnd"/>
      <w:r w:rsidRPr="00CC3FD4">
        <w:t xml:space="preserve">, N. (2019) </w:t>
      </w:r>
      <w:r w:rsidRPr="00CC3FD4">
        <w:rPr>
          <w:i/>
        </w:rPr>
        <w:t xml:space="preserve">The importance of inclusion. </w:t>
      </w:r>
      <w:r w:rsidRPr="00CC3FD4">
        <w:t xml:space="preserve">Available at: </w:t>
      </w:r>
      <w:hyperlink r:id="rId28" w:history="1">
        <w:r w:rsidRPr="00CC3FD4">
          <w:rPr>
            <w:rStyle w:val="Hyperlink"/>
            <w:color w:val="auto"/>
            <w:u w:val="none"/>
          </w:rPr>
          <w:t>https://www.peoplemanagement.co.uk/article/1741756/the-importance-of-inclusion</w:t>
        </w:r>
      </w:hyperlink>
      <w:r w:rsidRPr="00CC3FD4">
        <w:t xml:space="preserve"> (Accessed: 5</w:t>
      </w:r>
      <w:r w:rsidR="009533BA" w:rsidRPr="00CC3FD4">
        <w:rPr>
          <w:vertAlign w:val="superscript"/>
        </w:rPr>
        <w:t xml:space="preserve"> </w:t>
      </w:r>
      <w:r w:rsidRPr="00CC3FD4">
        <w:t>June 2023).</w:t>
      </w:r>
    </w:p>
    <w:p w:rsidR="002F7C8A" w:rsidRPr="00CC3FD4" w:rsidRDefault="002F7C8A" w:rsidP="002F7C8A">
      <w:r w:rsidRPr="00CC3FD4">
        <w:t xml:space="preserve">Johns Chase. (2021) </w:t>
      </w:r>
      <w:r w:rsidRPr="00CC3FD4">
        <w:rPr>
          <w:i/>
        </w:rPr>
        <w:t xml:space="preserve">Is It </w:t>
      </w:r>
      <w:proofErr w:type="gramStart"/>
      <w:r w:rsidRPr="00CC3FD4">
        <w:rPr>
          <w:i/>
        </w:rPr>
        <w:t>An</w:t>
      </w:r>
      <w:proofErr w:type="gramEnd"/>
      <w:r w:rsidRPr="00CC3FD4">
        <w:rPr>
          <w:i/>
        </w:rPr>
        <w:t xml:space="preserve"> Employer’s Responsibility To Ensure Employees Have A Good Work Life Balance? </w:t>
      </w:r>
      <w:r w:rsidRPr="00CC3FD4">
        <w:t>Available at: https://joneschase.com/2021/06/employers-responsibility-for-work-life-balance/ (Accessed: 23 May 2023).</w:t>
      </w:r>
    </w:p>
    <w:p w:rsidR="00704C45" w:rsidRPr="00CC3FD4" w:rsidRDefault="00704C45" w:rsidP="002F7C8A">
      <w:proofErr w:type="spellStart"/>
      <w:r w:rsidRPr="00CC3FD4">
        <w:t>Kohll</w:t>
      </w:r>
      <w:proofErr w:type="spellEnd"/>
      <w:r w:rsidRPr="00CC3FD4">
        <w:t xml:space="preserve">, A. (2018) </w:t>
      </w:r>
      <w:r w:rsidRPr="00CC3FD4">
        <w:rPr>
          <w:i/>
        </w:rPr>
        <w:t xml:space="preserve">The Evolving Definition </w:t>
      </w:r>
      <w:proofErr w:type="gramStart"/>
      <w:r w:rsidRPr="00CC3FD4">
        <w:rPr>
          <w:i/>
        </w:rPr>
        <w:t>Of</w:t>
      </w:r>
      <w:proofErr w:type="gramEnd"/>
      <w:r w:rsidRPr="00CC3FD4">
        <w:rPr>
          <w:i/>
        </w:rPr>
        <w:t xml:space="preserve"> Work-Life Balance. Available at: </w:t>
      </w:r>
      <w:hyperlink r:id="rId29" w:history="1">
        <w:r w:rsidRPr="00CC3FD4">
          <w:rPr>
            <w:rStyle w:val="Hyperlink"/>
            <w:color w:val="auto"/>
            <w:u w:val="none"/>
          </w:rPr>
          <w:t>https://www.forbes.com/sites/alankohll/2018/03/27/the-evolving-definition-of-work-life-balance/?sh=6321e2e39ed3</w:t>
        </w:r>
      </w:hyperlink>
      <w:r w:rsidRPr="00CC3FD4">
        <w:t xml:space="preserve"> (Accessed: 26 May 2023).</w:t>
      </w:r>
    </w:p>
    <w:p w:rsidR="008E2416" w:rsidRPr="00CC3FD4" w:rsidRDefault="008E2416" w:rsidP="002F7C8A">
      <w:r w:rsidRPr="00CC3FD4">
        <w:t xml:space="preserve">Kuehl, T. (2015) </w:t>
      </w:r>
      <w:r w:rsidRPr="00CC3FD4">
        <w:rPr>
          <w:i/>
        </w:rPr>
        <w:t xml:space="preserve">Diversity vs. Equal Opportunity: What’s the Difference? </w:t>
      </w:r>
      <w:r w:rsidRPr="00CC3FD4">
        <w:t xml:space="preserve">Available at: </w:t>
      </w:r>
      <w:hyperlink r:id="rId30" w:history="1">
        <w:r w:rsidRPr="00CC3FD4">
          <w:rPr>
            <w:rStyle w:val="Hyperlink"/>
            <w:color w:val="auto"/>
            <w:u w:val="none"/>
          </w:rPr>
          <w:t>https://news.stthomas.edu/diversity-vs-equal-opportunity-whats-difference/</w:t>
        </w:r>
      </w:hyperlink>
      <w:r w:rsidRPr="00CC3FD4">
        <w:t xml:space="preserve"> (Accessed: 5 June 2023).</w:t>
      </w:r>
    </w:p>
    <w:p w:rsidR="006D6827" w:rsidRPr="00CC3FD4" w:rsidRDefault="006D6827" w:rsidP="002F7C8A">
      <w:r w:rsidRPr="00CC3FD4">
        <w:lastRenderedPageBreak/>
        <w:t xml:space="preserve">Li, L. (2022) </w:t>
      </w:r>
      <w:r w:rsidR="00704C45" w:rsidRPr="00CC3FD4">
        <w:rPr>
          <w:i/>
        </w:rPr>
        <w:t xml:space="preserve">17 Surprising Statistics about Employee Retention. </w:t>
      </w:r>
      <w:r w:rsidR="00704C45" w:rsidRPr="00CC3FD4">
        <w:t xml:space="preserve">Available at: </w:t>
      </w:r>
      <w:hyperlink r:id="rId31" w:history="1">
        <w:r w:rsidR="00704C45" w:rsidRPr="00CC3FD4">
          <w:rPr>
            <w:rStyle w:val="Hyperlink"/>
            <w:color w:val="auto"/>
            <w:u w:val="none"/>
          </w:rPr>
          <w:t>https://www.tinypulse.com/blog/17-surprising-statistics-about-employee-retention</w:t>
        </w:r>
      </w:hyperlink>
      <w:r w:rsidRPr="00CC3FD4">
        <w:t xml:space="preserve"> (Accessed: 26 May 2023).</w:t>
      </w:r>
    </w:p>
    <w:p w:rsidR="00DD5F84" w:rsidRPr="00CC3FD4" w:rsidRDefault="00DD5F84" w:rsidP="002F7C8A">
      <w:proofErr w:type="spellStart"/>
      <w:r w:rsidRPr="00CC3FD4">
        <w:t>Maese</w:t>
      </w:r>
      <w:proofErr w:type="spellEnd"/>
      <w:r w:rsidRPr="00CC3FD4">
        <w:t xml:space="preserve">, E. and Lloyd, C. (2021) </w:t>
      </w:r>
      <w:r w:rsidRPr="00CC3FD4">
        <w:rPr>
          <w:i/>
        </w:rPr>
        <w:t xml:space="preserve">Understanding the Effects of Discrimination in the Workplace. </w:t>
      </w:r>
      <w:r w:rsidRPr="00CC3FD4">
        <w:t xml:space="preserve">Available at: </w:t>
      </w:r>
      <w:hyperlink r:id="rId32" w:history="1">
        <w:r w:rsidRPr="00CC3FD4">
          <w:rPr>
            <w:rStyle w:val="Hyperlink"/>
            <w:color w:val="auto"/>
            <w:u w:val="none"/>
          </w:rPr>
          <w:t>https://www.gallup.com/workplace/349865/understanding-effects-discrimination-workplace.aspx</w:t>
        </w:r>
      </w:hyperlink>
      <w:r w:rsidRPr="00CC3FD4">
        <w:t xml:space="preserve"> (Accessed: 3 June 2023).</w:t>
      </w:r>
    </w:p>
    <w:p w:rsidR="003A03DD" w:rsidRPr="00CC3FD4" w:rsidRDefault="003A03DD" w:rsidP="003A03DD">
      <w:r w:rsidRPr="00CC3FD4">
        <w:t xml:space="preserve">McIntyre, K. (2021) </w:t>
      </w:r>
      <w:r w:rsidRPr="00CC3FD4">
        <w:rPr>
          <w:i/>
        </w:rPr>
        <w:t xml:space="preserve">Why wellbeing in the workplace is so important. </w:t>
      </w:r>
      <w:r w:rsidRPr="00CC3FD4">
        <w:t xml:space="preserve">Available at: </w:t>
      </w:r>
      <w:hyperlink r:id="rId33" w:history="1">
        <w:r w:rsidRPr="00CC3FD4">
          <w:rPr>
            <w:rStyle w:val="Hyperlink"/>
            <w:color w:val="auto"/>
            <w:u w:val="none"/>
          </w:rPr>
          <w:t>https://www.peoplemanagement.co.uk/article/1744109/why-wellbeing-workplace-important</w:t>
        </w:r>
      </w:hyperlink>
      <w:r w:rsidRPr="00CC3FD4">
        <w:rPr>
          <w:rStyle w:val="Hyperlink"/>
          <w:color w:val="auto"/>
          <w:u w:val="none"/>
        </w:rPr>
        <w:t xml:space="preserve"> (Accessed: 27 May 2023). </w:t>
      </w:r>
    </w:p>
    <w:p w:rsidR="006D3D03" w:rsidRPr="00CC3FD4" w:rsidRDefault="006D3D03" w:rsidP="002F7C8A">
      <w:pPr>
        <w:rPr>
          <w:rStyle w:val="Hyperlink"/>
          <w:color w:val="auto"/>
          <w:u w:val="none"/>
        </w:rPr>
      </w:pPr>
      <w:r w:rsidRPr="00CC3FD4">
        <w:t>Meister, J. (2021)</w:t>
      </w:r>
      <w:r w:rsidR="00CB6484" w:rsidRPr="00CC3FD4">
        <w:t xml:space="preserve"> </w:t>
      </w:r>
      <w:r w:rsidR="00CB6484" w:rsidRPr="00CC3FD4">
        <w:rPr>
          <w:i/>
        </w:rPr>
        <w:t xml:space="preserve">The Future </w:t>
      </w:r>
      <w:proofErr w:type="gramStart"/>
      <w:r w:rsidR="00CB6484" w:rsidRPr="00CC3FD4">
        <w:rPr>
          <w:i/>
        </w:rPr>
        <w:t>Of</w:t>
      </w:r>
      <w:proofErr w:type="gramEnd"/>
      <w:r w:rsidR="00CB6484" w:rsidRPr="00CC3FD4">
        <w:rPr>
          <w:i/>
        </w:rPr>
        <w:t xml:space="preserve"> Work Is Employee Well-Being. </w:t>
      </w:r>
      <w:r w:rsidR="00CB6484" w:rsidRPr="00CC3FD4">
        <w:t>Available at:</w:t>
      </w:r>
      <w:r w:rsidRPr="00CC3FD4">
        <w:t xml:space="preserve"> </w:t>
      </w:r>
      <w:hyperlink r:id="rId34" w:history="1">
        <w:r w:rsidRPr="00CC3FD4">
          <w:rPr>
            <w:rStyle w:val="Hyperlink"/>
            <w:color w:val="auto"/>
            <w:u w:val="none"/>
          </w:rPr>
          <w:t>https://www.forbes.com/sites/jeannemeister/2021/08/04/the-future-of-work-is-worker-well-being/?sh=ef971174aed0</w:t>
        </w:r>
      </w:hyperlink>
      <w:r w:rsidRPr="00CC3FD4">
        <w:rPr>
          <w:rStyle w:val="Hyperlink"/>
          <w:color w:val="auto"/>
          <w:u w:val="none"/>
        </w:rPr>
        <w:t xml:space="preserve"> (Accessed: 27 May 2023). </w:t>
      </w:r>
    </w:p>
    <w:p w:rsidR="00460D7A" w:rsidRPr="00CC3FD4" w:rsidRDefault="00460D7A" w:rsidP="002F7C8A">
      <w:pPr>
        <w:rPr>
          <w:rStyle w:val="Hyperlink"/>
          <w:color w:val="auto"/>
          <w:u w:val="none"/>
        </w:rPr>
      </w:pPr>
      <w:r w:rsidRPr="00CC3FD4">
        <w:t xml:space="preserve">Miller, J. (2022) </w:t>
      </w:r>
      <w:r w:rsidRPr="00CC3FD4">
        <w:rPr>
          <w:i/>
        </w:rPr>
        <w:t xml:space="preserve">Race and employment. </w:t>
      </w:r>
      <w:r w:rsidRPr="00CC3FD4">
        <w:t xml:space="preserve">Available at: </w:t>
      </w:r>
      <w:hyperlink r:id="rId35" w:history="1">
        <w:r w:rsidRPr="00CC3FD4">
          <w:rPr>
            <w:rStyle w:val="Hyperlink"/>
            <w:color w:val="auto"/>
            <w:u w:val="none"/>
          </w:rPr>
          <w:t>https://www.cipd.org/uk/knowledge/factsheets/race-employment-discrimination-factsheet/</w:t>
        </w:r>
      </w:hyperlink>
      <w:r w:rsidRPr="00CC3FD4">
        <w:t xml:space="preserve"> (Accessed: 3 June 2023). </w:t>
      </w:r>
    </w:p>
    <w:p w:rsidR="00E102D5" w:rsidRPr="00CC3FD4" w:rsidRDefault="00E102D5" w:rsidP="002F7C8A">
      <w:r w:rsidRPr="00CC3FD4">
        <w:t>Murray-</w:t>
      </w:r>
      <w:proofErr w:type="spellStart"/>
      <w:r w:rsidRPr="00CC3FD4">
        <w:t>Nevill</w:t>
      </w:r>
      <w:proofErr w:type="spellEnd"/>
      <w:r w:rsidRPr="00CC3FD4">
        <w:t xml:space="preserve">, J. (2019) </w:t>
      </w:r>
      <w:r w:rsidRPr="00CC3FD4">
        <w:rPr>
          <w:i/>
        </w:rPr>
        <w:t xml:space="preserve">The real cost of the UK productivity crisis: £4,500 lost on every unproductive worker. </w:t>
      </w:r>
      <w:r w:rsidRPr="00CC3FD4">
        <w:t xml:space="preserve">Available at: </w:t>
      </w:r>
      <w:hyperlink r:id="rId36" w:history="1">
        <w:r w:rsidRPr="00CC3FD4">
          <w:rPr>
            <w:rStyle w:val="Hyperlink"/>
            <w:color w:val="auto"/>
            <w:u w:val="none"/>
          </w:rPr>
          <w:t>https://www.totaljobs.com/media-centre/the-real-cost-of-the-uk-productivity-crisis-4500-lost-on-every-unproductive-worker</w:t>
        </w:r>
      </w:hyperlink>
      <w:r w:rsidRPr="00CC3FD4">
        <w:t xml:space="preserve"> (Accessed: 3 June 2023).</w:t>
      </w:r>
    </w:p>
    <w:p w:rsidR="002F7C8A" w:rsidRPr="00CC3FD4" w:rsidRDefault="002F7C8A" w:rsidP="002F7C8A">
      <w:pPr>
        <w:rPr>
          <w:rStyle w:val="Hyperlink"/>
          <w:rFonts w:cstheme="minorHAnsi"/>
          <w:color w:val="auto"/>
          <w:sz w:val="21"/>
          <w:szCs w:val="21"/>
          <w:u w:val="none"/>
          <w:shd w:val="clear" w:color="auto" w:fill="FFFFFF"/>
        </w:rPr>
      </w:pPr>
      <w:r w:rsidRPr="00CC3FD4">
        <w:t xml:space="preserve">Parkes, L. and Langford, P. (2008) ‘Work-life balance or work-life alignment? A test of the importance of work-life balance for employee engagement and intention’, </w:t>
      </w:r>
      <w:r w:rsidRPr="00CC3FD4">
        <w:rPr>
          <w:i/>
        </w:rPr>
        <w:t xml:space="preserve">Journal of Management and Organisation, </w:t>
      </w:r>
      <w:r w:rsidRPr="00CC3FD4">
        <w:t xml:space="preserve">14(3), pp. 267-284. Available at: </w:t>
      </w:r>
      <w:hyperlink r:id="rId37" w:tgtFrame="_blank" w:history="1">
        <w:r w:rsidRPr="00CC3FD4">
          <w:rPr>
            <w:rStyle w:val="Hyperlink"/>
            <w:rFonts w:cstheme="minorHAnsi"/>
            <w:color w:val="auto"/>
            <w:sz w:val="21"/>
            <w:szCs w:val="21"/>
            <w:u w:val="none"/>
            <w:shd w:val="clear" w:color="auto" w:fill="FFFFFF"/>
          </w:rPr>
          <w:t>https://doi.org/10.5172/jmo.837.14.3.267</w:t>
        </w:r>
      </w:hyperlink>
    </w:p>
    <w:p w:rsidR="003A03DD" w:rsidRPr="00CC3FD4" w:rsidRDefault="003A03DD" w:rsidP="002F7C8A">
      <w:pPr>
        <w:rPr>
          <w:rStyle w:val="Hyperlink"/>
          <w:color w:val="auto"/>
          <w:u w:val="none"/>
        </w:rPr>
      </w:pPr>
      <w:r w:rsidRPr="00CC3FD4">
        <w:t xml:space="preserve">Robison, J. (2010) </w:t>
      </w:r>
      <w:r w:rsidRPr="00CC3FD4">
        <w:rPr>
          <w:i/>
        </w:rPr>
        <w:t xml:space="preserve">The Business Case for Well-Being. </w:t>
      </w:r>
      <w:r w:rsidRPr="00CC3FD4">
        <w:t xml:space="preserve">Available at: </w:t>
      </w:r>
      <w:hyperlink r:id="rId38" w:history="1">
        <w:r w:rsidRPr="00CC3FD4">
          <w:rPr>
            <w:rStyle w:val="Hyperlink"/>
            <w:color w:val="auto"/>
            <w:u w:val="none"/>
          </w:rPr>
          <w:t>https://news.gallup.com/businessjournal/139373/business-case-wellbeing.aspx</w:t>
        </w:r>
      </w:hyperlink>
      <w:r w:rsidRPr="00CC3FD4">
        <w:rPr>
          <w:rStyle w:val="Hyperlink"/>
          <w:color w:val="auto"/>
          <w:u w:val="none"/>
        </w:rPr>
        <w:t xml:space="preserve"> (Accessed: 27 May 2023). </w:t>
      </w:r>
    </w:p>
    <w:p w:rsidR="006F7718" w:rsidRPr="00CC3FD4" w:rsidRDefault="006F7718" w:rsidP="002F7C8A">
      <w:pPr>
        <w:rPr>
          <w:rStyle w:val="Hyperlink"/>
          <w:rFonts w:cstheme="minorHAnsi"/>
          <w:color w:val="auto"/>
          <w:szCs w:val="23"/>
          <w:u w:val="none"/>
          <w:shd w:val="clear" w:color="auto" w:fill="FFFFFF"/>
        </w:rPr>
      </w:pPr>
      <w:r w:rsidRPr="00CC3FD4">
        <w:rPr>
          <w:rStyle w:val="contributors"/>
          <w:rFonts w:cstheme="minorHAnsi"/>
          <w:szCs w:val="23"/>
          <w:bdr w:val="none" w:sz="0" w:space="0" w:color="auto" w:frame="1"/>
          <w:shd w:val="clear" w:color="auto" w:fill="FFFFFF"/>
        </w:rPr>
        <w:t xml:space="preserve">Rosette, A., Modupe A. and </w:t>
      </w:r>
      <w:proofErr w:type="spellStart"/>
      <w:r w:rsidRPr="00CC3FD4">
        <w:rPr>
          <w:rStyle w:val="contributors"/>
          <w:rFonts w:cstheme="minorHAnsi"/>
          <w:szCs w:val="23"/>
          <w:bdr w:val="none" w:sz="0" w:space="0" w:color="auto" w:frame="1"/>
          <w:shd w:val="clear" w:color="auto" w:fill="FFFFFF"/>
        </w:rPr>
        <w:t>Anyi</w:t>
      </w:r>
      <w:proofErr w:type="spellEnd"/>
      <w:r w:rsidRPr="00CC3FD4">
        <w:rPr>
          <w:rStyle w:val="contributors"/>
          <w:rFonts w:cstheme="minorHAnsi"/>
          <w:szCs w:val="23"/>
          <w:bdr w:val="none" w:sz="0" w:space="0" w:color="auto" w:frame="1"/>
          <w:shd w:val="clear" w:color="auto" w:fill="FFFFFF"/>
        </w:rPr>
        <w:t>, M. (2016) </w:t>
      </w:r>
      <w:r w:rsidRPr="00CC3FD4">
        <w:rPr>
          <w:rStyle w:val="maintitle"/>
          <w:rFonts w:cstheme="minorHAnsi"/>
          <w:szCs w:val="23"/>
          <w:bdr w:val="none" w:sz="0" w:space="0" w:color="auto" w:frame="1"/>
          <w:shd w:val="clear" w:color="auto" w:fill="FFFFFF"/>
        </w:rPr>
        <w:t>'Subtle Discrimination in the Workplace: Individual-Level Factors and Processes'</w:t>
      </w:r>
      <w:r w:rsidRPr="00CC3FD4">
        <w:rPr>
          <w:rFonts w:cstheme="minorHAnsi"/>
          <w:szCs w:val="23"/>
          <w:shd w:val="clear" w:color="auto" w:fill="FFFFFF"/>
        </w:rPr>
        <w:t>,</w:t>
      </w:r>
      <w:r w:rsidRPr="00CC3FD4">
        <w:rPr>
          <w:rStyle w:val="editors"/>
          <w:rFonts w:cstheme="minorHAnsi"/>
          <w:szCs w:val="23"/>
          <w:bdr w:val="none" w:sz="0" w:space="0" w:color="auto" w:frame="1"/>
          <w:shd w:val="clear" w:color="auto" w:fill="FFFFFF"/>
        </w:rPr>
        <w:t xml:space="preserve"> in </w:t>
      </w:r>
      <w:r w:rsidR="00F73989" w:rsidRPr="00CC3FD4">
        <w:rPr>
          <w:rStyle w:val="editors"/>
          <w:rFonts w:cstheme="minorHAnsi"/>
          <w:szCs w:val="23"/>
          <w:bdr w:val="none" w:sz="0" w:space="0" w:color="auto" w:frame="1"/>
          <w:shd w:val="clear" w:color="auto" w:fill="FFFFFF"/>
        </w:rPr>
        <w:t xml:space="preserve">A. </w:t>
      </w:r>
      <w:r w:rsidRPr="00CC3FD4">
        <w:rPr>
          <w:rStyle w:val="editors"/>
          <w:rFonts w:cstheme="minorHAnsi"/>
          <w:szCs w:val="23"/>
          <w:bdr w:val="none" w:sz="0" w:space="0" w:color="auto" w:frame="1"/>
          <w:shd w:val="clear" w:color="auto" w:fill="FFFFFF"/>
        </w:rPr>
        <w:t>Colella</w:t>
      </w:r>
      <w:r w:rsidR="00F73989" w:rsidRPr="00CC3FD4">
        <w:rPr>
          <w:rStyle w:val="editors"/>
          <w:rFonts w:cstheme="minorHAnsi"/>
          <w:szCs w:val="23"/>
          <w:bdr w:val="none" w:sz="0" w:space="0" w:color="auto" w:frame="1"/>
          <w:shd w:val="clear" w:color="auto" w:fill="FFFFFF"/>
        </w:rPr>
        <w:t xml:space="preserve"> and E.</w:t>
      </w:r>
      <w:r w:rsidRPr="00CC3FD4">
        <w:rPr>
          <w:rStyle w:val="editors"/>
          <w:rFonts w:cstheme="minorHAnsi"/>
          <w:szCs w:val="23"/>
          <w:bdr w:val="none" w:sz="0" w:space="0" w:color="auto" w:frame="1"/>
          <w:shd w:val="clear" w:color="auto" w:fill="FFFFFF"/>
        </w:rPr>
        <w:t xml:space="preserve"> King (eds)</w:t>
      </w:r>
      <w:r w:rsidRPr="00CC3FD4">
        <w:rPr>
          <w:rFonts w:cstheme="minorHAnsi"/>
          <w:szCs w:val="23"/>
          <w:shd w:val="clear" w:color="auto" w:fill="FFFFFF"/>
        </w:rPr>
        <w:t xml:space="preserve"> </w:t>
      </w:r>
      <w:r w:rsidRPr="00CC3FD4">
        <w:rPr>
          <w:rStyle w:val="Emphasis"/>
          <w:rFonts w:cstheme="minorHAnsi"/>
          <w:szCs w:val="23"/>
          <w:bdr w:val="none" w:sz="0" w:space="0" w:color="auto" w:frame="1"/>
          <w:shd w:val="clear" w:color="auto" w:fill="FFFFFF"/>
        </w:rPr>
        <w:t>The Oxford Handbook of Workplace Discrimination</w:t>
      </w:r>
      <w:r w:rsidRPr="00CC3FD4">
        <w:rPr>
          <w:rStyle w:val="series-title"/>
          <w:rFonts w:cstheme="minorHAnsi"/>
          <w:szCs w:val="23"/>
          <w:bdr w:val="none" w:sz="0" w:space="0" w:color="auto" w:frame="1"/>
          <w:shd w:val="clear" w:color="auto" w:fill="FFFFFF"/>
        </w:rPr>
        <w:t>. Oxford: Oxford Library of Psychology</w:t>
      </w:r>
      <w:r w:rsidR="00F73989" w:rsidRPr="00CC3FD4">
        <w:rPr>
          <w:rFonts w:cstheme="minorHAnsi"/>
          <w:szCs w:val="23"/>
          <w:shd w:val="clear" w:color="auto" w:fill="FFFFFF"/>
        </w:rPr>
        <w:t>, pp. 7-24.</w:t>
      </w:r>
    </w:p>
    <w:p w:rsidR="00704C45" w:rsidRPr="00CC3FD4" w:rsidRDefault="00704C45" w:rsidP="00704C45">
      <w:proofErr w:type="spellStart"/>
      <w:r w:rsidRPr="00CC3FD4">
        <w:t>Suff</w:t>
      </w:r>
      <w:proofErr w:type="spellEnd"/>
      <w:r w:rsidRPr="00CC3FD4">
        <w:t xml:space="preserve">, R. (2022a) </w:t>
      </w:r>
      <w:r w:rsidRPr="00CC3FD4">
        <w:rPr>
          <w:i/>
        </w:rPr>
        <w:t xml:space="preserve">Working hours and time off work. </w:t>
      </w:r>
      <w:r w:rsidRPr="00CC3FD4">
        <w:t xml:space="preserve">Available at: https://www.cipd.org/uk/knowledge/factsheets/working-time-factsheet/ (Accessed: 23 May 2023). </w:t>
      </w:r>
    </w:p>
    <w:p w:rsidR="00A9518D" w:rsidRPr="00CC3FD4" w:rsidRDefault="00A9518D" w:rsidP="00704C45">
      <w:pPr>
        <w:rPr>
          <w:rStyle w:val="Hyperlink"/>
          <w:color w:val="auto"/>
          <w:u w:val="none"/>
        </w:rPr>
      </w:pPr>
      <w:proofErr w:type="spellStart"/>
      <w:r w:rsidRPr="00CC3FD4">
        <w:t>Suff</w:t>
      </w:r>
      <w:proofErr w:type="spellEnd"/>
      <w:r w:rsidRPr="00CC3FD4">
        <w:t xml:space="preserve">, R. (2022b) </w:t>
      </w:r>
      <w:r w:rsidRPr="00CC3FD4">
        <w:rPr>
          <w:i/>
        </w:rPr>
        <w:t xml:space="preserve">Wellbeing at work. </w:t>
      </w:r>
      <w:r w:rsidRPr="00CC3FD4">
        <w:t xml:space="preserve">Available at: </w:t>
      </w:r>
      <w:hyperlink r:id="rId39" w:history="1">
        <w:r w:rsidRPr="00CC3FD4">
          <w:rPr>
            <w:rStyle w:val="Hyperlink"/>
            <w:color w:val="auto"/>
            <w:u w:val="none"/>
          </w:rPr>
          <w:t>https://www.cipd.org/en/knowledge/factsheets/well-being-factsheet/</w:t>
        </w:r>
      </w:hyperlink>
      <w:r w:rsidRPr="00CC3FD4">
        <w:rPr>
          <w:rStyle w:val="Hyperlink"/>
          <w:color w:val="auto"/>
          <w:u w:val="none"/>
        </w:rPr>
        <w:t xml:space="preserve"> (Accessed: 27 May 2023). </w:t>
      </w:r>
    </w:p>
    <w:p w:rsidR="006751A1" w:rsidRPr="00CC3FD4" w:rsidRDefault="006751A1" w:rsidP="00704C45">
      <w:proofErr w:type="spellStart"/>
      <w:r w:rsidRPr="00CC3FD4">
        <w:t>Suff</w:t>
      </w:r>
      <w:proofErr w:type="spellEnd"/>
      <w:r w:rsidRPr="00CC3FD4">
        <w:t xml:space="preserve">, R. (2022c) </w:t>
      </w:r>
      <w:r w:rsidRPr="00CC3FD4">
        <w:rPr>
          <w:i/>
        </w:rPr>
        <w:t xml:space="preserve">Dismissal procedures. </w:t>
      </w:r>
      <w:r w:rsidRPr="00CC3FD4">
        <w:t xml:space="preserve">Available at: </w:t>
      </w:r>
      <w:hyperlink r:id="rId40" w:history="1">
        <w:r w:rsidRPr="00CC3FD4">
          <w:rPr>
            <w:rStyle w:val="Hyperlink"/>
            <w:color w:val="auto"/>
            <w:u w:val="none"/>
          </w:rPr>
          <w:t>https://www.cipd.org/uk/knowledge/factsheets/dismissal-factsheet/</w:t>
        </w:r>
      </w:hyperlink>
      <w:r w:rsidRPr="00CC3FD4">
        <w:t xml:space="preserve"> (Accessed: 6 June 2023). </w:t>
      </w:r>
    </w:p>
    <w:p w:rsidR="003E7CC7" w:rsidRPr="00CC3FD4" w:rsidRDefault="003E7CC7" w:rsidP="00704C45">
      <w:r w:rsidRPr="00CC3FD4">
        <w:t xml:space="preserve">Tara, J. (2018) </w:t>
      </w:r>
      <w:r w:rsidRPr="00CC3FD4">
        <w:rPr>
          <w:i/>
        </w:rPr>
        <w:t xml:space="preserve">Financial Risks of Unfair Dismissal. </w:t>
      </w:r>
      <w:r w:rsidRPr="00CC3FD4">
        <w:t xml:space="preserve">Available at: </w:t>
      </w:r>
      <w:hyperlink r:id="rId41" w:history="1">
        <w:r w:rsidRPr="00CC3FD4">
          <w:rPr>
            <w:rStyle w:val="Hyperlink"/>
            <w:color w:val="auto"/>
            <w:u w:val="none"/>
          </w:rPr>
          <w:t>https://www.questcover.com/news/financial-risks-of-unfair-dismissal/</w:t>
        </w:r>
      </w:hyperlink>
      <w:r w:rsidRPr="00CC3FD4">
        <w:t xml:space="preserve"> (Accessed: 6 June 2023).</w:t>
      </w:r>
    </w:p>
    <w:p w:rsidR="005F5D76" w:rsidRPr="00CC3FD4" w:rsidRDefault="00CB70ED" w:rsidP="005F5D76">
      <w:pPr>
        <w:spacing w:before="120" w:after="0" w:line="240" w:lineRule="auto"/>
      </w:pPr>
      <w:r w:rsidRPr="00CC3FD4">
        <w:t xml:space="preserve">Waite, K., </w:t>
      </w:r>
      <w:proofErr w:type="spellStart"/>
      <w:r w:rsidRPr="00CC3FD4">
        <w:t>Beevers</w:t>
      </w:r>
      <w:proofErr w:type="spellEnd"/>
      <w:r w:rsidRPr="00CC3FD4">
        <w:t xml:space="preserve">, K., Small, N., Tomlinson, K. and Hussain, S. (2021) </w:t>
      </w:r>
      <w:r w:rsidRPr="00CC3FD4">
        <w:rPr>
          <w:i/>
        </w:rPr>
        <w:t xml:space="preserve">People Practice: A Complete Guide. </w:t>
      </w:r>
      <w:r w:rsidRPr="00CC3FD4">
        <w:t>London: Kogan Page.</w:t>
      </w:r>
    </w:p>
    <w:p w:rsidR="00AE5BA1" w:rsidRPr="00CC3FD4" w:rsidRDefault="005F5D76" w:rsidP="00CC3FD4">
      <w:pPr>
        <w:spacing w:before="120" w:after="0" w:line="240" w:lineRule="auto"/>
      </w:pPr>
      <w:proofErr w:type="spellStart"/>
      <w:r w:rsidRPr="00CC3FD4">
        <w:t>Woollard</w:t>
      </w:r>
      <w:proofErr w:type="spellEnd"/>
      <w:r w:rsidRPr="00CC3FD4">
        <w:t xml:space="preserve">, S. (2012) </w:t>
      </w:r>
      <w:r w:rsidRPr="00CC3FD4">
        <w:rPr>
          <w:i/>
        </w:rPr>
        <w:t xml:space="preserve">Companies are not paying enough attention to staff health and wellbeing. </w:t>
      </w:r>
      <w:r w:rsidRPr="00CC3FD4">
        <w:t xml:space="preserve">Available at: </w:t>
      </w:r>
      <w:hyperlink r:id="rId42" w:history="1">
        <w:r w:rsidRPr="00CC3FD4">
          <w:rPr>
            <w:rStyle w:val="Hyperlink"/>
            <w:color w:val="auto"/>
            <w:u w:val="none"/>
          </w:rPr>
          <w:t>https://www.theguardian.com/sustainable-business/blog/employee-wellbeing-health-companies</w:t>
        </w:r>
      </w:hyperlink>
      <w:r w:rsidRPr="00CC3FD4">
        <w:t xml:space="preserve"> (Accessed: 3 June 2023).</w:t>
      </w:r>
    </w:p>
    <w:sectPr w:rsidR="00AE5BA1" w:rsidRPr="00CC3F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B66BB8"/>
    <w:multiLevelType w:val="multilevel"/>
    <w:tmpl w:val="87F89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24E6"/>
    <w:rsid w:val="000031F9"/>
    <w:rsid w:val="00026DAE"/>
    <w:rsid w:val="00032843"/>
    <w:rsid w:val="00055219"/>
    <w:rsid w:val="00093F3D"/>
    <w:rsid w:val="000A0081"/>
    <w:rsid w:val="000A709A"/>
    <w:rsid w:val="000B1CAD"/>
    <w:rsid w:val="000E13C0"/>
    <w:rsid w:val="00105447"/>
    <w:rsid w:val="0013004F"/>
    <w:rsid w:val="00131AF2"/>
    <w:rsid w:val="00157A62"/>
    <w:rsid w:val="0018418D"/>
    <w:rsid w:val="001A5C16"/>
    <w:rsid w:val="001B18EF"/>
    <w:rsid w:val="001D6DAB"/>
    <w:rsid w:val="001E4B5B"/>
    <w:rsid w:val="00205B21"/>
    <w:rsid w:val="00270FB4"/>
    <w:rsid w:val="00274CC6"/>
    <w:rsid w:val="002959BB"/>
    <w:rsid w:val="002C417A"/>
    <w:rsid w:val="002F7C8A"/>
    <w:rsid w:val="00303CB3"/>
    <w:rsid w:val="00304EAF"/>
    <w:rsid w:val="0031297E"/>
    <w:rsid w:val="00365ADF"/>
    <w:rsid w:val="003763BE"/>
    <w:rsid w:val="00385398"/>
    <w:rsid w:val="003A03DD"/>
    <w:rsid w:val="003B4E09"/>
    <w:rsid w:val="003E7CC7"/>
    <w:rsid w:val="00413DFB"/>
    <w:rsid w:val="00452F57"/>
    <w:rsid w:val="00460D7A"/>
    <w:rsid w:val="004773F8"/>
    <w:rsid w:val="004E5A30"/>
    <w:rsid w:val="004F0432"/>
    <w:rsid w:val="0050367C"/>
    <w:rsid w:val="005049EB"/>
    <w:rsid w:val="005F4C2F"/>
    <w:rsid w:val="005F5D76"/>
    <w:rsid w:val="006063FC"/>
    <w:rsid w:val="00615145"/>
    <w:rsid w:val="00630E7D"/>
    <w:rsid w:val="00652C60"/>
    <w:rsid w:val="00655A85"/>
    <w:rsid w:val="006721B1"/>
    <w:rsid w:val="006751A1"/>
    <w:rsid w:val="006C0229"/>
    <w:rsid w:val="006C24E6"/>
    <w:rsid w:val="006C24F4"/>
    <w:rsid w:val="006D3D03"/>
    <w:rsid w:val="006D6827"/>
    <w:rsid w:val="006F7718"/>
    <w:rsid w:val="00700D7D"/>
    <w:rsid w:val="00703380"/>
    <w:rsid w:val="00704C45"/>
    <w:rsid w:val="0073083E"/>
    <w:rsid w:val="0078378D"/>
    <w:rsid w:val="007A5A63"/>
    <w:rsid w:val="007C0E0A"/>
    <w:rsid w:val="007E10B3"/>
    <w:rsid w:val="007E4A46"/>
    <w:rsid w:val="00811692"/>
    <w:rsid w:val="00822EEF"/>
    <w:rsid w:val="00837BDE"/>
    <w:rsid w:val="00843B60"/>
    <w:rsid w:val="008553DA"/>
    <w:rsid w:val="008C5ACE"/>
    <w:rsid w:val="008E2416"/>
    <w:rsid w:val="008E3F0D"/>
    <w:rsid w:val="008F1CDE"/>
    <w:rsid w:val="008F7811"/>
    <w:rsid w:val="00915950"/>
    <w:rsid w:val="009533BA"/>
    <w:rsid w:val="00955821"/>
    <w:rsid w:val="0097251D"/>
    <w:rsid w:val="009D4893"/>
    <w:rsid w:val="00A61691"/>
    <w:rsid w:val="00A9518D"/>
    <w:rsid w:val="00AA6A14"/>
    <w:rsid w:val="00AD68A4"/>
    <w:rsid w:val="00AE5BA1"/>
    <w:rsid w:val="00B445B7"/>
    <w:rsid w:val="00BA7073"/>
    <w:rsid w:val="00BD23D8"/>
    <w:rsid w:val="00BD5B24"/>
    <w:rsid w:val="00C1797F"/>
    <w:rsid w:val="00C7610E"/>
    <w:rsid w:val="00CB6484"/>
    <w:rsid w:val="00CB70ED"/>
    <w:rsid w:val="00CC3FD4"/>
    <w:rsid w:val="00CD3920"/>
    <w:rsid w:val="00CE3C3D"/>
    <w:rsid w:val="00CE7B31"/>
    <w:rsid w:val="00CF436B"/>
    <w:rsid w:val="00D11568"/>
    <w:rsid w:val="00D27869"/>
    <w:rsid w:val="00D4012A"/>
    <w:rsid w:val="00D545A6"/>
    <w:rsid w:val="00D83102"/>
    <w:rsid w:val="00D90999"/>
    <w:rsid w:val="00DA4985"/>
    <w:rsid w:val="00DB5256"/>
    <w:rsid w:val="00DC3D01"/>
    <w:rsid w:val="00DD5F84"/>
    <w:rsid w:val="00DE04E2"/>
    <w:rsid w:val="00DF4C68"/>
    <w:rsid w:val="00E06875"/>
    <w:rsid w:val="00E06A31"/>
    <w:rsid w:val="00E102D5"/>
    <w:rsid w:val="00E23535"/>
    <w:rsid w:val="00E42C62"/>
    <w:rsid w:val="00E44EDC"/>
    <w:rsid w:val="00E60537"/>
    <w:rsid w:val="00E97155"/>
    <w:rsid w:val="00F23D72"/>
    <w:rsid w:val="00F24933"/>
    <w:rsid w:val="00F40545"/>
    <w:rsid w:val="00F50998"/>
    <w:rsid w:val="00F73989"/>
    <w:rsid w:val="00FA2B10"/>
    <w:rsid w:val="00FE53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D134B4"/>
  <w15:chartTrackingRefBased/>
  <w15:docId w15:val="{6C3998E7-E3BE-4B12-8469-118CE1B7D8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F7C8A"/>
    <w:rPr>
      <w:color w:val="0563C1" w:themeColor="hyperlink"/>
      <w:u w:val="single"/>
    </w:rPr>
  </w:style>
  <w:style w:type="character" w:styleId="UnresolvedMention">
    <w:name w:val="Unresolved Mention"/>
    <w:basedOn w:val="DefaultParagraphFont"/>
    <w:uiPriority w:val="99"/>
    <w:semiHidden/>
    <w:unhideWhenUsed/>
    <w:rsid w:val="001B18EF"/>
    <w:rPr>
      <w:color w:val="605E5C"/>
      <w:shd w:val="clear" w:color="auto" w:fill="E1DFDD"/>
    </w:rPr>
  </w:style>
  <w:style w:type="character" w:customStyle="1" w:styleId="name">
    <w:name w:val="name"/>
    <w:basedOn w:val="DefaultParagraphFont"/>
    <w:rsid w:val="00704C45"/>
  </w:style>
  <w:style w:type="character" w:customStyle="1" w:styleId="surname">
    <w:name w:val="surname"/>
    <w:basedOn w:val="DefaultParagraphFont"/>
    <w:rsid w:val="00704C45"/>
  </w:style>
  <w:style w:type="character" w:customStyle="1" w:styleId="given-names">
    <w:name w:val="given-names"/>
    <w:basedOn w:val="DefaultParagraphFont"/>
    <w:rsid w:val="00704C45"/>
  </w:style>
  <w:style w:type="character" w:customStyle="1" w:styleId="year">
    <w:name w:val="year"/>
    <w:basedOn w:val="DefaultParagraphFont"/>
    <w:rsid w:val="00704C45"/>
  </w:style>
  <w:style w:type="character" w:customStyle="1" w:styleId="article-title">
    <w:name w:val="article-title"/>
    <w:basedOn w:val="DefaultParagraphFont"/>
    <w:rsid w:val="00704C45"/>
  </w:style>
  <w:style w:type="character" w:customStyle="1" w:styleId="source">
    <w:name w:val="source"/>
    <w:basedOn w:val="DefaultParagraphFont"/>
    <w:rsid w:val="00704C45"/>
  </w:style>
  <w:style w:type="character" w:customStyle="1" w:styleId="volume">
    <w:name w:val="volume"/>
    <w:basedOn w:val="DefaultParagraphFont"/>
    <w:rsid w:val="00704C45"/>
  </w:style>
  <w:style w:type="character" w:customStyle="1" w:styleId="fpage">
    <w:name w:val="fpage"/>
    <w:basedOn w:val="DefaultParagraphFont"/>
    <w:rsid w:val="00704C45"/>
  </w:style>
  <w:style w:type="character" w:customStyle="1" w:styleId="lpage">
    <w:name w:val="lpage"/>
    <w:basedOn w:val="DefaultParagraphFont"/>
    <w:rsid w:val="00704C45"/>
  </w:style>
  <w:style w:type="paragraph" w:customStyle="1" w:styleId="dx-doi">
    <w:name w:val="dx-doi"/>
    <w:basedOn w:val="Normal"/>
    <w:rsid w:val="00704C4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6F7718"/>
    <w:rPr>
      <w:i/>
      <w:iCs/>
    </w:rPr>
  </w:style>
  <w:style w:type="character" w:customStyle="1" w:styleId="contributors">
    <w:name w:val="contributors"/>
    <w:basedOn w:val="DefaultParagraphFont"/>
    <w:rsid w:val="006F7718"/>
  </w:style>
  <w:style w:type="character" w:customStyle="1" w:styleId="maintitle">
    <w:name w:val="maintitle"/>
    <w:basedOn w:val="DefaultParagraphFont"/>
    <w:rsid w:val="006F7718"/>
  </w:style>
  <w:style w:type="character" w:customStyle="1" w:styleId="editors">
    <w:name w:val="editors"/>
    <w:basedOn w:val="DefaultParagraphFont"/>
    <w:rsid w:val="006F7718"/>
  </w:style>
  <w:style w:type="character" w:customStyle="1" w:styleId="series-title">
    <w:name w:val="series-title"/>
    <w:basedOn w:val="DefaultParagraphFont"/>
    <w:rsid w:val="006F7718"/>
  </w:style>
  <w:style w:type="character" w:customStyle="1" w:styleId="print-publication-date">
    <w:name w:val="print-publication-date"/>
    <w:basedOn w:val="DefaultParagraphFont"/>
    <w:rsid w:val="006F7718"/>
  </w:style>
  <w:style w:type="character" w:customStyle="1" w:styleId="online-edition">
    <w:name w:val="online-edition"/>
    <w:basedOn w:val="DefaultParagraphFont"/>
    <w:rsid w:val="006F7718"/>
  </w:style>
  <w:style w:type="character" w:customStyle="1" w:styleId="containing-site">
    <w:name w:val="containing-site"/>
    <w:basedOn w:val="DefaultParagraphFont"/>
    <w:rsid w:val="006F7718"/>
  </w:style>
  <w:style w:type="character" w:customStyle="1" w:styleId="online-publication-date">
    <w:name w:val="online-publication-date"/>
    <w:basedOn w:val="DefaultParagraphFont"/>
    <w:rsid w:val="006F77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8321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The%20Evolution%20of%20Workplace%20Policies%20on%20Sexual%20Harassment%20and%20Discrimination.%20Available%20at:%20https://www.strategypeopleculture.com/blog/impact-workplace-harassment-discrimination/" TargetMode="External"/><Relationship Id="rId18" Type="http://schemas.openxmlformats.org/officeDocument/2006/relationships/hyperlink" Target="https://www.cipd.org/uk/knowledge/guides/dismissal-guidance-for-managers/" TargetMode="External"/><Relationship Id="rId26" Type="http://schemas.openxmlformats.org/officeDocument/2006/relationships/hyperlink" Target="https://doi.org/10.1093/qje/qjx006" TargetMode="External"/><Relationship Id="rId39" Type="http://schemas.openxmlformats.org/officeDocument/2006/relationships/hyperlink" Target="https://www.cipd.org/en/knowledge/factsheets/well-being-factsheet/" TargetMode="External"/><Relationship Id="rId21" Type="http://schemas.openxmlformats.org/officeDocument/2006/relationships/hyperlink" Target="https://www.gov.uk/government/consultations/making-flexible-working-the-default" TargetMode="External"/><Relationship Id="rId34" Type="http://schemas.openxmlformats.org/officeDocument/2006/relationships/hyperlink" Target="https://www.forbes.com/sites/jeannemeister/2021/08/04/the-future-of-work-is-worker-well-being/?sh=ef971174aed0" TargetMode="External"/><Relationship Id="rId42" Type="http://schemas.openxmlformats.org/officeDocument/2006/relationships/hyperlink" Target="https://www.theguardian.com/sustainable-business/blog/employee-wellbeing-health-companies" TargetMode="External"/><Relationship Id="rId7" Type="http://schemas.openxmlformats.org/officeDocument/2006/relationships/hyperlink" Target="https://www.acas.org.uk/acas-code-of-practice-for-disciplinary-and-grievance-procedures/html" TargetMode="External"/><Relationship Id="rId2" Type="http://schemas.openxmlformats.org/officeDocument/2006/relationships/styles" Target="styles.xml"/><Relationship Id="rId16" Type="http://schemas.openxmlformats.org/officeDocument/2006/relationships/hyperlink" Target="https://www.peoplemanagement.co.uk/article/1747325/job-quality-more-important-wellbeing-than-hours-worked-study-finds" TargetMode="External"/><Relationship Id="rId20" Type="http://schemas.openxmlformats.org/officeDocument/2006/relationships/hyperlink" Target="https://doi.org/10.1080/0958519042000295966" TargetMode="External"/><Relationship Id="rId29" Type="http://schemas.openxmlformats.org/officeDocument/2006/relationships/hyperlink" Target="https://www.forbes.com/sites/alankohll/2018/03/27/the-evolving-definition-of-work-life-balance/?sh=6321e2e39ed3" TargetMode="External"/><Relationship Id="rId41" Type="http://schemas.openxmlformats.org/officeDocument/2006/relationships/hyperlink" Target="https://www.questcover.com/news/financial-risks-of-unfair-dismissal/" TargetMode="External"/><Relationship Id="rId1" Type="http://schemas.openxmlformats.org/officeDocument/2006/relationships/numbering" Target="numbering.xml"/><Relationship Id="rId6" Type="http://schemas.openxmlformats.org/officeDocument/2006/relationships/hyperlink" Target="https://www.acas.org.uk/sites/default/files/2021-03/flexible-working-and-work-life-balance-guide.pdf" TargetMode="External"/><Relationship Id="rId11" Type="http://schemas.openxmlformats.org/officeDocument/2006/relationships/hyperlink" Target="https://www.hrmagazine.co.uk/content/features/why-good-work-trumps-fruit-and-pilates-evangelism-every-time/" TargetMode="External"/><Relationship Id="rId24" Type="http://schemas.openxmlformats.org/officeDocument/2006/relationships/hyperlink" Target="https://www.peoplemanagement.co.uk/article/1746481/we-need-talk-diversity-inclusion" TargetMode="External"/><Relationship Id="rId32" Type="http://schemas.openxmlformats.org/officeDocument/2006/relationships/hyperlink" Target="https://www.gallup.com/workplace/349865/understanding-effects-discrimination-workplace.aspx" TargetMode="External"/><Relationship Id="rId37" Type="http://schemas.openxmlformats.org/officeDocument/2006/relationships/hyperlink" Target="https://psycnet.apa.org/doi/10.5172/jmo.837.14.3.267" TargetMode="External"/><Relationship Id="rId40" Type="http://schemas.openxmlformats.org/officeDocument/2006/relationships/hyperlink" Target="https://www.cipd.org/uk/knowledge/factsheets/dismissal-factsheet/" TargetMode="External"/><Relationship Id="rId5" Type="http://schemas.openxmlformats.org/officeDocument/2006/relationships/image" Target="media/image1.png"/><Relationship Id="rId15" Type="http://schemas.openxmlformats.org/officeDocument/2006/relationships/hyperlink" Target="https://doi.org/10.1177/15344843211072356" TargetMode="External"/><Relationship Id="rId23" Type="http://schemas.openxmlformats.org/officeDocument/2006/relationships/hyperlink" Target="https://blog.oup.com/2022/03/a-legal-right-to-work-from-home-heres-what-the-law-says/" TargetMode="External"/><Relationship Id="rId28" Type="http://schemas.openxmlformats.org/officeDocument/2006/relationships/hyperlink" Target="https://www.peoplemanagement.co.uk/article/1741756/the-importance-of-inclusion" TargetMode="External"/><Relationship Id="rId36" Type="http://schemas.openxmlformats.org/officeDocument/2006/relationships/hyperlink" Target="https://www.totaljobs.com/media-centre/the-real-cost-of-the-uk-productivity-crisis-4500-lost-on-every-unproductive-worker" TargetMode="External"/><Relationship Id="rId10" Type="http://schemas.openxmlformats.org/officeDocument/2006/relationships/hyperlink" Target="https://www.cipd.org/en/knowledge/factsheets/diversity-factsheet/" TargetMode="External"/><Relationship Id="rId19" Type="http://schemas.openxmlformats.org/officeDocument/2006/relationships/hyperlink" Target="https://scholar.google.com/scholar?q=De+Cieri,+H,+Holmes,+B,+Abbott,+J+and+Pettit,+T+(2005)+Achievements+and+challenges+for+work-life+balance+strategies+in+Australian+organizations,+International+Journal+of+Human+Resource+Management,+16:+90%E2%80%93103." TargetMode="External"/><Relationship Id="rId31" Type="http://schemas.openxmlformats.org/officeDocument/2006/relationships/hyperlink" Target="https://www.tinypulse.com/blog/17-surprising-statistics-about-employee-retention"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acas.org.uk/discrimination-and-the-law" TargetMode="External"/><Relationship Id="rId14" Type="http://schemas.openxmlformats.org/officeDocument/2006/relationships/hyperlink" Target="https://doi.org/10.1080/02678373.2015.1033037" TargetMode="External"/><Relationship Id="rId22" Type="http://schemas.openxmlformats.org/officeDocument/2006/relationships/hyperlink" Target="https://www.mckinsey.com/~/media/mckinsey/featured%20insights/diversity%20and%20inclusion/diversity%20wins%20how%20inclusion%20matters/diversity-wins-how-inclusion-matters-vf.pdf" TargetMode="External"/><Relationship Id="rId27" Type="http://schemas.openxmlformats.org/officeDocument/2006/relationships/hyperlink" Target="https://www.entrepreneur.com/growth-strategies/a-work-life-balance-will-help-you-keep-employees/431437" TargetMode="External"/><Relationship Id="rId30" Type="http://schemas.openxmlformats.org/officeDocument/2006/relationships/hyperlink" Target="https://news.stthomas.edu/diversity-vs-equal-opportunity-whats-difference/" TargetMode="External"/><Relationship Id="rId35" Type="http://schemas.openxmlformats.org/officeDocument/2006/relationships/hyperlink" Target="https://www.cipd.org/uk/knowledge/factsheets/race-employment-discrimination-factsheet/" TargetMode="External"/><Relationship Id="rId43" Type="http://schemas.openxmlformats.org/officeDocument/2006/relationships/fontTable" Target="fontTable.xml"/><Relationship Id="rId8" Type="http://schemas.openxmlformats.org/officeDocument/2006/relationships/hyperlink" Target="https://www.acas.org.uk/dismissals" TargetMode="External"/><Relationship Id="rId3" Type="http://schemas.openxmlformats.org/officeDocument/2006/relationships/settings" Target="settings.xml"/><Relationship Id="rId12" Type="http://schemas.openxmlformats.org/officeDocument/2006/relationships/hyperlink" Target="https://doi.org/10.1111/sjpe.12211" TargetMode="External"/><Relationship Id="rId17" Type="http://schemas.openxmlformats.org/officeDocument/2006/relationships/hyperlink" Target="https://www.cipd.org/uk/knowledge/employment-law/dismissal/" TargetMode="External"/><Relationship Id="rId25" Type="http://schemas.openxmlformats.org/officeDocument/2006/relationships/hyperlink" Target="https://scholar.harvard.edu/pallais/publications/discrimination-self-fulfilling-prophecy-evidence-french-grocery-stores" TargetMode="External"/><Relationship Id="rId33" Type="http://schemas.openxmlformats.org/officeDocument/2006/relationships/hyperlink" Target="https://www.peoplemanagement.co.uk/article/1744109/why-wellbeing-workplace-important" TargetMode="External"/><Relationship Id="rId38" Type="http://schemas.openxmlformats.org/officeDocument/2006/relationships/hyperlink" Target="https://news.gallup.com/businessjournal/139373/business-case-wellbeing.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6506</TotalTime>
  <Pages>6</Pages>
  <Words>3171</Words>
  <Characters>18076</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Abbie Hudson</dc:creator>
  <cp:keywords/>
  <dc:description/>
  <cp:lastModifiedBy>Abbie Hudson</cp:lastModifiedBy>
  <cp:revision>92</cp:revision>
  <dcterms:created xsi:type="dcterms:W3CDTF">2023-05-26T11:28:00Z</dcterms:created>
  <dcterms:modified xsi:type="dcterms:W3CDTF">2023-06-13T10:31:00Z</dcterms:modified>
</cp:coreProperties>
</file>